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166F16">
      <w:pPr>
        <w:tabs>
          <w:tab w:val="left" w:pos="5670"/>
        </w:tabs>
        <w:rPr>
          <w:rFonts w:hint="eastAsia" w:ascii="Times New Roman" w:hAnsi="Times New Roman" w:eastAsia="宋体" w:cs="Times New Roman"/>
          <w:color w:val="auto"/>
          <w:sz w:val="36"/>
          <w:szCs w:val="36"/>
          <w:highlight w:val="none"/>
          <w:lang w:val="en-US" w:eastAsia="zh-CN"/>
        </w:rPr>
      </w:pPr>
      <w:r>
        <w:rPr>
          <w:rFonts w:hint="eastAsia" w:ascii="Times New Roman" w:hAnsi="Times New Roman" w:eastAsia="宋体" w:cs="Times New Roman"/>
          <w:color w:val="auto"/>
          <w:sz w:val="36"/>
          <w:szCs w:val="36"/>
          <w:highlight w:val="none"/>
          <w:lang w:eastAsia="zh-CN"/>
        </w:rPr>
        <w:drawing>
          <wp:anchor distT="0" distB="0" distL="114300" distR="114300" simplePos="0" relativeHeight="251665408" behindDoc="0" locked="0" layoutInCell="1" allowOverlap="1">
            <wp:simplePos x="0" y="0"/>
            <wp:positionH relativeFrom="column">
              <wp:posOffset>-1132840</wp:posOffset>
            </wp:positionH>
            <wp:positionV relativeFrom="paragraph">
              <wp:posOffset>-909955</wp:posOffset>
            </wp:positionV>
            <wp:extent cx="7559675" cy="10459085"/>
            <wp:effectExtent l="0" t="0" r="3175" b="18415"/>
            <wp:wrapNone/>
            <wp:docPr id="94" name="图片 94" descr="扫描件_建设项目环境影响报告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扫描件_建设项目环境影响报告表_01"/>
                    <pic:cNvPicPr>
                      <a:picLocks noChangeAspect="1"/>
                    </pic:cNvPicPr>
                  </pic:nvPicPr>
                  <pic:blipFill>
                    <a:blip r:embed="rId10"/>
                    <a:srcRect t="2550" b="6693"/>
                    <a:stretch>
                      <a:fillRect/>
                    </a:stretch>
                  </pic:blipFill>
                  <pic:spPr>
                    <a:xfrm>
                      <a:off x="0" y="0"/>
                      <a:ext cx="7559675" cy="10459085"/>
                    </a:xfrm>
                    <a:prstGeom prst="rect">
                      <a:avLst/>
                    </a:prstGeom>
                  </pic:spPr>
                </pic:pic>
              </a:graphicData>
            </a:graphic>
          </wp:anchor>
        </w:drawing>
      </w:r>
    </w:p>
    <w:p w14:paraId="3FFFF0AA">
      <w:pPr>
        <w:rPr>
          <w:rFonts w:hint="default" w:ascii="Times New Roman" w:hAnsi="Times New Roman" w:eastAsia="宋体" w:cs="Times New Roman"/>
          <w:color w:val="auto"/>
          <w:sz w:val="36"/>
          <w:szCs w:val="36"/>
          <w:highlight w:val="none"/>
        </w:rPr>
      </w:pPr>
    </w:p>
    <w:p w14:paraId="7D6E6814">
      <w:pPr>
        <w:tabs>
          <w:tab w:val="left" w:pos="602"/>
        </w:tabs>
        <w:rPr>
          <w:rFonts w:hint="eastAsia" w:ascii="Times New Roman" w:hAnsi="Times New Roman" w:eastAsia="宋体" w:cs="Times New Roman"/>
          <w:color w:val="auto"/>
          <w:sz w:val="36"/>
          <w:szCs w:val="36"/>
          <w:highlight w:val="none"/>
          <w:lang w:eastAsia="zh-CN"/>
        </w:rPr>
      </w:pPr>
      <w:r>
        <w:rPr>
          <w:rFonts w:hint="eastAsia" w:cs="Times New Roman"/>
          <w:color w:val="auto"/>
          <w:sz w:val="36"/>
          <w:szCs w:val="36"/>
          <w:highlight w:val="none"/>
          <w:lang w:eastAsia="zh-CN"/>
        </w:rPr>
        <w:tab/>
      </w:r>
    </w:p>
    <w:p w14:paraId="08968E8B">
      <w:pPr>
        <w:rPr>
          <w:rFonts w:hint="eastAsia" w:ascii="Times New Roman" w:hAnsi="Times New Roman" w:eastAsia="宋体" w:cs="Times New Roman"/>
          <w:color w:val="auto"/>
          <w:sz w:val="36"/>
          <w:szCs w:val="36"/>
          <w:highlight w:val="none"/>
          <w:lang w:eastAsia="zh-CN"/>
        </w:rPr>
      </w:pPr>
    </w:p>
    <w:p w14:paraId="75AE4C1A">
      <w:pPr>
        <w:rPr>
          <w:rFonts w:hint="eastAsia" w:ascii="Times New Roman" w:hAnsi="Times New Roman" w:eastAsia="宋体" w:cs="Times New Roman"/>
          <w:color w:val="auto"/>
          <w:sz w:val="36"/>
          <w:szCs w:val="36"/>
          <w:highlight w:val="none"/>
          <w:lang w:eastAsia="zh-CN"/>
        </w:rPr>
      </w:pPr>
    </w:p>
    <w:p w14:paraId="59B47715">
      <w:pPr>
        <w:adjustRightInd w:val="0"/>
        <w:snapToGrid w:val="0"/>
        <w:jc w:val="center"/>
        <w:outlineLvl w:val="0"/>
        <w:rPr>
          <w:rFonts w:hint="default" w:ascii="Times New Roman" w:hAnsi="Times New Roman" w:eastAsia="宋体" w:cs="Times New Roman"/>
          <w:bCs/>
          <w:color w:val="auto"/>
          <w:sz w:val="72"/>
          <w:szCs w:val="72"/>
          <w:highlight w:val="none"/>
        </w:rPr>
      </w:pPr>
      <w:bookmarkStart w:id="0" w:name="_Toc6919"/>
      <w:bookmarkStart w:id="1" w:name="_Toc30265"/>
      <w:bookmarkStart w:id="2" w:name="_Toc18239"/>
      <w:r>
        <w:rPr>
          <w:rFonts w:hint="default" w:ascii="Times New Roman" w:hAnsi="Times New Roman" w:eastAsia="宋体" w:cs="Times New Roman"/>
          <w:bCs/>
          <w:color w:val="auto"/>
          <w:sz w:val="72"/>
          <w:szCs w:val="72"/>
          <w:highlight w:val="none"/>
        </w:rPr>
        <w:t>建设项目环境影响报告表</w:t>
      </w:r>
      <w:bookmarkEnd w:id="0"/>
      <w:bookmarkEnd w:id="1"/>
      <w:bookmarkEnd w:id="2"/>
    </w:p>
    <w:p w14:paraId="53C1C87B">
      <w:pP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70425198">
      <w:pPr>
        <w:keepNext w:val="0"/>
        <w:keepLines w:val="0"/>
        <w:pageBreakBefore w:val="0"/>
        <w:widowControl w:val="0"/>
        <w:kinsoku/>
        <w:wordWrap/>
        <w:overflowPunct/>
        <w:topLinePunct w:val="0"/>
        <w:autoSpaceDE/>
        <w:autoSpaceDN/>
        <w:bidi w:val="0"/>
        <w:adjustRightInd w:val="0"/>
        <w:snapToGrid w:val="0"/>
        <w:spacing w:before="313" w:beforeLines="100" w:line="288" w:lineRule="auto"/>
        <w:jc w:val="center"/>
        <w:textAlignment w:val="auto"/>
        <w:outlineLvl w:val="9"/>
        <w:rPr>
          <w:rFonts w:hint="default" w:ascii="Times New Roman" w:hAnsi="Times New Roman" w:eastAsia="宋体" w:cs="Times New Roman"/>
          <w:color w:val="auto"/>
          <w:kern w:val="44"/>
          <w:sz w:val="44"/>
          <w:szCs w:val="44"/>
          <w:highlight w:val="none"/>
          <w:lang w:eastAsia="zh-CN"/>
        </w:rPr>
      </w:pPr>
    </w:p>
    <w:p w14:paraId="02E43CAF">
      <w:pPr>
        <w:jc w:val="center"/>
        <w:rPr>
          <w:rFonts w:hint="default" w:ascii="Times New Roman" w:hAnsi="Times New Roman" w:eastAsia="宋体" w:cs="Times New Roman"/>
          <w:color w:val="auto"/>
          <w:sz w:val="52"/>
          <w:szCs w:val="52"/>
          <w:highlight w:val="none"/>
        </w:rPr>
      </w:pPr>
    </w:p>
    <w:p w14:paraId="33FE2D03">
      <w:pPr>
        <w:ind w:firstLine="1040"/>
        <w:rPr>
          <w:rFonts w:hint="default" w:ascii="Times New Roman" w:hAnsi="Times New Roman" w:eastAsia="宋体" w:cs="Times New Roman"/>
          <w:color w:val="auto"/>
          <w:sz w:val="44"/>
          <w:szCs w:val="44"/>
          <w:highlight w:val="none"/>
        </w:rPr>
      </w:pPr>
    </w:p>
    <w:p w14:paraId="0961384B">
      <w:pPr>
        <w:ind w:firstLine="1040"/>
        <w:rPr>
          <w:rFonts w:hint="default" w:ascii="Times New Roman" w:hAnsi="Times New Roman" w:eastAsia="宋体" w:cs="Times New Roman"/>
          <w:color w:val="auto"/>
          <w:sz w:val="44"/>
          <w:szCs w:val="44"/>
          <w:highlight w:val="none"/>
        </w:rPr>
      </w:pPr>
    </w:p>
    <w:p w14:paraId="672BFA3C">
      <w:pPr>
        <w:ind w:firstLine="1040"/>
        <w:rPr>
          <w:rFonts w:hint="default" w:ascii="Times New Roman" w:hAnsi="Times New Roman" w:eastAsia="宋体" w:cs="Times New Roman"/>
          <w:color w:val="auto"/>
          <w:sz w:val="44"/>
          <w:szCs w:val="44"/>
          <w:highlight w:val="none"/>
        </w:rPr>
      </w:pPr>
    </w:p>
    <w:p w14:paraId="61D33527">
      <w:pPr>
        <w:ind w:firstLine="1040"/>
        <w:rPr>
          <w:rFonts w:hint="default" w:ascii="Times New Roman" w:hAnsi="Times New Roman" w:eastAsia="宋体" w:cs="Times New Roman"/>
          <w:color w:val="auto"/>
          <w:sz w:val="44"/>
          <w:szCs w:val="44"/>
          <w:highlight w:val="none"/>
        </w:rPr>
      </w:pPr>
    </w:p>
    <w:p w14:paraId="06120C65">
      <w:pPr>
        <w:keepNext w:val="0"/>
        <w:keepLines w:val="0"/>
        <w:pageBreakBefore w:val="0"/>
        <w:widowControl w:val="0"/>
        <w:kinsoku/>
        <w:wordWrap/>
        <w:overflowPunct/>
        <w:topLinePunct w:val="0"/>
        <w:autoSpaceDE/>
        <w:autoSpaceDN/>
        <w:bidi w:val="0"/>
        <w:adjustRightInd w:val="0"/>
        <w:snapToGrid w:val="0"/>
        <w:spacing w:line="360" w:lineRule="auto"/>
        <w:ind w:firstLine="320" w:firstLineChars="100"/>
        <w:textAlignment w:val="auto"/>
        <w:rPr>
          <w:rFonts w:hint="default" w:ascii="Times New Roman" w:hAnsi="Times New Roman" w:eastAsia="宋体" w:cs="Times New Roman"/>
          <w:color w:val="auto"/>
          <w:sz w:val="32"/>
          <w:szCs w:val="32"/>
          <w:highlight w:val="none"/>
          <w:u w:val="single"/>
          <w:lang w:val="en-US" w:eastAsia="zh-CN"/>
        </w:rPr>
      </w:pPr>
      <w:r>
        <w:rPr>
          <w:rFonts w:hint="default" w:ascii="Times New Roman" w:hAnsi="Times New Roman" w:eastAsia="宋体" w:cs="Times New Roman"/>
          <w:color w:val="auto"/>
          <w:sz w:val="32"/>
          <w:szCs w:val="32"/>
          <w:highlight w:val="none"/>
        </w:rPr>
        <w:t>项目名称：</w:t>
      </w:r>
      <w:r>
        <w:rPr>
          <w:rFonts w:hint="eastAsia"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rPr>
        <w:t>濮阳市中原锐实达石油设备有限公司</w:t>
      </w:r>
      <w:r>
        <w:rPr>
          <w:rFonts w:hint="eastAsia" w:cs="Times New Roman"/>
          <w:color w:val="auto"/>
          <w:sz w:val="32"/>
          <w:szCs w:val="32"/>
          <w:highlight w:val="none"/>
          <w:u w:val="single"/>
          <w:lang w:val="en-US" w:eastAsia="zh-CN"/>
        </w:rPr>
        <w:t xml:space="preserve">    </w:t>
      </w:r>
    </w:p>
    <w:p w14:paraId="76836FAE">
      <w:pPr>
        <w:keepNext w:val="0"/>
        <w:keepLines w:val="0"/>
        <w:pageBreakBefore w:val="0"/>
        <w:widowControl w:val="0"/>
        <w:kinsoku/>
        <w:wordWrap/>
        <w:overflowPunct/>
        <w:topLinePunct w:val="0"/>
        <w:autoSpaceDE/>
        <w:autoSpaceDN/>
        <w:bidi w:val="0"/>
        <w:adjustRightInd w:val="0"/>
        <w:snapToGrid w:val="0"/>
        <w:spacing w:line="360" w:lineRule="auto"/>
        <w:ind w:firstLine="1920" w:firstLineChars="600"/>
        <w:textAlignment w:val="auto"/>
        <w:rPr>
          <w:rFonts w:hint="default" w:ascii="Times New Roman" w:hAnsi="Times New Roman" w:cs="Times New Roman"/>
          <w:color w:val="auto"/>
          <w:sz w:val="32"/>
          <w:szCs w:val="32"/>
          <w:highlight w:val="none"/>
          <w:u w:val="single"/>
          <w:lang w:val="en-US" w:eastAsia="zh-CN"/>
        </w:rPr>
      </w:pPr>
      <w:r>
        <w:rPr>
          <w:rFonts w:hint="eastAsia"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rPr>
        <w:t>年产800套石油设备项目</w:t>
      </w:r>
      <w:r>
        <w:rPr>
          <w:rFonts w:hint="eastAsia" w:cs="Times New Roman"/>
          <w:color w:val="auto"/>
          <w:sz w:val="32"/>
          <w:szCs w:val="32"/>
          <w:highlight w:val="none"/>
          <w:u w:val="single"/>
          <w:lang w:val="en-US" w:eastAsia="zh-CN"/>
        </w:rPr>
        <w:t xml:space="preserve">         </w:t>
      </w:r>
    </w:p>
    <w:p w14:paraId="11C0230D">
      <w:pPr>
        <w:adjustRightInd w:val="0"/>
        <w:snapToGrid w:val="0"/>
        <w:spacing w:line="360" w:lineRule="auto"/>
        <w:ind w:firstLine="320" w:firstLineChars="100"/>
        <w:rPr>
          <w:rFonts w:hint="eastAsia" w:ascii="Times New Roman" w:hAnsi="Times New Roman" w:eastAsia="宋体" w:cs="Times New Roman"/>
          <w:color w:val="auto"/>
          <w:sz w:val="32"/>
          <w:szCs w:val="32"/>
          <w:highlight w:val="none"/>
          <w:u w:val="single"/>
          <w:lang w:val="en-US" w:eastAsia="zh-CN"/>
        </w:rPr>
      </w:pPr>
      <w:r>
        <w:rPr>
          <w:rFonts w:hint="default" w:ascii="Times New Roman" w:hAnsi="Times New Roman" w:eastAsia="宋体" w:cs="Times New Roman"/>
          <w:color w:val="auto"/>
          <w:sz w:val="32"/>
          <w:szCs w:val="32"/>
          <w:highlight w:val="none"/>
        </w:rPr>
        <w:t>建设单位（盖章）：</w:t>
      </w:r>
      <w:r>
        <w:rPr>
          <w:rFonts w:hint="default" w:ascii="Times New Roman" w:hAnsi="Times New Roman" w:eastAsia="宋体" w:cs="Times New Roman"/>
          <w:color w:val="auto"/>
          <w:sz w:val="32"/>
          <w:szCs w:val="32"/>
          <w:highlight w:val="none"/>
          <w:u w:val="single"/>
        </w:rPr>
        <w:t>濮阳市中原锐实达石油设备有限公司</w:t>
      </w:r>
    </w:p>
    <w:p w14:paraId="6362D092">
      <w:pPr>
        <w:adjustRightInd w:val="0"/>
        <w:snapToGrid w:val="0"/>
        <w:spacing w:line="360" w:lineRule="auto"/>
        <w:ind w:firstLine="640" w:firstLineChars="200"/>
        <w:rPr>
          <w:rFonts w:hint="default" w:ascii="Times New Roman" w:hAnsi="Times New Roman" w:eastAsia="宋体" w:cs="Times New Roman"/>
          <w:color w:val="auto"/>
          <w:sz w:val="32"/>
          <w:szCs w:val="32"/>
          <w:highlight w:val="none"/>
          <w:u w:val="single"/>
        </w:rPr>
      </w:pPr>
      <w:r>
        <w:rPr>
          <w:rFonts w:hint="default" w:ascii="Times New Roman" w:hAnsi="Times New Roman" w:eastAsia="宋体" w:cs="Times New Roman"/>
          <w:color w:val="auto"/>
          <w:sz w:val="32"/>
          <w:szCs w:val="32"/>
          <w:highlight w:val="none"/>
        </w:rPr>
        <w:t>编制日期：</w:t>
      </w:r>
      <w:r>
        <w:rPr>
          <w:rFonts w:hint="default" w:ascii="Times New Roman" w:hAnsi="Times New Roman" w:eastAsia="宋体" w:cs="Times New Roman"/>
          <w:color w:val="auto"/>
          <w:sz w:val="32"/>
          <w:szCs w:val="32"/>
          <w:highlight w:val="none"/>
          <w:u w:val="single"/>
        </w:rPr>
        <w:t xml:space="preserve"> </w:t>
      </w:r>
      <w:r>
        <w:rPr>
          <w:rFonts w:hint="default" w:ascii="Times New Roman" w:hAnsi="Times New Roman" w:eastAsia="宋体" w:cs="Times New Roman"/>
          <w:color w:val="auto"/>
          <w:sz w:val="32"/>
          <w:szCs w:val="32"/>
          <w:highlight w:val="none"/>
          <w:u w:val="single"/>
          <w:lang w:val="en-US" w:eastAsia="zh-CN"/>
        </w:rPr>
        <w:t xml:space="preserve">      </w:t>
      </w:r>
      <w:r>
        <w:rPr>
          <w:rFonts w:hint="default" w:ascii="Times New Roman" w:hAnsi="Times New Roman" w:cs="Times New Roman"/>
          <w:color w:val="auto"/>
          <w:sz w:val="32"/>
          <w:szCs w:val="32"/>
          <w:highlight w:val="none"/>
          <w:u w:val="single"/>
          <w:lang w:val="en-US" w:eastAsia="zh-CN"/>
        </w:rPr>
        <w:t xml:space="preserve"> </w:t>
      </w:r>
      <w:r>
        <w:rPr>
          <w:rFonts w:hint="eastAsia"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lang w:val="en-US" w:eastAsia="zh-CN"/>
        </w:rPr>
        <w:t xml:space="preserve"> 202</w:t>
      </w:r>
      <w:r>
        <w:rPr>
          <w:rFonts w:hint="eastAsia" w:cs="Times New Roman"/>
          <w:color w:val="auto"/>
          <w:sz w:val="32"/>
          <w:szCs w:val="32"/>
          <w:highlight w:val="none"/>
          <w:u w:val="single"/>
          <w:lang w:val="en-US" w:eastAsia="zh-CN"/>
        </w:rPr>
        <w:t>5</w:t>
      </w:r>
      <w:r>
        <w:rPr>
          <w:rFonts w:hint="default" w:ascii="Times New Roman" w:hAnsi="Times New Roman" w:eastAsia="宋体" w:cs="Times New Roman"/>
          <w:color w:val="auto"/>
          <w:sz w:val="32"/>
          <w:szCs w:val="32"/>
          <w:highlight w:val="none"/>
          <w:u w:val="single"/>
          <w:lang w:val="en-US" w:eastAsia="zh-CN"/>
        </w:rPr>
        <w:t>年</w:t>
      </w:r>
      <w:r>
        <w:rPr>
          <w:rFonts w:hint="eastAsia" w:cs="Times New Roman"/>
          <w:color w:val="auto"/>
          <w:sz w:val="32"/>
          <w:szCs w:val="32"/>
          <w:highlight w:val="none"/>
          <w:u w:val="single"/>
          <w:lang w:val="en-US" w:eastAsia="zh-CN"/>
        </w:rPr>
        <w:t>7</w:t>
      </w:r>
      <w:r>
        <w:rPr>
          <w:rFonts w:hint="default" w:ascii="Times New Roman" w:hAnsi="Times New Roman" w:eastAsia="宋体" w:cs="Times New Roman"/>
          <w:color w:val="auto"/>
          <w:sz w:val="32"/>
          <w:szCs w:val="32"/>
          <w:highlight w:val="none"/>
          <w:u w:val="single"/>
          <w:lang w:val="en-US" w:eastAsia="zh-CN"/>
        </w:rPr>
        <w:t xml:space="preserve">月  </w:t>
      </w:r>
      <w:r>
        <w:rPr>
          <w:rFonts w:hint="eastAsia" w:cs="Times New Roman"/>
          <w:color w:val="auto"/>
          <w:sz w:val="32"/>
          <w:szCs w:val="32"/>
          <w:highlight w:val="none"/>
          <w:u w:val="single"/>
          <w:lang w:val="en-US" w:eastAsia="zh-CN"/>
        </w:rPr>
        <w:t xml:space="preserve"> </w:t>
      </w:r>
      <w:r>
        <w:rPr>
          <w:rFonts w:hint="default" w:ascii="Times New Roman" w:hAnsi="Times New Roman" w:cs="Times New Roman"/>
          <w:color w:val="auto"/>
          <w:sz w:val="32"/>
          <w:szCs w:val="32"/>
          <w:highlight w:val="none"/>
          <w:u w:val="single"/>
          <w:lang w:val="en-US" w:eastAsia="zh-CN"/>
        </w:rPr>
        <w:t xml:space="preserve"> </w:t>
      </w:r>
      <w:r>
        <w:rPr>
          <w:rFonts w:hint="eastAsia" w:cs="Times New Roman"/>
          <w:color w:val="auto"/>
          <w:sz w:val="32"/>
          <w:szCs w:val="32"/>
          <w:highlight w:val="none"/>
          <w:u w:val="single"/>
          <w:lang w:val="en-US" w:eastAsia="zh-CN"/>
        </w:rPr>
        <w:t xml:space="preserve">   </w:t>
      </w:r>
      <w:r>
        <w:rPr>
          <w:rFonts w:hint="default" w:ascii="Times New Roman" w:hAnsi="Times New Roman"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lang w:val="en-US" w:eastAsia="zh-CN"/>
        </w:rPr>
        <w:t xml:space="preserve"> </w:t>
      </w:r>
      <w:r>
        <w:rPr>
          <w:rFonts w:hint="default" w:ascii="Times New Roman" w:hAnsi="Times New Roman" w:cs="Times New Roman"/>
          <w:color w:val="auto"/>
          <w:sz w:val="32"/>
          <w:szCs w:val="32"/>
          <w:highlight w:val="none"/>
          <w:u w:val="single"/>
          <w:lang w:val="en-US" w:eastAsia="zh-CN"/>
        </w:rPr>
        <w:t xml:space="preserve">  </w:t>
      </w:r>
      <w:r>
        <w:rPr>
          <w:rFonts w:hint="default" w:ascii="Times New Roman" w:hAnsi="Times New Roman" w:eastAsia="宋体" w:cs="Times New Roman"/>
          <w:color w:val="auto"/>
          <w:sz w:val="32"/>
          <w:szCs w:val="32"/>
          <w:highlight w:val="none"/>
          <w:u w:val="single"/>
          <w:lang w:val="en-US" w:eastAsia="zh-CN"/>
        </w:rPr>
        <w:t xml:space="preserve">   </w:t>
      </w:r>
    </w:p>
    <w:p w14:paraId="2154A189">
      <w:pPr>
        <w:adjustRightInd w:val="0"/>
        <w:snapToGrid w:val="0"/>
        <w:spacing w:line="288" w:lineRule="auto"/>
        <w:rPr>
          <w:rFonts w:hint="default" w:ascii="Times New Roman" w:hAnsi="Times New Roman" w:eastAsia="宋体" w:cs="Times New Roman"/>
          <w:color w:val="auto"/>
          <w:sz w:val="36"/>
          <w:szCs w:val="36"/>
          <w:highlight w:val="none"/>
        </w:rPr>
      </w:pPr>
      <w:bookmarkStart w:id="3" w:name="_Hlk57884087"/>
    </w:p>
    <w:p w14:paraId="44E3D956">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59CEAD03">
      <w:pP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3"/>
    <w:p w14:paraId="57E16476">
      <w:pPr>
        <w:adjustRightInd w:val="0"/>
        <w:snapToGrid w:val="0"/>
        <w:spacing w:line="288" w:lineRule="auto"/>
        <w:jc w:val="center"/>
        <w:outlineLvl w:val="0"/>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440" w:right="1800" w:bottom="1440" w:left="1800" w:header="851" w:footer="1077" w:gutter="0"/>
          <w:pgNumType w:start="3"/>
          <w:cols w:space="720" w:num="1"/>
          <w:docGrid w:linePitch="312" w:charSpace="0"/>
        </w:sectPr>
      </w:pPr>
      <w:bookmarkStart w:id="4" w:name="_Toc7101"/>
      <w:bookmarkStart w:id="5" w:name="_Toc18903"/>
      <w:bookmarkStart w:id="6" w:name="_Toc24176"/>
      <w:bookmarkStart w:id="7" w:name="_Toc31099"/>
      <w:bookmarkStart w:id="8" w:name="_Toc22968"/>
      <w:r>
        <w:rPr>
          <w:rFonts w:hint="default" w:ascii="Times New Roman" w:hAnsi="Times New Roman" w:eastAsia="宋体" w:cs="Times New Roman"/>
          <w:color w:val="auto"/>
          <w:sz w:val="36"/>
          <w:szCs w:val="36"/>
          <w:highlight w:val="none"/>
        </w:rPr>
        <w:t>中华人民共和国生态环境部制</w:t>
      </w:r>
      <w:bookmarkEnd w:id="4"/>
      <w:bookmarkEnd w:id="5"/>
      <w:bookmarkEnd w:id="6"/>
    </w:p>
    <w:p w14:paraId="38423F1E">
      <w:pPr>
        <w:pStyle w:val="4"/>
        <w:rPr>
          <w:rFonts w:hint="eastAsia" w:eastAsia="黑体"/>
          <w:color w:val="auto"/>
          <w:lang w:eastAsia="zh-CN"/>
        </w:rPr>
        <w:sectPr>
          <w:pgSz w:w="11906" w:h="16838"/>
          <w:pgMar w:top="1440" w:right="1800" w:bottom="1440" w:left="1800" w:header="851" w:footer="1077" w:gutter="0"/>
          <w:pgNumType w:start="3"/>
          <w:cols w:space="720" w:num="1"/>
          <w:docGrid w:linePitch="312" w:charSpace="0"/>
        </w:sectPr>
      </w:pPr>
      <w:r>
        <w:rPr>
          <w:rFonts w:hint="eastAsia" w:eastAsia="黑体"/>
          <w:color w:val="auto"/>
          <w:lang w:eastAsia="zh-CN"/>
        </w:rPr>
        <w:drawing>
          <wp:anchor distT="0" distB="0" distL="114300" distR="114300" simplePos="0" relativeHeight="251666432" behindDoc="0" locked="0" layoutInCell="1" allowOverlap="1">
            <wp:simplePos x="0" y="0"/>
            <wp:positionH relativeFrom="column">
              <wp:posOffset>-1121410</wp:posOffset>
            </wp:positionH>
            <wp:positionV relativeFrom="paragraph">
              <wp:posOffset>-897890</wp:posOffset>
            </wp:positionV>
            <wp:extent cx="7538720" cy="10671810"/>
            <wp:effectExtent l="0" t="0" r="5080" b="15240"/>
            <wp:wrapNone/>
            <wp:docPr id="95" name="图片 95" descr="扫描件_建设项目环境影响报告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扫描件_建设项目环境影响报告表_02"/>
                    <pic:cNvPicPr>
                      <a:picLocks noChangeAspect="1"/>
                    </pic:cNvPicPr>
                  </pic:nvPicPr>
                  <pic:blipFill>
                    <a:blip r:embed="rId11"/>
                    <a:srcRect b="7140"/>
                    <a:stretch>
                      <a:fillRect/>
                    </a:stretch>
                  </pic:blipFill>
                  <pic:spPr>
                    <a:xfrm>
                      <a:off x="0" y="0"/>
                      <a:ext cx="7538720" cy="10671810"/>
                    </a:xfrm>
                    <a:prstGeom prst="rect">
                      <a:avLst/>
                    </a:prstGeom>
                  </pic:spPr>
                </pic:pic>
              </a:graphicData>
            </a:graphic>
          </wp:anchor>
        </w:drawing>
      </w:r>
    </w:p>
    <w:p w14:paraId="0C513B21">
      <w:pPr>
        <w:rPr>
          <w:rFonts w:hint="eastAsia"/>
          <w:lang w:eastAsia="zh-CN"/>
        </w:rPr>
        <w:sectPr>
          <w:pgSz w:w="11906" w:h="16838"/>
          <w:pgMar w:top="1440" w:right="1800" w:bottom="1440" w:left="1800" w:header="851" w:footer="1077" w:gutter="0"/>
          <w:pgNumType w:start="3"/>
          <w:cols w:space="720" w:num="1"/>
          <w:docGrid w:linePitch="312" w:charSpace="0"/>
        </w:sectPr>
      </w:pPr>
      <w:r>
        <w:rPr>
          <w:rFonts w:hint="eastAsia"/>
          <w:lang w:eastAsia="zh-CN"/>
        </w:rPr>
        <w:drawing>
          <wp:anchor distT="0" distB="0" distL="114300" distR="114300" simplePos="0" relativeHeight="251667456" behindDoc="0" locked="0" layoutInCell="1" allowOverlap="1">
            <wp:simplePos x="0" y="0"/>
            <wp:positionH relativeFrom="column">
              <wp:posOffset>-1121410</wp:posOffset>
            </wp:positionH>
            <wp:positionV relativeFrom="paragraph">
              <wp:posOffset>-899795</wp:posOffset>
            </wp:positionV>
            <wp:extent cx="7524750" cy="10682605"/>
            <wp:effectExtent l="0" t="0" r="0" b="4445"/>
            <wp:wrapNone/>
            <wp:docPr id="96" name="图片 96" descr="扫描件_建设项目环境影响报告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扫描件_建设项目环境影响报告表_03"/>
                    <pic:cNvPicPr>
                      <a:picLocks noChangeAspect="1"/>
                    </pic:cNvPicPr>
                  </pic:nvPicPr>
                  <pic:blipFill>
                    <a:blip r:embed="rId12"/>
                    <a:srcRect b="6871"/>
                    <a:stretch>
                      <a:fillRect/>
                    </a:stretch>
                  </pic:blipFill>
                  <pic:spPr>
                    <a:xfrm>
                      <a:off x="0" y="0"/>
                      <a:ext cx="7524750" cy="10682605"/>
                    </a:xfrm>
                    <a:prstGeom prst="rect">
                      <a:avLst/>
                    </a:prstGeom>
                  </pic:spPr>
                </pic:pic>
              </a:graphicData>
            </a:graphic>
          </wp:anchor>
        </w:drawing>
      </w:r>
    </w:p>
    <w:p w14:paraId="3A5D1B4F">
      <w:pPr>
        <w:pStyle w:val="4"/>
        <w:rPr>
          <w:rFonts w:hint="eastAsia" w:eastAsia="黑体"/>
          <w:color w:val="auto"/>
          <w:lang w:eastAsia="zh-CN"/>
        </w:rPr>
        <w:sectPr>
          <w:pgSz w:w="16838" w:h="11906" w:orient="landscape"/>
          <w:pgMar w:top="1440" w:right="1800" w:bottom="1440" w:left="1800" w:header="851" w:footer="1077" w:gutter="0"/>
          <w:pgNumType w:start="3"/>
          <w:cols w:space="720" w:num="1"/>
          <w:docGrid w:linePitch="312" w:charSpace="0"/>
        </w:sectPr>
      </w:pPr>
      <w:r>
        <w:rPr>
          <w:rFonts w:hint="eastAsia" w:eastAsia="黑体"/>
          <w:color w:val="auto"/>
          <w:lang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-919480</wp:posOffset>
            </wp:positionV>
            <wp:extent cx="10682605" cy="7498080"/>
            <wp:effectExtent l="0" t="0" r="4445" b="7620"/>
            <wp:wrapNone/>
            <wp:docPr id="57" name="图片 57" descr="中玖营业执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中玖营业执照(1)"/>
                    <pic:cNvPicPr>
                      <a:picLocks noChangeAspect="1"/>
                    </pic:cNvPicPr>
                  </pic:nvPicPr>
                  <pic:blipFill>
                    <a:blip r:embed="rId13"/>
                    <a:stretch>
                      <a:fillRect/>
                    </a:stretch>
                  </pic:blipFill>
                  <pic:spPr>
                    <a:xfrm>
                      <a:off x="0" y="0"/>
                      <a:ext cx="10682605" cy="7498080"/>
                    </a:xfrm>
                    <a:prstGeom prst="rect">
                      <a:avLst/>
                    </a:prstGeom>
                  </pic:spPr>
                </pic:pic>
              </a:graphicData>
            </a:graphic>
          </wp:anchor>
        </w:drawing>
      </w:r>
    </w:p>
    <w:p w14:paraId="1A4A8EED">
      <w:pPr>
        <w:rPr>
          <w:rFonts w:hint="eastAsia"/>
          <w:lang w:eastAsia="zh-CN"/>
        </w:rPr>
        <w:sectPr>
          <w:pgSz w:w="16838" w:h="11906" w:orient="landscape"/>
          <w:pgMar w:top="1440" w:right="1800" w:bottom="1440" w:left="1800" w:header="851" w:footer="1077" w:gutter="0"/>
          <w:pgNumType w:start="3"/>
          <w:cols w:space="720" w:num="1"/>
          <w:docGrid w:linePitch="312" w:charSpace="0"/>
        </w:sectPr>
      </w:pPr>
      <w:r>
        <w:rPr>
          <w:rFonts w:hint="eastAsia"/>
          <w:lang w:eastAsia="zh-CN"/>
        </w:rPr>
        <w:drawing>
          <wp:anchor distT="0" distB="0" distL="114300" distR="114300" simplePos="0" relativeHeight="251663360" behindDoc="0" locked="0" layoutInCell="1" allowOverlap="1">
            <wp:simplePos x="0" y="0"/>
            <wp:positionH relativeFrom="column">
              <wp:posOffset>-1125220</wp:posOffset>
            </wp:positionH>
            <wp:positionV relativeFrom="paragraph">
              <wp:posOffset>-909320</wp:posOffset>
            </wp:positionV>
            <wp:extent cx="10694670" cy="7519670"/>
            <wp:effectExtent l="0" t="0" r="11430" b="5080"/>
            <wp:wrapNone/>
            <wp:docPr id="62" name="图片 62" descr="工程师证--锐实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工程师证--锐实达"/>
                    <pic:cNvPicPr>
                      <a:picLocks noChangeAspect="1"/>
                    </pic:cNvPicPr>
                  </pic:nvPicPr>
                  <pic:blipFill>
                    <a:blip r:embed="rId14"/>
                    <a:stretch>
                      <a:fillRect/>
                    </a:stretch>
                  </pic:blipFill>
                  <pic:spPr>
                    <a:xfrm>
                      <a:off x="0" y="0"/>
                      <a:ext cx="10694670" cy="7519670"/>
                    </a:xfrm>
                    <a:prstGeom prst="rect">
                      <a:avLst/>
                    </a:prstGeom>
                  </pic:spPr>
                </pic:pic>
              </a:graphicData>
            </a:graphic>
          </wp:anchor>
        </w:drawing>
      </w:r>
    </w:p>
    <w:p w14:paraId="1AB0C3D3">
      <w:pPr>
        <w:pStyle w:val="2"/>
        <w:rPr>
          <w:rFonts w:hint="eastAsia"/>
          <w:lang w:eastAsia="zh-CN"/>
        </w:rPr>
        <w:sectPr>
          <w:pgSz w:w="11906" w:h="16838"/>
          <w:pgMar w:top="1440" w:right="1800" w:bottom="1440" w:left="1800" w:header="851" w:footer="1077" w:gutter="0"/>
          <w:pgNumType w:start="3"/>
          <w:cols w:space="720" w:num="1"/>
          <w:docGrid w:linePitch="312" w:charSpace="0"/>
        </w:sectPr>
      </w:pPr>
      <w:r>
        <w:rPr>
          <w:rFonts w:hint="eastAsia"/>
          <w:lang w:eastAsia="zh-CN"/>
        </w:rPr>
        <w:drawing>
          <wp:anchor distT="0" distB="0" distL="114300" distR="114300" simplePos="0" relativeHeight="251664384" behindDoc="0" locked="0" layoutInCell="1" allowOverlap="1">
            <wp:simplePos x="0" y="0"/>
            <wp:positionH relativeFrom="column">
              <wp:posOffset>-1125855</wp:posOffset>
            </wp:positionH>
            <wp:positionV relativeFrom="paragraph">
              <wp:posOffset>-917575</wp:posOffset>
            </wp:positionV>
            <wp:extent cx="7559675" cy="10682605"/>
            <wp:effectExtent l="0" t="0" r="3175" b="4445"/>
            <wp:wrapNone/>
            <wp:docPr id="93" name="图片 93" descr="社保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社保_00"/>
                    <pic:cNvPicPr>
                      <a:picLocks noChangeAspect="1"/>
                    </pic:cNvPicPr>
                  </pic:nvPicPr>
                  <pic:blipFill>
                    <a:blip r:embed="rId15"/>
                    <a:stretch>
                      <a:fillRect/>
                    </a:stretch>
                  </pic:blipFill>
                  <pic:spPr>
                    <a:xfrm>
                      <a:off x="0" y="0"/>
                      <a:ext cx="7559675" cy="10682605"/>
                    </a:xfrm>
                    <a:prstGeom prst="rect">
                      <a:avLst/>
                    </a:prstGeom>
                  </pic:spPr>
                </pic:pic>
              </a:graphicData>
            </a:graphic>
          </wp:anchor>
        </w:drawing>
      </w:r>
    </w:p>
    <w:sdt>
      <w:sdtPr>
        <w:rPr>
          <w:rFonts w:ascii="宋体" w:hAnsi="宋体" w:eastAsia="宋体" w:cs="Times New Roman"/>
          <w:color w:val="auto"/>
          <w:kern w:val="2"/>
          <w:sz w:val="21"/>
          <w:szCs w:val="24"/>
          <w:lang w:val="en-US" w:eastAsia="zh-CN" w:bidi="ar-SA"/>
        </w:rPr>
        <w:id w:val="147478601"/>
        <w15:color w:val="DBDBDB"/>
        <w:docPartObj>
          <w:docPartGallery w:val="Table of Contents"/>
          <w:docPartUnique/>
        </w:docPartObj>
      </w:sdtPr>
      <w:sdtEndPr>
        <w:rPr>
          <w:rFonts w:hint="default" w:ascii="宋体" w:hAnsi="宋体" w:eastAsia="宋体" w:cs="Times New Roman"/>
          <w:color w:val="auto"/>
          <w:kern w:val="2"/>
          <w:sz w:val="24"/>
          <w:szCs w:val="24"/>
          <w:lang w:val="en-US" w:eastAsia="zh-CN" w:bidi="ar-SA"/>
        </w:rPr>
      </w:sdtEndPr>
      <w:sdtContent>
        <w:p w14:paraId="03214F2F">
          <w:pPr>
            <w:spacing w:before="0" w:beforeLines="0" w:after="0" w:afterLines="0" w:line="360" w:lineRule="auto"/>
            <w:ind w:left="0" w:leftChars="0" w:right="0" w:rightChars="0" w:firstLine="0" w:firstLineChars="0"/>
            <w:jc w:val="center"/>
            <w:rPr>
              <w:color w:val="auto"/>
              <w:sz w:val="24"/>
              <w:szCs w:val="24"/>
            </w:rPr>
          </w:pPr>
          <w:r>
            <w:rPr>
              <w:rFonts w:hint="eastAsia" w:ascii="黑体" w:hAnsi="黑体" w:eastAsia="黑体" w:cs="黑体"/>
              <w:color w:val="auto"/>
              <w:sz w:val="32"/>
              <w:szCs w:val="32"/>
            </w:rPr>
            <w:t>目</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录</w:t>
          </w:r>
          <w:r>
            <w:rPr>
              <w:rFonts w:hint="default"/>
              <w:color w:val="auto"/>
              <w:sz w:val="24"/>
              <w:szCs w:val="24"/>
            </w:rPr>
            <w:fldChar w:fldCharType="begin"/>
          </w:r>
          <w:r>
            <w:rPr>
              <w:rFonts w:hint="default"/>
              <w:color w:val="auto"/>
              <w:sz w:val="24"/>
              <w:szCs w:val="24"/>
            </w:rPr>
            <w:instrText xml:space="preserve">TOC \o "1-1" \h \u </w:instrText>
          </w:r>
          <w:r>
            <w:rPr>
              <w:rFonts w:hint="default"/>
              <w:color w:val="auto"/>
              <w:sz w:val="24"/>
              <w:szCs w:val="24"/>
            </w:rPr>
            <w:fldChar w:fldCharType="separate"/>
          </w:r>
        </w:p>
        <w:p w14:paraId="2423B504">
          <w:pPr>
            <w:pStyle w:val="23"/>
            <w:tabs>
              <w:tab w:val="right" w:leader="dot" w:pos="8306"/>
            </w:tabs>
            <w:spacing w:line="360" w:lineRule="auto"/>
            <w:rPr>
              <w:color w:val="auto"/>
              <w:sz w:val="24"/>
              <w:szCs w:val="24"/>
            </w:rPr>
          </w:pPr>
          <w:r>
            <w:rPr>
              <w:rFonts w:hint="default"/>
              <w:color w:val="auto"/>
              <w:sz w:val="24"/>
              <w:szCs w:val="24"/>
            </w:rPr>
            <w:fldChar w:fldCharType="begin"/>
          </w:r>
          <w:r>
            <w:rPr>
              <w:rFonts w:hint="default"/>
              <w:color w:val="auto"/>
              <w:sz w:val="24"/>
              <w:szCs w:val="24"/>
            </w:rPr>
            <w:instrText xml:space="preserve"> HYPERLINK \l _Toc7615 </w:instrText>
          </w:r>
          <w:r>
            <w:rPr>
              <w:rFonts w:hint="default"/>
              <w:color w:val="auto"/>
              <w:sz w:val="24"/>
              <w:szCs w:val="24"/>
            </w:rPr>
            <w:fldChar w:fldCharType="separate"/>
          </w:r>
          <w:r>
            <w:rPr>
              <w:rFonts w:hint="default" w:ascii="Times New Roman" w:hAnsi="Times New Roman" w:eastAsia="宋体" w:cs="Times New Roman"/>
              <w:snapToGrid w:val="0"/>
              <w:color w:val="auto"/>
              <w:sz w:val="24"/>
              <w:szCs w:val="24"/>
              <w:highlight w:val="none"/>
            </w:rPr>
            <w:t>一、建设项目基本情况</w:t>
          </w:r>
          <w:r>
            <w:rPr>
              <w:color w:val="auto"/>
              <w:sz w:val="24"/>
              <w:szCs w:val="24"/>
            </w:rPr>
            <w:tab/>
          </w:r>
          <w:r>
            <w:rPr>
              <w:color w:val="auto"/>
              <w:sz w:val="24"/>
              <w:szCs w:val="24"/>
            </w:rPr>
            <w:fldChar w:fldCharType="begin"/>
          </w:r>
          <w:r>
            <w:rPr>
              <w:color w:val="auto"/>
              <w:sz w:val="24"/>
              <w:szCs w:val="24"/>
            </w:rPr>
            <w:instrText xml:space="preserve"> PAGEREF _Toc7615 \h </w:instrText>
          </w:r>
          <w:r>
            <w:rPr>
              <w:color w:val="auto"/>
              <w:sz w:val="24"/>
              <w:szCs w:val="24"/>
            </w:rPr>
            <w:fldChar w:fldCharType="separate"/>
          </w:r>
          <w:r>
            <w:rPr>
              <w:color w:val="auto"/>
              <w:sz w:val="24"/>
              <w:szCs w:val="24"/>
            </w:rPr>
            <w:t>1</w:t>
          </w:r>
          <w:r>
            <w:rPr>
              <w:color w:val="auto"/>
              <w:sz w:val="24"/>
              <w:szCs w:val="24"/>
            </w:rPr>
            <w:fldChar w:fldCharType="end"/>
          </w:r>
          <w:r>
            <w:rPr>
              <w:rFonts w:hint="default"/>
              <w:color w:val="auto"/>
              <w:sz w:val="24"/>
              <w:szCs w:val="24"/>
            </w:rPr>
            <w:fldChar w:fldCharType="end"/>
          </w:r>
        </w:p>
        <w:p w14:paraId="4B4E84DE">
          <w:pPr>
            <w:pStyle w:val="23"/>
            <w:tabs>
              <w:tab w:val="right" w:leader="dot" w:pos="8306"/>
            </w:tabs>
            <w:spacing w:line="360" w:lineRule="auto"/>
            <w:rPr>
              <w:color w:val="auto"/>
              <w:sz w:val="24"/>
              <w:szCs w:val="24"/>
            </w:rPr>
          </w:pPr>
          <w:r>
            <w:rPr>
              <w:rFonts w:hint="default"/>
              <w:color w:val="auto"/>
              <w:sz w:val="24"/>
              <w:szCs w:val="24"/>
            </w:rPr>
            <w:fldChar w:fldCharType="begin"/>
          </w:r>
          <w:r>
            <w:rPr>
              <w:rFonts w:hint="default"/>
              <w:color w:val="auto"/>
              <w:sz w:val="24"/>
              <w:szCs w:val="24"/>
            </w:rPr>
            <w:instrText xml:space="preserve"> HYPERLINK \l _Toc14126 </w:instrText>
          </w:r>
          <w:r>
            <w:rPr>
              <w:rFonts w:hint="default"/>
              <w:color w:val="auto"/>
              <w:sz w:val="24"/>
              <w:szCs w:val="24"/>
            </w:rPr>
            <w:fldChar w:fldCharType="separate"/>
          </w:r>
          <w:r>
            <w:rPr>
              <w:rFonts w:hint="default" w:ascii="Times New Roman" w:hAnsi="Times New Roman" w:eastAsia="宋体" w:cs="Times New Roman"/>
              <w:snapToGrid w:val="0"/>
              <w:color w:val="auto"/>
              <w:sz w:val="24"/>
              <w:szCs w:val="24"/>
              <w:highlight w:val="none"/>
            </w:rPr>
            <w:t>二、建设项目工程分析</w:t>
          </w:r>
          <w:r>
            <w:rPr>
              <w:color w:val="auto"/>
              <w:sz w:val="24"/>
              <w:szCs w:val="24"/>
            </w:rPr>
            <w:tab/>
          </w:r>
          <w:r>
            <w:rPr>
              <w:color w:val="auto"/>
              <w:sz w:val="24"/>
              <w:szCs w:val="24"/>
            </w:rPr>
            <w:fldChar w:fldCharType="begin"/>
          </w:r>
          <w:r>
            <w:rPr>
              <w:color w:val="auto"/>
              <w:sz w:val="24"/>
              <w:szCs w:val="24"/>
            </w:rPr>
            <w:instrText xml:space="preserve"> PAGEREF _Toc14126 \h </w:instrText>
          </w:r>
          <w:r>
            <w:rPr>
              <w:color w:val="auto"/>
              <w:sz w:val="24"/>
              <w:szCs w:val="24"/>
            </w:rPr>
            <w:fldChar w:fldCharType="separate"/>
          </w:r>
          <w:r>
            <w:rPr>
              <w:color w:val="auto"/>
              <w:sz w:val="24"/>
              <w:szCs w:val="24"/>
            </w:rPr>
            <w:t>25</w:t>
          </w:r>
          <w:r>
            <w:rPr>
              <w:color w:val="auto"/>
              <w:sz w:val="24"/>
              <w:szCs w:val="24"/>
            </w:rPr>
            <w:fldChar w:fldCharType="end"/>
          </w:r>
          <w:r>
            <w:rPr>
              <w:rFonts w:hint="default"/>
              <w:color w:val="auto"/>
              <w:sz w:val="24"/>
              <w:szCs w:val="24"/>
            </w:rPr>
            <w:fldChar w:fldCharType="end"/>
          </w:r>
        </w:p>
        <w:p w14:paraId="239C61C3">
          <w:pPr>
            <w:pStyle w:val="23"/>
            <w:tabs>
              <w:tab w:val="right" w:leader="dot" w:pos="8306"/>
            </w:tabs>
            <w:spacing w:line="360" w:lineRule="auto"/>
            <w:rPr>
              <w:color w:val="auto"/>
              <w:sz w:val="24"/>
              <w:szCs w:val="24"/>
            </w:rPr>
          </w:pPr>
          <w:r>
            <w:rPr>
              <w:rFonts w:hint="default"/>
              <w:color w:val="auto"/>
              <w:sz w:val="24"/>
              <w:szCs w:val="24"/>
            </w:rPr>
            <w:fldChar w:fldCharType="begin"/>
          </w:r>
          <w:r>
            <w:rPr>
              <w:rFonts w:hint="default"/>
              <w:color w:val="auto"/>
              <w:sz w:val="24"/>
              <w:szCs w:val="24"/>
            </w:rPr>
            <w:instrText xml:space="preserve"> HYPERLINK \l _Toc32276 </w:instrText>
          </w:r>
          <w:r>
            <w:rPr>
              <w:rFonts w:hint="default"/>
              <w:color w:val="auto"/>
              <w:sz w:val="24"/>
              <w:szCs w:val="24"/>
            </w:rPr>
            <w:fldChar w:fldCharType="separate"/>
          </w:r>
          <w:r>
            <w:rPr>
              <w:rFonts w:hint="default" w:ascii="Times New Roman" w:hAnsi="Times New Roman" w:eastAsia="宋体" w:cs="Times New Roman"/>
              <w:snapToGrid w:val="0"/>
              <w:color w:val="auto"/>
              <w:sz w:val="24"/>
              <w:szCs w:val="24"/>
              <w:highlight w:val="none"/>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_Toc32276 \h </w:instrText>
          </w:r>
          <w:r>
            <w:rPr>
              <w:color w:val="auto"/>
              <w:sz w:val="24"/>
              <w:szCs w:val="24"/>
            </w:rPr>
            <w:fldChar w:fldCharType="separate"/>
          </w:r>
          <w:r>
            <w:rPr>
              <w:color w:val="auto"/>
              <w:sz w:val="24"/>
              <w:szCs w:val="24"/>
            </w:rPr>
            <w:t>36</w:t>
          </w:r>
          <w:r>
            <w:rPr>
              <w:color w:val="auto"/>
              <w:sz w:val="24"/>
              <w:szCs w:val="24"/>
            </w:rPr>
            <w:fldChar w:fldCharType="end"/>
          </w:r>
          <w:r>
            <w:rPr>
              <w:rFonts w:hint="default"/>
              <w:color w:val="auto"/>
              <w:sz w:val="24"/>
              <w:szCs w:val="24"/>
            </w:rPr>
            <w:fldChar w:fldCharType="end"/>
          </w:r>
        </w:p>
        <w:p w14:paraId="4474C359">
          <w:pPr>
            <w:pStyle w:val="23"/>
            <w:tabs>
              <w:tab w:val="right" w:leader="dot" w:pos="8306"/>
            </w:tabs>
            <w:spacing w:line="360" w:lineRule="auto"/>
            <w:rPr>
              <w:color w:val="auto"/>
              <w:sz w:val="24"/>
              <w:szCs w:val="24"/>
            </w:rPr>
          </w:pPr>
          <w:r>
            <w:rPr>
              <w:rFonts w:hint="default"/>
              <w:color w:val="auto"/>
              <w:sz w:val="24"/>
              <w:szCs w:val="24"/>
            </w:rPr>
            <w:fldChar w:fldCharType="begin"/>
          </w:r>
          <w:r>
            <w:rPr>
              <w:rFonts w:hint="default"/>
              <w:color w:val="auto"/>
              <w:sz w:val="24"/>
              <w:szCs w:val="24"/>
            </w:rPr>
            <w:instrText xml:space="preserve"> HYPERLINK \l _Toc9401 </w:instrText>
          </w:r>
          <w:r>
            <w:rPr>
              <w:rFonts w:hint="default"/>
              <w:color w:val="auto"/>
              <w:sz w:val="24"/>
              <w:szCs w:val="24"/>
            </w:rPr>
            <w:fldChar w:fldCharType="separate"/>
          </w:r>
          <w:r>
            <w:rPr>
              <w:rFonts w:hint="default" w:ascii="Times New Roman" w:hAnsi="Times New Roman" w:eastAsia="宋体" w:cs="Times New Roman"/>
              <w:snapToGrid w:val="0"/>
              <w:color w:val="auto"/>
              <w:sz w:val="24"/>
              <w:szCs w:val="24"/>
              <w:highlight w:val="none"/>
            </w:rPr>
            <w:t>四、主要环境影响和保护措施</w:t>
          </w:r>
          <w:r>
            <w:rPr>
              <w:color w:val="auto"/>
              <w:sz w:val="24"/>
              <w:szCs w:val="24"/>
            </w:rPr>
            <w:tab/>
          </w:r>
          <w:r>
            <w:rPr>
              <w:color w:val="auto"/>
              <w:sz w:val="24"/>
              <w:szCs w:val="24"/>
            </w:rPr>
            <w:fldChar w:fldCharType="begin"/>
          </w:r>
          <w:r>
            <w:rPr>
              <w:color w:val="auto"/>
              <w:sz w:val="24"/>
              <w:szCs w:val="24"/>
            </w:rPr>
            <w:instrText xml:space="preserve"> PAGEREF _Toc9401 \h </w:instrText>
          </w:r>
          <w:r>
            <w:rPr>
              <w:color w:val="auto"/>
              <w:sz w:val="24"/>
              <w:szCs w:val="24"/>
            </w:rPr>
            <w:fldChar w:fldCharType="separate"/>
          </w:r>
          <w:r>
            <w:rPr>
              <w:color w:val="auto"/>
              <w:sz w:val="24"/>
              <w:szCs w:val="24"/>
            </w:rPr>
            <w:t>49</w:t>
          </w:r>
          <w:r>
            <w:rPr>
              <w:color w:val="auto"/>
              <w:sz w:val="24"/>
              <w:szCs w:val="24"/>
            </w:rPr>
            <w:fldChar w:fldCharType="end"/>
          </w:r>
          <w:r>
            <w:rPr>
              <w:rFonts w:hint="default"/>
              <w:color w:val="auto"/>
              <w:sz w:val="24"/>
              <w:szCs w:val="24"/>
            </w:rPr>
            <w:fldChar w:fldCharType="end"/>
          </w:r>
        </w:p>
        <w:p w14:paraId="750FB4AE">
          <w:pPr>
            <w:pStyle w:val="23"/>
            <w:tabs>
              <w:tab w:val="right" w:leader="dot" w:pos="8306"/>
            </w:tabs>
            <w:spacing w:line="360" w:lineRule="auto"/>
            <w:rPr>
              <w:color w:val="auto"/>
              <w:sz w:val="24"/>
              <w:szCs w:val="24"/>
            </w:rPr>
          </w:pPr>
          <w:r>
            <w:rPr>
              <w:rFonts w:hint="default"/>
              <w:color w:val="auto"/>
              <w:sz w:val="24"/>
              <w:szCs w:val="24"/>
            </w:rPr>
            <w:fldChar w:fldCharType="begin"/>
          </w:r>
          <w:r>
            <w:rPr>
              <w:rFonts w:hint="default"/>
              <w:color w:val="auto"/>
              <w:sz w:val="24"/>
              <w:szCs w:val="24"/>
            </w:rPr>
            <w:instrText xml:space="preserve"> HYPERLINK \l _Toc491 </w:instrText>
          </w:r>
          <w:r>
            <w:rPr>
              <w:rFonts w:hint="default"/>
              <w:color w:val="auto"/>
              <w:sz w:val="24"/>
              <w:szCs w:val="24"/>
            </w:rPr>
            <w:fldChar w:fldCharType="separate"/>
          </w:r>
          <w:r>
            <w:rPr>
              <w:rFonts w:hint="default" w:ascii="Times New Roman" w:hAnsi="Times New Roman" w:eastAsia="宋体" w:cs="Times New Roman"/>
              <w:snapToGrid w:val="0"/>
              <w:color w:val="auto"/>
              <w:sz w:val="24"/>
              <w:szCs w:val="24"/>
              <w:highlight w:val="none"/>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_Toc491 \h </w:instrText>
          </w:r>
          <w:r>
            <w:rPr>
              <w:color w:val="auto"/>
              <w:sz w:val="24"/>
              <w:szCs w:val="24"/>
            </w:rPr>
            <w:fldChar w:fldCharType="separate"/>
          </w:r>
          <w:r>
            <w:rPr>
              <w:color w:val="auto"/>
              <w:sz w:val="24"/>
              <w:szCs w:val="24"/>
            </w:rPr>
            <w:t>84</w:t>
          </w:r>
          <w:r>
            <w:rPr>
              <w:color w:val="auto"/>
              <w:sz w:val="24"/>
              <w:szCs w:val="24"/>
            </w:rPr>
            <w:fldChar w:fldCharType="end"/>
          </w:r>
          <w:r>
            <w:rPr>
              <w:rFonts w:hint="default"/>
              <w:color w:val="auto"/>
              <w:sz w:val="24"/>
              <w:szCs w:val="24"/>
            </w:rPr>
            <w:fldChar w:fldCharType="end"/>
          </w:r>
        </w:p>
        <w:p w14:paraId="2159F319">
          <w:pPr>
            <w:pStyle w:val="23"/>
            <w:tabs>
              <w:tab w:val="right" w:leader="dot" w:pos="8306"/>
            </w:tabs>
            <w:spacing w:line="360" w:lineRule="auto"/>
            <w:rPr>
              <w:color w:val="auto"/>
              <w:sz w:val="24"/>
              <w:szCs w:val="24"/>
            </w:rPr>
          </w:pPr>
          <w:r>
            <w:rPr>
              <w:rFonts w:hint="default"/>
              <w:color w:val="auto"/>
              <w:sz w:val="24"/>
              <w:szCs w:val="24"/>
            </w:rPr>
            <w:fldChar w:fldCharType="begin"/>
          </w:r>
          <w:r>
            <w:rPr>
              <w:rFonts w:hint="default"/>
              <w:color w:val="auto"/>
              <w:sz w:val="24"/>
              <w:szCs w:val="24"/>
            </w:rPr>
            <w:instrText xml:space="preserve"> HYPERLINK \l _Toc17986 </w:instrText>
          </w:r>
          <w:r>
            <w:rPr>
              <w:rFonts w:hint="default"/>
              <w:color w:val="auto"/>
              <w:sz w:val="24"/>
              <w:szCs w:val="24"/>
            </w:rPr>
            <w:fldChar w:fldCharType="separate"/>
          </w:r>
          <w:r>
            <w:rPr>
              <w:rFonts w:hint="default" w:ascii="Times New Roman" w:hAnsi="Times New Roman" w:eastAsia="宋体" w:cs="Times New Roman"/>
              <w:snapToGrid w:val="0"/>
              <w:color w:val="auto"/>
              <w:sz w:val="24"/>
              <w:szCs w:val="24"/>
              <w:highlight w:val="none"/>
            </w:rPr>
            <w:t>六、结论</w:t>
          </w:r>
          <w:r>
            <w:rPr>
              <w:color w:val="auto"/>
              <w:sz w:val="24"/>
              <w:szCs w:val="24"/>
            </w:rPr>
            <w:tab/>
          </w:r>
          <w:r>
            <w:rPr>
              <w:color w:val="auto"/>
              <w:sz w:val="24"/>
              <w:szCs w:val="24"/>
            </w:rPr>
            <w:fldChar w:fldCharType="begin"/>
          </w:r>
          <w:r>
            <w:rPr>
              <w:color w:val="auto"/>
              <w:sz w:val="24"/>
              <w:szCs w:val="24"/>
            </w:rPr>
            <w:instrText xml:space="preserve"> PAGEREF _Toc17986 \h </w:instrText>
          </w:r>
          <w:r>
            <w:rPr>
              <w:color w:val="auto"/>
              <w:sz w:val="24"/>
              <w:szCs w:val="24"/>
            </w:rPr>
            <w:fldChar w:fldCharType="separate"/>
          </w:r>
          <w:r>
            <w:rPr>
              <w:color w:val="auto"/>
              <w:sz w:val="24"/>
              <w:szCs w:val="24"/>
            </w:rPr>
            <w:t>86</w:t>
          </w:r>
          <w:r>
            <w:rPr>
              <w:color w:val="auto"/>
              <w:sz w:val="24"/>
              <w:szCs w:val="24"/>
            </w:rPr>
            <w:fldChar w:fldCharType="end"/>
          </w:r>
          <w:r>
            <w:rPr>
              <w:rFonts w:hint="default"/>
              <w:color w:val="auto"/>
              <w:sz w:val="24"/>
              <w:szCs w:val="24"/>
            </w:rPr>
            <w:fldChar w:fldCharType="end"/>
          </w:r>
        </w:p>
        <w:p w14:paraId="5BEE1BC8">
          <w:pPr>
            <w:pStyle w:val="23"/>
            <w:tabs>
              <w:tab w:val="right" w:leader="dot" w:pos="8306"/>
            </w:tabs>
            <w:spacing w:line="360" w:lineRule="auto"/>
            <w:rPr>
              <w:b/>
              <w:bCs/>
              <w:color w:val="auto"/>
              <w:sz w:val="24"/>
              <w:szCs w:val="24"/>
            </w:rPr>
          </w:pPr>
          <w:r>
            <w:rPr>
              <w:rFonts w:hint="default"/>
              <w:b/>
              <w:bCs/>
              <w:color w:val="auto"/>
              <w:sz w:val="24"/>
              <w:szCs w:val="24"/>
            </w:rPr>
            <w:fldChar w:fldCharType="begin"/>
          </w:r>
          <w:r>
            <w:rPr>
              <w:rFonts w:hint="default"/>
              <w:b/>
              <w:bCs/>
              <w:color w:val="auto"/>
              <w:sz w:val="24"/>
              <w:szCs w:val="24"/>
            </w:rPr>
            <w:instrText xml:space="preserve"> HYPERLINK \l _Toc19290 </w:instrText>
          </w:r>
          <w:r>
            <w:rPr>
              <w:rFonts w:hint="default"/>
              <w:b/>
              <w:bCs/>
              <w:color w:val="auto"/>
              <w:sz w:val="24"/>
              <w:szCs w:val="24"/>
            </w:rPr>
            <w:fldChar w:fldCharType="separate"/>
          </w:r>
          <w:r>
            <w:rPr>
              <w:rFonts w:hint="default" w:ascii="Times New Roman" w:hAnsi="Times New Roman" w:eastAsia="宋体" w:cs="Times New Roman"/>
              <w:b/>
              <w:bCs/>
              <w:snapToGrid w:val="0"/>
              <w:color w:val="auto"/>
              <w:sz w:val="24"/>
              <w:szCs w:val="24"/>
              <w:highlight w:val="none"/>
            </w:rPr>
            <w:t>附表</w:t>
          </w:r>
          <w:r>
            <w:rPr>
              <w:rFonts w:hint="eastAsia"/>
              <w:b/>
              <w:bCs/>
              <w:color w:val="auto"/>
              <w:sz w:val="24"/>
              <w:szCs w:val="24"/>
              <w:lang w:eastAsia="zh-CN"/>
            </w:rPr>
            <w:t>：</w:t>
          </w:r>
          <w:r>
            <w:rPr>
              <w:rFonts w:hint="default"/>
              <w:b/>
              <w:bCs/>
              <w:color w:val="auto"/>
              <w:sz w:val="24"/>
              <w:szCs w:val="24"/>
            </w:rPr>
            <w:fldChar w:fldCharType="end"/>
          </w:r>
        </w:p>
        <w:p w14:paraId="3813CA35">
          <w:pPr>
            <w:pStyle w:val="23"/>
            <w:tabs>
              <w:tab w:val="right" w:leader="dot" w:pos="8306"/>
            </w:tabs>
            <w:spacing w:line="360" w:lineRule="auto"/>
            <w:rPr>
              <w:color w:val="auto"/>
              <w:sz w:val="24"/>
              <w:szCs w:val="24"/>
            </w:rPr>
          </w:pPr>
          <w:r>
            <w:rPr>
              <w:rFonts w:hint="default"/>
              <w:color w:val="auto"/>
              <w:sz w:val="24"/>
              <w:szCs w:val="24"/>
            </w:rPr>
            <w:fldChar w:fldCharType="begin"/>
          </w:r>
          <w:r>
            <w:rPr>
              <w:rFonts w:hint="default"/>
              <w:color w:val="auto"/>
              <w:sz w:val="24"/>
              <w:szCs w:val="24"/>
            </w:rPr>
            <w:instrText xml:space="preserve"> HYPERLINK \l _Toc9071 </w:instrText>
          </w:r>
          <w:r>
            <w:rPr>
              <w:rFonts w:hint="default"/>
              <w:color w:val="auto"/>
              <w:sz w:val="24"/>
              <w:szCs w:val="24"/>
            </w:rPr>
            <w:fldChar w:fldCharType="separate"/>
          </w:r>
          <w:r>
            <w:rPr>
              <w:rFonts w:hint="default" w:ascii="Times New Roman" w:hAnsi="Times New Roman" w:eastAsia="宋体" w:cs="Times New Roman"/>
              <w:snapToGrid w:val="0"/>
              <w:color w:val="auto"/>
              <w:sz w:val="24"/>
              <w:szCs w:val="24"/>
              <w:highlight w:val="none"/>
            </w:rPr>
            <w:t>建设项目污染物排放量汇总表</w:t>
          </w:r>
          <w:r>
            <w:rPr>
              <w:color w:val="auto"/>
              <w:sz w:val="24"/>
              <w:szCs w:val="24"/>
            </w:rPr>
            <w:tab/>
          </w:r>
          <w:r>
            <w:rPr>
              <w:color w:val="auto"/>
              <w:sz w:val="24"/>
              <w:szCs w:val="24"/>
            </w:rPr>
            <w:fldChar w:fldCharType="begin"/>
          </w:r>
          <w:r>
            <w:rPr>
              <w:color w:val="auto"/>
              <w:sz w:val="24"/>
              <w:szCs w:val="24"/>
            </w:rPr>
            <w:instrText xml:space="preserve"> PAGEREF _Toc9071 \h </w:instrText>
          </w:r>
          <w:r>
            <w:rPr>
              <w:color w:val="auto"/>
              <w:sz w:val="24"/>
              <w:szCs w:val="24"/>
            </w:rPr>
            <w:fldChar w:fldCharType="separate"/>
          </w:r>
          <w:r>
            <w:rPr>
              <w:color w:val="auto"/>
              <w:sz w:val="24"/>
              <w:szCs w:val="24"/>
            </w:rPr>
            <w:t>87</w:t>
          </w:r>
          <w:r>
            <w:rPr>
              <w:color w:val="auto"/>
              <w:sz w:val="24"/>
              <w:szCs w:val="24"/>
            </w:rPr>
            <w:fldChar w:fldCharType="end"/>
          </w:r>
          <w:r>
            <w:rPr>
              <w:rFonts w:hint="default"/>
              <w:color w:val="auto"/>
              <w:sz w:val="24"/>
              <w:szCs w:val="24"/>
            </w:rPr>
            <w:fldChar w:fldCharType="end"/>
          </w:r>
        </w:p>
        <w:p w14:paraId="5EFA1DAA">
          <w:pPr>
            <w:pStyle w:val="11"/>
            <w:spacing w:line="360" w:lineRule="auto"/>
            <w:ind w:left="0" w:leftChars="0" w:firstLine="0" w:firstLineChars="0"/>
            <w:rPr>
              <w:rFonts w:hint="eastAsia"/>
              <w:color w:val="auto"/>
              <w:sz w:val="24"/>
              <w:szCs w:val="24"/>
              <w:lang w:val="en-US" w:eastAsia="zh-CN"/>
            </w:rPr>
          </w:pPr>
          <w:r>
            <w:rPr>
              <w:rFonts w:hint="default"/>
              <w:color w:val="auto"/>
              <w:sz w:val="24"/>
              <w:szCs w:val="24"/>
            </w:rPr>
            <w:fldChar w:fldCharType="end"/>
          </w:r>
          <w:r>
            <w:rPr>
              <w:rFonts w:hint="eastAsia"/>
              <w:color w:val="auto"/>
              <w:sz w:val="24"/>
              <w:szCs w:val="24"/>
              <w:lang w:val="en-US" w:eastAsia="zh-CN"/>
            </w:rPr>
            <w:t>附图：</w:t>
          </w:r>
        </w:p>
        <w:p w14:paraId="5C1DFDDF">
          <w:pPr>
            <w:pStyle w:val="11"/>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t>附图1 项目地理位置图</w:t>
          </w:r>
        </w:p>
        <w:p w14:paraId="37C7D4A6">
          <w:pPr>
            <w:pStyle w:val="11"/>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t>附图2 厂区周边环境图</w:t>
          </w:r>
        </w:p>
        <w:p w14:paraId="295769EB">
          <w:pPr>
            <w:pStyle w:val="11"/>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t>附图3 项目平面布置及防渗图</w:t>
          </w:r>
        </w:p>
        <w:p w14:paraId="25B0F11C">
          <w:pPr>
            <w:pStyle w:val="11"/>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t>附图4 清丰县先进制造开发区用地规划图</w:t>
          </w:r>
        </w:p>
        <w:p w14:paraId="6FC7E1F8">
          <w:pPr>
            <w:pStyle w:val="11"/>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t>附图5 项目与最近水源地关系位置图</w:t>
          </w:r>
        </w:p>
        <w:p w14:paraId="6E88203F">
          <w:pPr>
            <w:pStyle w:val="11"/>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t>附图6 项目三线一单查询位置</w:t>
          </w:r>
        </w:p>
        <w:p w14:paraId="2EAD1455">
          <w:pPr>
            <w:pStyle w:val="11"/>
            <w:spacing w:line="360" w:lineRule="auto"/>
            <w:ind w:left="0" w:leftChars="0" w:firstLine="0" w:firstLineChars="0"/>
            <w:rPr>
              <w:rFonts w:hint="default"/>
              <w:color w:val="auto"/>
              <w:sz w:val="24"/>
              <w:szCs w:val="24"/>
              <w:lang w:val="en-US" w:eastAsia="zh-CN"/>
            </w:rPr>
          </w:pPr>
          <w:r>
            <w:rPr>
              <w:rFonts w:hint="eastAsia"/>
              <w:color w:val="auto"/>
              <w:sz w:val="24"/>
              <w:szCs w:val="24"/>
              <w:lang w:val="en-US" w:eastAsia="zh-CN"/>
            </w:rPr>
            <w:t xml:space="preserve">附图7 </w:t>
          </w:r>
          <w:r>
            <w:rPr>
              <w:rFonts w:hint="eastAsia" w:cs="Times New Roman"/>
              <w:b w:val="0"/>
              <w:bCs w:val="0"/>
              <w:color w:val="auto"/>
              <w:sz w:val="24"/>
              <w:szCs w:val="24"/>
              <w:highlight w:val="none"/>
              <w:lang w:val="en-US" w:eastAsia="zh-CN"/>
            </w:rPr>
            <w:t>清丰县先进制造开发区污水管网图</w:t>
          </w:r>
        </w:p>
        <w:p w14:paraId="01E47B22">
          <w:pPr>
            <w:pStyle w:val="11"/>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t>附图</w:t>
          </w:r>
          <w:r>
            <w:rPr>
              <w:rFonts w:hint="eastAsia"/>
              <w:color w:val="auto"/>
              <w:sz w:val="24"/>
              <w:szCs w:val="24"/>
              <w:lang w:val="en-US" w:eastAsia="zh-CN"/>
            </w:rPr>
            <w:t>8</w:t>
          </w:r>
          <w:r>
            <w:rPr>
              <w:rFonts w:hint="default"/>
              <w:color w:val="auto"/>
              <w:sz w:val="24"/>
              <w:szCs w:val="24"/>
              <w:lang w:val="en-US" w:eastAsia="zh-CN"/>
            </w:rPr>
            <w:t xml:space="preserve"> 工程师现场踏勘照片</w:t>
          </w:r>
        </w:p>
        <w:p w14:paraId="5C9FCFC7">
          <w:pPr>
            <w:pStyle w:val="11"/>
            <w:spacing w:line="360" w:lineRule="auto"/>
            <w:ind w:left="0" w:leftChars="0" w:firstLine="0" w:firstLineChars="0"/>
            <w:rPr>
              <w:rFonts w:hint="default"/>
              <w:b/>
              <w:bCs/>
              <w:color w:val="auto"/>
              <w:sz w:val="24"/>
              <w:szCs w:val="24"/>
              <w:lang w:val="en-US" w:eastAsia="zh-CN"/>
            </w:rPr>
          </w:pPr>
          <w:r>
            <w:rPr>
              <w:rFonts w:hint="default"/>
              <w:b/>
              <w:bCs/>
              <w:color w:val="auto"/>
              <w:sz w:val="24"/>
              <w:szCs w:val="24"/>
              <w:lang w:val="en-US" w:eastAsia="zh-CN"/>
            </w:rPr>
            <w:t>附件：</w:t>
          </w:r>
        </w:p>
        <w:p w14:paraId="331D7200">
          <w:pPr>
            <w:pStyle w:val="11"/>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t>附件1 委托书</w:t>
          </w:r>
        </w:p>
        <w:p w14:paraId="4B982376">
          <w:pPr>
            <w:pStyle w:val="11"/>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t>项目2 项目备案证明</w:t>
          </w:r>
        </w:p>
        <w:p w14:paraId="182E1488">
          <w:pPr>
            <w:pStyle w:val="11"/>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t>附件3 园区入驻证明</w:t>
          </w:r>
        </w:p>
        <w:p w14:paraId="386ED448">
          <w:pPr>
            <w:pStyle w:val="11"/>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t>附件4 现有工程环保资料</w:t>
          </w:r>
        </w:p>
        <w:p w14:paraId="31037BCF">
          <w:pPr>
            <w:pStyle w:val="11"/>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t>附件5 土地证明</w:t>
          </w:r>
        </w:p>
        <w:p w14:paraId="7937EE6A">
          <w:pPr>
            <w:pStyle w:val="11"/>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t>附件6 项目承诺书</w:t>
          </w:r>
        </w:p>
        <w:p w14:paraId="38C5A68A">
          <w:pPr>
            <w:pStyle w:val="11"/>
            <w:spacing w:line="360" w:lineRule="auto"/>
            <w:ind w:left="0" w:leftChars="0" w:firstLine="0" w:firstLineChars="0"/>
            <w:rPr>
              <w:rFonts w:hint="eastAsia"/>
              <w:color w:val="auto"/>
              <w:sz w:val="24"/>
              <w:szCs w:val="24"/>
              <w:lang w:val="en-US" w:eastAsia="zh-CN"/>
            </w:rPr>
          </w:pPr>
          <w:r>
            <w:rPr>
              <w:rFonts w:hint="eastAsia"/>
              <w:color w:val="auto"/>
              <w:sz w:val="24"/>
              <w:szCs w:val="24"/>
              <w:lang w:val="en-US" w:eastAsia="zh-CN"/>
            </w:rPr>
            <w:t>附件7 防锈油MSDS和VOCs含量检测报告</w:t>
          </w:r>
        </w:p>
        <w:p w14:paraId="746AF64C">
          <w:pPr>
            <w:pStyle w:val="11"/>
            <w:spacing w:line="360" w:lineRule="auto"/>
            <w:ind w:left="0" w:leftChars="0" w:firstLine="0" w:firstLineChars="0"/>
            <w:rPr>
              <w:rFonts w:hint="default"/>
              <w:color w:val="auto"/>
              <w:sz w:val="24"/>
              <w:szCs w:val="24"/>
              <w:lang w:val="en-US" w:eastAsia="zh-CN"/>
            </w:rPr>
            <w:sectPr>
              <w:pgSz w:w="11906" w:h="16838"/>
              <w:pgMar w:top="1440" w:right="1800" w:bottom="1440" w:left="1800" w:header="851" w:footer="1077" w:gutter="0"/>
              <w:pgNumType w:start="3"/>
              <w:cols w:space="720" w:num="1"/>
              <w:docGrid w:linePitch="312" w:charSpace="0"/>
            </w:sectPr>
          </w:pPr>
          <w:r>
            <w:rPr>
              <w:rFonts w:hint="eastAsia"/>
              <w:color w:val="auto"/>
              <w:sz w:val="24"/>
              <w:szCs w:val="24"/>
              <w:lang w:val="en-US" w:eastAsia="zh-CN"/>
            </w:rPr>
            <w:t>附件8 环境质量监测报告</w:t>
          </w:r>
        </w:p>
      </w:sdtContent>
    </w:sdt>
    <w:p w14:paraId="12BC74FA">
      <w:pPr>
        <w:spacing w:line="360" w:lineRule="auto"/>
        <w:jc w:val="center"/>
        <w:rPr>
          <w:rFonts w:hint="eastAsia" w:ascii="黑体" w:eastAsia="黑体"/>
          <w:color w:val="auto"/>
          <w:sz w:val="30"/>
          <w:szCs w:val="30"/>
          <w:lang w:val="en-US" w:eastAsia="zh-CN"/>
        </w:rPr>
      </w:pPr>
      <w:r>
        <w:rPr>
          <w:rFonts w:hint="eastAsia" w:ascii="黑体" w:eastAsia="黑体"/>
          <w:color w:val="auto"/>
          <w:sz w:val="30"/>
          <w:szCs w:val="30"/>
          <w:lang w:val="en-US" w:eastAsia="zh-CN"/>
        </w:rPr>
        <w:t>濮阳市中原锐实达石油设备有限公司年产800套石油设备项目</w:t>
      </w:r>
    </w:p>
    <w:p w14:paraId="2BFE129F">
      <w:pPr>
        <w:spacing w:line="360" w:lineRule="auto"/>
        <w:jc w:val="center"/>
        <w:rPr>
          <w:rFonts w:hint="eastAsia" w:ascii="黑体" w:eastAsia="黑体"/>
          <w:color w:val="auto"/>
          <w:sz w:val="30"/>
          <w:szCs w:val="30"/>
          <w:lang w:val="en-US" w:eastAsia="zh-CN"/>
        </w:rPr>
      </w:pPr>
      <w:r>
        <w:rPr>
          <w:rFonts w:hint="eastAsia" w:ascii="黑体" w:eastAsia="黑体"/>
          <w:color w:val="auto"/>
          <w:sz w:val="30"/>
          <w:szCs w:val="30"/>
          <w:lang w:val="en-US" w:eastAsia="zh-CN"/>
        </w:rPr>
        <w:t>环境影响报告表修改清单</w:t>
      </w:r>
    </w:p>
    <w:tbl>
      <w:tblPr>
        <w:tblStyle w:val="29"/>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5338"/>
        <w:gridCol w:w="2618"/>
      </w:tblGrid>
      <w:tr w14:paraId="1A84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2" w:type="dxa"/>
            <w:noWrap w:val="0"/>
            <w:vAlign w:val="center"/>
          </w:tcPr>
          <w:p w14:paraId="3DFE61F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jc w:val="center"/>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序号</w:t>
            </w:r>
          </w:p>
        </w:tc>
        <w:tc>
          <w:tcPr>
            <w:tcW w:w="5338" w:type="dxa"/>
            <w:noWrap w:val="0"/>
            <w:vAlign w:val="center"/>
          </w:tcPr>
          <w:p w14:paraId="70B93DC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jc w:val="center"/>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评审意见</w:t>
            </w:r>
          </w:p>
        </w:tc>
        <w:tc>
          <w:tcPr>
            <w:tcW w:w="2618" w:type="dxa"/>
            <w:noWrap w:val="0"/>
            <w:vAlign w:val="center"/>
          </w:tcPr>
          <w:p w14:paraId="79C55E5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jc w:val="center"/>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修改内容</w:t>
            </w:r>
          </w:p>
        </w:tc>
      </w:tr>
      <w:tr w14:paraId="0E3B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792" w:type="dxa"/>
            <w:vMerge w:val="restart"/>
            <w:noWrap w:val="0"/>
            <w:vAlign w:val="center"/>
          </w:tcPr>
          <w:p w14:paraId="65CC391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jc w:val="center"/>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338" w:type="dxa"/>
            <w:noWrap w:val="0"/>
            <w:vAlign w:val="center"/>
          </w:tcPr>
          <w:p w14:paraId="65E03FD4">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进一步调查项目所处濮阳市清丰县先进制造业开发区基础设施建设及规划情况，完善相符性分析；</w:t>
            </w:r>
          </w:p>
        </w:tc>
        <w:tc>
          <w:tcPr>
            <w:tcW w:w="2618" w:type="dxa"/>
            <w:noWrap w:val="0"/>
            <w:vAlign w:val="center"/>
          </w:tcPr>
          <w:p w14:paraId="12707BE4">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lang w:val="en-US" w:eastAsia="zh-CN"/>
              </w:rPr>
              <w:t>见报告P3-</w:t>
            </w:r>
            <w:r>
              <w:rPr>
                <w:rFonts w:hint="eastAsia" w:cs="Times New Roman"/>
                <w:color w:val="auto"/>
                <w:sz w:val="24"/>
                <w:szCs w:val="24"/>
                <w:lang w:val="en-US" w:eastAsia="zh-CN"/>
              </w:rPr>
              <w:t>10</w:t>
            </w:r>
          </w:p>
        </w:tc>
      </w:tr>
      <w:tr w14:paraId="718B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2" w:type="dxa"/>
            <w:vMerge w:val="continue"/>
            <w:noWrap w:val="0"/>
            <w:vAlign w:val="center"/>
          </w:tcPr>
          <w:p w14:paraId="1CB646E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jc w:val="center"/>
              <w:textAlignment w:val="auto"/>
              <w:outlineLvl w:val="9"/>
              <w:rPr>
                <w:rFonts w:hint="default" w:ascii="Times New Roman" w:hAnsi="Times New Roman" w:cs="Times New Roman"/>
                <w:color w:val="auto"/>
                <w:sz w:val="24"/>
                <w:szCs w:val="24"/>
              </w:rPr>
            </w:pPr>
          </w:p>
        </w:tc>
        <w:tc>
          <w:tcPr>
            <w:tcW w:w="5338" w:type="dxa"/>
            <w:noWrap w:val="0"/>
            <w:vAlign w:val="center"/>
          </w:tcPr>
          <w:p w14:paraId="0F5CE9A5">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完善备案相符性分析。</w:t>
            </w:r>
          </w:p>
        </w:tc>
        <w:tc>
          <w:tcPr>
            <w:tcW w:w="2618" w:type="dxa"/>
            <w:noWrap w:val="0"/>
            <w:vAlign w:val="center"/>
          </w:tcPr>
          <w:p w14:paraId="229DEBAB">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见报告P1</w:t>
            </w:r>
            <w:r>
              <w:rPr>
                <w:rFonts w:hint="eastAsia" w:cs="Times New Roman"/>
                <w:color w:val="auto"/>
                <w:sz w:val="24"/>
                <w:szCs w:val="24"/>
                <w:lang w:val="en-US" w:eastAsia="zh-CN"/>
              </w:rPr>
              <w:t>2</w:t>
            </w:r>
          </w:p>
        </w:tc>
      </w:tr>
      <w:tr w14:paraId="5A53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2" w:type="dxa"/>
            <w:vMerge w:val="restart"/>
            <w:noWrap w:val="0"/>
            <w:vAlign w:val="center"/>
          </w:tcPr>
          <w:p w14:paraId="2642337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jc w:val="center"/>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338" w:type="dxa"/>
            <w:noWrap w:val="0"/>
            <w:vAlign w:val="center"/>
          </w:tcPr>
          <w:p w14:paraId="596BA155">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细化项目产品方案（规格型号、用途等）；</w:t>
            </w:r>
          </w:p>
        </w:tc>
        <w:tc>
          <w:tcPr>
            <w:tcW w:w="2618" w:type="dxa"/>
            <w:noWrap w:val="0"/>
            <w:vAlign w:val="center"/>
          </w:tcPr>
          <w:p w14:paraId="6CB39031">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lang w:val="en-US" w:eastAsia="zh-CN"/>
              </w:rPr>
              <w:t>见报告P2</w:t>
            </w:r>
            <w:r>
              <w:rPr>
                <w:rFonts w:hint="eastAsia" w:cs="Times New Roman"/>
                <w:color w:val="auto"/>
                <w:sz w:val="24"/>
                <w:szCs w:val="24"/>
                <w:lang w:val="en-US" w:eastAsia="zh-CN"/>
              </w:rPr>
              <w:t>6-27</w:t>
            </w:r>
          </w:p>
        </w:tc>
      </w:tr>
      <w:tr w14:paraId="54CE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92" w:type="dxa"/>
            <w:vMerge w:val="continue"/>
            <w:noWrap w:val="0"/>
            <w:vAlign w:val="center"/>
          </w:tcPr>
          <w:p w14:paraId="72A76C7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jc w:val="center"/>
              <w:textAlignment w:val="auto"/>
              <w:outlineLvl w:val="9"/>
              <w:rPr>
                <w:rFonts w:hint="default" w:ascii="Times New Roman" w:hAnsi="Times New Roman" w:cs="Times New Roman"/>
                <w:color w:val="auto"/>
                <w:sz w:val="24"/>
                <w:szCs w:val="24"/>
              </w:rPr>
            </w:pPr>
          </w:p>
        </w:tc>
        <w:tc>
          <w:tcPr>
            <w:tcW w:w="5338" w:type="dxa"/>
            <w:noWrap w:val="0"/>
            <w:vAlign w:val="center"/>
          </w:tcPr>
          <w:p w14:paraId="6CEEEAF1">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完善原辅材料及物理化学性质；</w:t>
            </w:r>
          </w:p>
        </w:tc>
        <w:tc>
          <w:tcPr>
            <w:tcW w:w="2618" w:type="dxa"/>
            <w:noWrap w:val="0"/>
            <w:vAlign w:val="center"/>
          </w:tcPr>
          <w:p w14:paraId="287516EB">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见报告P2</w:t>
            </w:r>
            <w:r>
              <w:rPr>
                <w:rFonts w:hint="eastAsia" w:cs="Times New Roman"/>
                <w:color w:val="auto"/>
                <w:sz w:val="24"/>
                <w:szCs w:val="24"/>
                <w:lang w:val="en-US" w:eastAsia="zh-CN"/>
              </w:rPr>
              <w:t>8</w:t>
            </w:r>
          </w:p>
        </w:tc>
      </w:tr>
      <w:tr w14:paraId="3AEF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2" w:type="dxa"/>
            <w:vMerge w:val="continue"/>
            <w:noWrap w:val="0"/>
            <w:vAlign w:val="center"/>
          </w:tcPr>
          <w:p w14:paraId="1256A4F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jc w:val="center"/>
              <w:textAlignment w:val="auto"/>
              <w:outlineLvl w:val="9"/>
              <w:rPr>
                <w:rFonts w:hint="default" w:ascii="Times New Roman" w:hAnsi="Times New Roman" w:cs="Times New Roman"/>
                <w:color w:val="auto"/>
                <w:sz w:val="24"/>
                <w:szCs w:val="24"/>
              </w:rPr>
            </w:pPr>
          </w:p>
        </w:tc>
        <w:tc>
          <w:tcPr>
            <w:tcW w:w="5338" w:type="dxa"/>
            <w:noWrap w:val="0"/>
            <w:vAlign w:val="center"/>
          </w:tcPr>
          <w:p w14:paraId="3A214C96">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进一步调查原有项目情况，细化变化情况。</w:t>
            </w:r>
          </w:p>
        </w:tc>
        <w:tc>
          <w:tcPr>
            <w:tcW w:w="2618" w:type="dxa"/>
            <w:noWrap w:val="0"/>
            <w:vAlign w:val="center"/>
          </w:tcPr>
          <w:p w14:paraId="563C0379">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见报告P2</w:t>
            </w:r>
            <w:r>
              <w:rPr>
                <w:rFonts w:hint="eastAsia" w:cs="Times New Roman"/>
                <w:color w:val="auto"/>
                <w:sz w:val="24"/>
                <w:szCs w:val="24"/>
                <w:lang w:val="en-US" w:eastAsia="zh-CN"/>
              </w:rPr>
              <w:t>5</w:t>
            </w:r>
            <w:r>
              <w:rPr>
                <w:rFonts w:hint="eastAsia" w:ascii="Times New Roman" w:hAnsi="Times New Roman" w:cs="Times New Roman"/>
                <w:color w:val="auto"/>
                <w:sz w:val="24"/>
                <w:szCs w:val="24"/>
                <w:lang w:val="en-US" w:eastAsia="zh-CN"/>
              </w:rPr>
              <w:t>、P3</w:t>
            </w:r>
            <w:r>
              <w:rPr>
                <w:rFonts w:hint="eastAsia" w:cs="Times New Roman"/>
                <w:color w:val="auto"/>
                <w:sz w:val="24"/>
                <w:szCs w:val="24"/>
                <w:lang w:val="en-US" w:eastAsia="zh-CN"/>
              </w:rPr>
              <w:t>2-33</w:t>
            </w:r>
          </w:p>
        </w:tc>
      </w:tr>
      <w:tr w14:paraId="33C7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2" w:type="dxa"/>
            <w:vMerge w:val="restart"/>
            <w:noWrap w:val="0"/>
            <w:vAlign w:val="center"/>
          </w:tcPr>
          <w:p w14:paraId="6D5CC381">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center"/>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w:t>
            </w:r>
          </w:p>
        </w:tc>
        <w:tc>
          <w:tcPr>
            <w:tcW w:w="5338" w:type="dxa"/>
            <w:noWrap w:val="0"/>
            <w:vAlign w:val="center"/>
          </w:tcPr>
          <w:p w14:paraId="7DF39BE5">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细化工艺流程参数、过程及产污环节，细化固废种类；</w:t>
            </w:r>
          </w:p>
        </w:tc>
        <w:tc>
          <w:tcPr>
            <w:tcW w:w="2618" w:type="dxa"/>
            <w:noWrap w:val="0"/>
            <w:vAlign w:val="center"/>
          </w:tcPr>
          <w:p w14:paraId="63B5640F">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lang w:val="en-US" w:eastAsia="zh-CN"/>
              </w:rPr>
              <w:t>见报告</w:t>
            </w:r>
            <w:r>
              <w:rPr>
                <w:rFonts w:hint="eastAsia" w:cs="Times New Roman"/>
                <w:color w:val="auto"/>
                <w:sz w:val="24"/>
                <w:szCs w:val="24"/>
                <w:lang w:val="en-US" w:eastAsia="zh-CN"/>
              </w:rPr>
              <w:t>P30-32</w:t>
            </w:r>
            <w:r>
              <w:rPr>
                <w:rFonts w:hint="eastAsia" w:ascii="Times New Roman" w:hAnsi="Times New Roman" w:cs="Times New Roman"/>
                <w:color w:val="auto"/>
                <w:sz w:val="24"/>
                <w:szCs w:val="24"/>
                <w:lang w:val="en-US" w:eastAsia="zh-CN"/>
              </w:rPr>
              <w:t>、P6</w:t>
            </w:r>
            <w:r>
              <w:rPr>
                <w:rFonts w:hint="eastAsia" w:cs="Times New Roman"/>
                <w:color w:val="auto"/>
                <w:sz w:val="24"/>
                <w:szCs w:val="24"/>
                <w:lang w:val="en-US" w:eastAsia="zh-CN"/>
              </w:rPr>
              <w:t>9-72</w:t>
            </w:r>
          </w:p>
        </w:tc>
      </w:tr>
      <w:tr w14:paraId="5687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2" w:type="dxa"/>
            <w:vMerge w:val="continue"/>
            <w:noWrap w:val="0"/>
            <w:vAlign w:val="center"/>
          </w:tcPr>
          <w:p w14:paraId="63B80A17">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center"/>
              <w:textAlignment w:val="auto"/>
              <w:outlineLvl w:val="9"/>
              <w:rPr>
                <w:rFonts w:hint="default" w:ascii="Times New Roman" w:hAnsi="Times New Roman" w:cs="Times New Roman"/>
                <w:color w:val="auto"/>
                <w:sz w:val="24"/>
                <w:szCs w:val="24"/>
                <w:lang w:val="en-US" w:eastAsia="zh-CN"/>
              </w:rPr>
            </w:pPr>
          </w:p>
        </w:tc>
        <w:tc>
          <w:tcPr>
            <w:tcW w:w="5338" w:type="dxa"/>
            <w:noWrap w:val="0"/>
            <w:vAlign w:val="center"/>
          </w:tcPr>
          <w:p w14:paraId="66FADCD8">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细化废气源强核算过程，补充物料平衡；核实废气收集效率及VOC去除效率</w:t>
            </w:r>
          </w:p>
        </w:tc>
        <w:tc>
          <w:tcPr>
            <w:tcW w:w="2618" w:type="dxa"/>
            <w:noWrap w:val="0"/>
            <w:vAlign w:val="center"/>
          </w:tcPr>
          <w:p w14:paraId="616CF586">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见报告P</w:t>
            </w:r>
            <w:r>
              <w:rPr>
                <w:rFonts w:hint="eastAsia" w:cs="Times New Roman"/>
                <w:color w:val="auto"/>
                <w:sz w:val="24"/>
                <w:szCs w:val="24"/>
                <w:lang w:val="en-US" w:eastAsia="zh-CN"/>
              </w:rPr>
              <w:t>31</w:t>
            </w:r>
            <w:r>
              <w:rPr>
                <w:rFonts w:hint="eastAsia" w:ascii="Times New Roman" w:hAnsi="Times New Roman" w:cs="Times New Roman"/>
                <w:color w:val="auto"/>
                <w:sz w:val="24"/>
                <w:szCs w:val="24"/>
                <w:lang w:val="en-US" w:eastAsia="zh-CN"/>
              </w:rPr>
              <w:t>、P5</w:t>
            </w:r>
            <w:r>
              <w:rPr>
                <w:rFonts w:hint="eastAsia" w:cs="Times New Roman"/>
                <w:color w:val="auto"/>
                <w:sz w:val="24"/>
                <w:szCs w:val="24"/>
                <w:lang w:val="en-US" w:eastAsia="zh-CN"/>
              </w:rPr>
              <w:t>5-56</w:t>
            </w:r>
          </w:p>
        </w:tc>
      </w:tr>
      <w:tr w14:paraId="5E9A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2" w:type="dxa"/>
            <w:vMerge w:val="restart"/>
            <w:noWrap w:val="0"/>
            <w:vAlign w:val="center"/>
          </w:tcPr>
          <w:p w14:paraId="73FCFD46">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center"/>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w:t>
            </w:r>
          </w:p>
        </w:tc>
        <w:tc>
          <w:tcPr>
            <w:tcW w:w="5338" w:type="dxa"/>
            <w:noWrap w:val="0"/>
            <w:vAlign w:val="center"/>
          </w:tcPr>
          <w:p w14:paraId="23C93056">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完善地下水评价；</w:t>
            </w:r>
          </w:p>
        </w:tc>
        <w:tc>
          <w:tcPr>
            <w:tcW w:w="2618" w:type="dxa"/>
            <w:noWrap w:val="0"/>
            <w:vAlign w:val="center"/>
          </w:tcPr>
          <w:p w14:paraId="032E49D2">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见报告</w:t>
            </w:r>
            <w:r>
              <w:rPr>
                <w:rFonts w:hint="eastAsia" w:cs="Times New Roman"/>
                <w:color w:val="auto"/>
                <w:sz w:val="24"/>
                <w:szCs w:val="24"/>
                <w:lang w:val="en-US" w:eastAsia="zh-CN"/>
              </w:rPr>
              <w:t>P42-45、</w:t>
            </w:r>
            <w:r>
              <w:rPr>
                <w:rFonts w:hint="eastAsia" w:ascii="Times New Roman" w:hAnsi="Times New Roman" w:cs="Times New Roman"/>
                <w:color w:val="auto"/>
                <w:sz w:val="24"/>
                <w:szCs w:val="24"/>
                <w:lang w:val="en-US" w:eastAsia="zh-CN"/>
              </w:rPr>
              <w:t>P7</w:t>
            </w:r>
            <w:r>
              <w:rPr>
                <w:rFonts w:hint="eastAsia" w:cs="Times New Roman"/>
                <w:color w:val="auto"/>
                <w:sz w:val="24"/>
                <w:szCs w:val="24"/>
                <w:lang w:val="en-US" w:eastAsia="zh-CN"/>
              </w:rPr>
              <w:t>5-76</w:t>
            </w:r>
          </w:p>
        </w:tc>
      </w:tr>
      <w:tr w14:paraId="461C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2" w:type="dxa"/>
            <w:vMerge w:val="continue"/>
            <w:noWrap w:val="0"/>
            <w:vAlign w:val="center"/>
          </w:tcPr>
          <w:p w14:paraId="17D64561">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center"/>
              <w:textAlignment w:val="auto"/>
              <w:outlineLvl w:val="9"/>
              <w:rPr>
                <w:rFonts w:hint="default" w:ascii="Times New Roman" w:hAnsi="Times New Roman" w:cs="Times New Roman"/>
                <w:color w:val="auto"/>
                <w:sz w:val="24"/>
                <w:szCs w:val="24"/>
                <w:lang w:val="en-US" w:eastAsia="zh-CN"/>
              </w:rPr>
            </w:pPr>
          </w:p>
        </w:tc>
        <w:tc>
          <w:tcPr>
            <w:tcW w:w="5338" w:type="dxa"/>
            <w:noWrap w:val="0"/>
            <w:vAlign w:val="center"/>
          </w:tcPr>
          <w:p w14:paraId="2FF85120">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细化风险评价；</w:t>
            </w:r>
          </w:p>
        </w:tc>
        <w:tc>
          <w:tcPr>
            <w:tcW w:w="2618" w:type="dxa"/>
            <w:noWrap w:val="0"/>
            <w:vAlign w:val="center"/>
          </w:tcPr>
          <w:p w14:paraId="0CB0017F">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见报告P7</w:t>
            </w:r>
            <w:r>
              <w:rPr>
                <w:rFonts w:hint="eastAsia" w:cs="Times New Roman"/>
                <w:color w:val="auto"/>
                <w:sz w:val="24"/>
                <w:szCs w:val="24"/>
                <w:lang w:val="en-US" w:eastAsia="zh-CN"/>
              </w:rPr>
              <w:t>6-78</w:t>
            </w:r>
          </w:p>
        </w:tc>
      </w:tr>
      <w:tr w14:paraId="2021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2" w:type="dxa"/>
            <w:vMerge w:val="continue"/>
            <w:noWrap w:val="0"/>
            <w:vAlign w:val="center"/>
          </w:tcPr>
          <w:p w14:paraId="76066727">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center"/>
              <w:textAlignment w:val="auto"/>
              <w:outlineLvl w:val="9"/>
              <w:rPr>
                <w:rFonts w:hint="default" w:ascii="Times New Roman" w:hAnsi="Times New Roman" w:cs="Times New Roman"/>
                <w:color w:val="auto"/>
                <w:sz w:val="24"/>
                <w:szCs w:val="24"/>
                <w:lang w:val="en-US" w:eastAsia="zh-CN"/>
              </w:rPr>
            </w:pPr>
          </w:p>
        </w:tc>
        <w:tc>
          <w:tcPr>
            <w:tcW w:w="5338" w:type="dxa"/>
            <w:noWrap w:val="0"/>
            <w:vAlign w:val="center"/>
          </w:tcPr>
          <w:p w14:paraId="18260A5A">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细化绩效分级情况。</w:t>
            </w:r>
          </w:p>
        </w:tc>
        <w:tc>
          <w:tcPr>
            <w:tcW w:w="2618" w:type="dxa"/>
            <w:noWrap w:val="0"/>
            <w:vAlign w:val="center"/>
          </w:tcPr>
          <w:p w14:paraId="3510BE78">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见报告P1</w:t>
            </w:r>
            <w:r>
              <w:rPr>
                <w:rFonts w:hint="eastAsia" w:cs="Times New Roman"/>
                <w:color w:val="auto"/>
                <w:sz w:val="24"/>
                <w:szCs w:val="24"/>
                <w:lang w:val="en-US" w:eastAsia="zh-CN"/>
              </w:rPr>
              <w:t>7</w:t>
            </w:r>
            <w:r>
              <w:rPr>
                <w:rFonts w:hint="eastAsia" w:ascii="Times New Roman" w:hAnsi="Times New Roman" w:cs="Times New Roman"/>
                <w:color w:val="auto"/>
                <w:sz w:val="24"/>
                <w:szCs w:val="24"/>
                <w:lang w:val="en-US" w:eastAsia="zh-CN"/>
              </w:rPr>
              <w:t>-2</w:t>
            </w:r>
            <w:r>
              <w:rPr>
                <w:rFonts w:hint="eastAsia" w:cs="Times New Roman"/>
                <w:color w:val="auto"/>
                <w:sz w:val="24"/>
                <w:szCs w:val="24"/>
                <w:lang w:val="en-US" w:eastAsia="zh-CN"/>
              </w:rPr>
              <w:t>1</w:t>
            </w:r>
          </w:p>
        </w:tc>
      </w:tr>
      <w:tr w14:paraId="1295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2" w:type="dxa"/>
            <w:noWrap w:val="0"/>
            <w:vAlign w:val="center"/>
          </w:tcPr>
          <w:p w14:paraId="23C14833">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center"/>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w:t>
            </w:r>
          </w:p>
        </w:tc>
        <w:tc>
          <w:tcPr>
            <w:tcW w:w="5338" w:type="dxa"/>
            <w:noWrap w:val="0"/>
            <w:vAlign w:val="center"/>
          </w:tcPr>
          <w:p w14:paraId="76E624AE">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完善“三笔账”核算、监测计划、防渗图、平面设备布局图等附图附件</w:t>
            </w:r>
          </w:p>
        </w:tc>
        <w:tc>
          <w:tcPr>
            <w:tcW w:w="2618" w:type="dxa"/>
            <w:noWrap w:val="0"/>
            <w:vAlign w:val="center"/>
          </w:tcPr>
          <w:p w14:paraId="3F1B9ADF">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ind w:right="0" w:rightChars="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见报告P</w:t>
            </w:r>
            <w:r>
              <w:rPr>
                <w:rFonts w:hint="eastAsia" w:cs="Times New Roman"/>
                <w:color w:val="auto"/>
                <w:sz w:val="24"/>
                <w:szCs w:val="24"/>
                <w:lang w:val="en-US" w:eastAsia="zh-CN"/>
              </w:rPr>
              <w:t>80-82</w:t>
            </w:r>
            <w:r>
              <w:rPr>
                <w:rFonts w:hint="eastAsia" w:ascii="Times New Roman" w:hAnsi="Times New Roman" w:cs="Times New Roman"/>
                <w:color w:val="auto"/>
                <w:sz w:val="24"/>
                <w:szCs w:val="24"/>
                <w:lang w:val="en-US" w:eastAsia="zh-CN"/>
              </w:rPr>
              <w:t>、附图3、附件7</w:t>
            </w:r>
          </w:p>
        </w:tc>
      </w:tr>
    </w:tbl>
    <w:p w14:paraId="4C3C420A">
      <w:pPr>
        <w:rPr>
          <w:rFonts w:hint="default"/>
          <w:color w:val="auto"/>
        </w:rPr>
        <w:sectPr>
          <w:pgSz w:w="11906" w:h="16838"/>
          <w:pgMar w:top="1440" w:right="1800" w:bottom="1440" w:left="1800" w:header="851" w:footer="1077" w:gutter="0"/>
          <w:pgNumType w:start="3"/>
          <w:cols w:space="720" w:num="1"/>
          <w:docGrid w:linePitch="312" w:charSpace="0"/>
        </w:sectPr>
      </w:pPr>
    </w:p>
    <w:p w14:paraId="5B062AFD">
      <w:pPr>
        <w:pStyle w:val="25"/>
        <w:keepNext w:val="0"/>
        <w:keepLines w:val="0"/>
        <w:pageBreakBefore w:val="0"/>
        <w:widowControl/>
        <w:kinsoku/>
        <w:wordWrap/>
        <w:overflowPunct/>
        <w:topLinePunct w:val="0"/>
        <w:autoSpaceDE/>
        <w:autoSpaceDN/>
        <w:bidi w:val="0"/>
        <w:adjustRightInd/>
        <w:snapToGrid/>
        <w:spacing w:before="0" w:beforeAutospacing="0" w:after="157" w:afterLines="5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9" w:name="_Toc7615"/>
      <w:r>
        <w:rPr>
          <w:rFonts w:hint="default" w:ascii="Times New Roman" w:hAnsi="Times New Roman" w:eastAsia="宋体" w:cs="Times New Roman"/>
          <w:snapToGrid w:val="0"/>
          <w:color w:val="auto"/>
          <w:sz w:val="30"/>
          <w:szCs w:val="30"/>
          <w:highlight w:val="none"/>
        </w:rPr>
        <w:t>一、建设项目基本情况</w:t>
      </w:r>
      <w:bookmarkEnd w:id="7"/>
      <w:bookmarkEnd w:id="8"/>
      <w:bookmarkEnd w:id="9"/>
    </w:p>
    <w:tbl>
      <w:tblPr>
        <w:tblStyle w:val="28"/>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1"/>
        <w:gridCol w:w="1204"/>
        <w:gridCol w:w="1926"/>
        <w:gridCol w:w="1769"/>
        <w:gridCol w:w="2884"/>
      </w:tblGrid>
      <w:tr w14:paraId="40F00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3" w:type="pct"/>
            <w:gridSpan w:val="2"/>
            <w:noWrap w:val="0"/>
            <w:tcMar>
              <w:top w:w="16" w:type="dxa"/>
              <w:left w:w="16" w:type="dxa"/>
              <w:right w:w="16" w:type="dxa"/>
            </w:tcMar>
            <w:vAlign w:val="center"/>
          </w:tcPr>
          <w:p w14:paraId="33592E1E">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建设项目名称</w:t>
            </w:r>
          </w:p>
        </w:tc>
        <w:tc>
          <w:tcPr>
            <w:tcW w:w="3946" w:type="pct"/>
            <w:gridSpan w:val="3"/>
            <w:noWrap w:val="0"/>
            <w:vAlign w:val="center"/>
          </w:tcPr>
          <w:p w14:paraId="17AB66B5">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濮阳市中原锐实达石油设备有限公司年产800套石油设备项目</w:t>
            </w:r>
          </w:p>
        </w:tc>
      </w:tr>
      <w:tr w14:paraId="2A78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3" w:type="pct"/>
            <w:gridSpan w:val="2"/>
            <w:noWrap w:val="0"/>
            <w:tcMar>
              <w:top w:w="16" w:type="dxa"/>
              <w:left w:w="16" w:type="dxa"/>
              <w:right w:w="16" w:type="dxa"/>
            </w:tcMar>
            <w:vAlign w:val="center"/>
          </w:tcPr>
          <w:p w14:paraId="5C5F5650">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项目代码</w:t>
            </w:r>
          </w:p>
        </w:tc>
        <w:tc>
          <w:tcPr>
            <w:tcW w:w="3946" w:type="pct"/>
            <w:gridSpan w:val="3"/>
            <w:noWrap w:val="0"/>
            <w:vAlign w:val="center"/>
          </w:tcPr>
          <w:p w14:paraId="429CE0BC">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2502-410922-04-01-615497</w:t>
            </w:r>
          </w:p>
        </w:tc>
      </w:tr>
      <w:tr w14:paraId="1CE9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3" w:type="pct"/>
            <w:gridSpan w:val="2"/>
            <w:noWrap w:val="0"/>
            <w:tcMar>
              <w:top w:w="16" w:type="dxa"/>
              <w:left w:w="16" w:type="dxa"/>
              <w:right w:w="16" w:type="dxa"/>
            </w:tcMar>
            <w:vAlign w:val="center"/>
          </w:tcPr>
          <w:p w14:paraId="46FD96DF">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建设单位联系人</w:t>
            </w:r>
          </w:p>
        </w:tc>
        <w:tc>
          <w:tcPr>
            <w:tcW w:w="1155" w:type="pct"/>
            <w:noWrap w:val="0"/>
            <w:vAlign w:val="center"/>
          </w:tcPr>
          <w:p w14:paraId="115FD8B4">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李峰</w:t>
            </w:r>
          </w:p>
        </w:tc>
        <w:tc>
          <w:tcPr>
            <w:tcW w:w="1061" w:type="pct"/>
            <w:noWrap w:val="0"/>
            <w:vAlign w:val="center"/>
          </w:tcPr>
          <w:p w14:paraId="5F18BA04">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rPr>
              <w:t>联系方式</w:t>
            </w:r>
          </w:p>
        </w:tc>
        <w:tc>
          <w:tcPr>
            <w:tcW w:w="1730" w:type="pct"/>
            <w:noWrap w:val="0"/>
            <w:vAlign w:val="center"/>
          </w:tcPr>
          <w:p w14:paraId="6E42A64A">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13703480689</w:t>
            </w:r>
          </w:p>
        </w:tc>
      </w:tr>
      <w:tr w14:paraId="2DBD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3" w:type="pct"/>
            <w:gridSpan w:val="2"/>
            <w:noWrap w:val="0"/>
            <w:tcMar>
              <w:top w:w="16" w:type="dxa"/>
              <w:left w:w="16" w:type="dxa"/>
              <w:right w:w="16" w:type="dxa"/>
            </w:tcMar>
            <w:vAlign w:val="center"/>
          </w:tcPr>
          <w:p w14:paraId="6BEB2C97">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建设地点</w:t>
            </w:r>
          </w:p>
        </w:tc>
        <w:tc>
          <w:tcPr>
            <w:tcW w:w="3946" w:type="pct"/>
            <w:gridSpan w:val="3"/>
            <w:noWrap w:val="0"/>
            <w:vAlign w:val="center"/>
          </w:tcPr>
          <w:p w14:paraId="42FE64FE">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濮阳市清丰县先进制造业开发区规划一路东段</w:t>
            </w:r>
          </w:p>
        </w:tc>
      </w:tr>
      <w:tr w14:paraId="3ECA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3" w:type="pct"/>
            <w:gridSpan w:val="2"/>
            <w:noWrap w:val="0"/>
            <w:tcMar>
              <w:top w:w="16" w:type="dxa"/>
              <w:left w:w="16" w:type="dxa"/>
              <w:right w:w="16" w:type="dxa"/>
            </w:tcMar>
            <w:vAlign w:val="center"/>
          </w:tcPr>
          <w:p w14:paraId="382F6773">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地理坐标</w:t>
            </w:r>
          </w:p>
        </w:tc>
        <w:tc>
          <w:tcPr>
            <w:tcW w:w="3946" w:type="pct"/>
            <w:gridSpan w:val="3"/>
            <w:noWrap w:val="0"/>
            <w:vAlign w:val="center"/>
          </w:tcPr>
          <w:p w14:paraId="383380EA">
            <w:pPr>
              <w:keepNext w:val="0"/>
              <w:keepLines w:val="0"/>
              <w:pageBreakBefore w:val="0"/>
              <w:widowControl w:val="0"/>
              <w:kinsoku/>
              <w:wordWrap/>
              <w:overflowPunct/>
              <w:topLinePunct w:val="0"/>
              <w:autoSpaceDE/>
              <w:autoSpaceDN/>
              <w:bidi w:val="0"/>
              <w:spacing w:before="110" w:beforeLines="35" w:after="110" w:afterLines="35"/>
              <w:ind w:left="0" w:leftChars="0" w:right="0" w:right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u w:val="single"/>
                <w:vertAlign w:val="baseline"/>
                <w:lang w:val="en-US" w:eastAsia="zh-CN"/>
              </w:rPr>
              <w:t>11</w:t>
            </w:r>
            <w:r>
              <w:rPr>
                <w:rFonts w:hint="eastAsia" w:cs="Times New Roman"/>
                <w:b w:val="0"/>
                <w:bCs w:val="0"/>
                <w:color w:val="auto"/>
                <w:sz w:val="24"/>
                <w:szCs w:val="24"/>
                <w:highlight w:val="none"/>
                <w:u w:val="single"/>
                <w:vertAlign w:val="baseline"/>
                <w:lang w:val="en-US" w:eastAsia="zh-CN"/>
              </w:rPr>
              <w:t>5</w:t>
            </w:r>
            <w:r>
              <w:rPr>
                <w:rFonts w:hint="default" w:ascii="Times New Roman" w:hAnsi="Times New Roman" w:eastAsia="宋体" w:cs="Times New Roman"/>
                <w:b w:val="0"/>
                <w:bCs w:val="0"/>
                <w:color w:val="auto"/>
                <w:sz w:val="24"/>
                <w:szCs w:val="24"/>
                <w:highlight w:val="none"/>
                <w:vertAlign w:val="baseline"/>
                <w:lang w:val="en-US" w:eastAsia="zh-CN"/>
              </w:rPr>
              <w:t>度</w:t>
            </w:r>
            <w:r>
              <w:rPr>
                <w:rFonts w:hint="eastAsia" w:cs="Times New Roman"/>
                <w:b w:val="0"/>
                <w:bCs w:val="0"/>
                <w:color w:val="auto"/>
                <w:sz w:val="24"/>
                <w:szCs w:val="24"/>
                <w:highlight w:val="none"/>
                <w:u w:val="single"/>
                <w:vertAlign w:val="baseline"/>
                <w:lang w:val="en-US" w:eastAsia="zh-CN"/>
              </w:rPr>
              <w:t>7</w:t>
            </w:r>
            <w:r>
              <w:rPr>
                <w:rFonts w:hint="default" w:ascii="Times New Roman" w:hAnsi="Times New Roman" w:eastAsia="宋体" w:cs="Times New Roman"/>
                <w:b w:val="0"/>
                <w:bCs w:val="0"/>
                <w:color w:val="auto"/>
                <w:sz w:val="24"/>
                <w:szCs w:val="24"/>
                <w:highlight w:val="none"/>
                <w:vertAlign w:val="baseline"/>
                <w:lang w:val="en-US" w:eastAsia="zh-CN"/>
              </w:rPr>
              <w:t>分</w:t>
            </w:r>
            <w:r>
              <w:rPr>
                <w:rFonts w:hint="default" w:ascii="Times New Roman" w:hAnsi="Times New Roman" w:eastAsia="宋体" w:cs="Times New Roman"/>
                <w:b w:val="0"/>
                <w:bCs w:val="0"/>
                <w:color w:val="auto"/>
                <w:sz w:val="24"/>
                <w:szCs w:val="24"/>
                <w:highlight w:val="none"/>
                <w:u w:val="single"/>
                <w:vertAlign w:val="baseline"/>
                <w:lang w:val="en-US" w:eastAsia="zh-CN"/>
              </w:rPr>
              <w:t>10.08</w:t>
            </w:r>
            <w:r>
              <w:rPr>
                <w:rFonts w:hint="eastAsia" w:cs="Times New Roman"/>
                <w:b w:val="0"/>
                <w:bCs w:val="0"/>
                <w:color w:val="auto"/>
                <w:sz w:val="24"/>
                <w:szCs w:val="24"/>
                <w:highlight w:val="none"/>
                <w:u w:val="single"/>
                <w:vertAlign w:val="baseline"/>
                <w:lang w:val="en-US" w:eastAsia="zh-CN"/>
              </w:rPr>
              <w:t>1</w:t>
            </w:r>
            <w:r>
              <w:rPr>
                <w:rFonts w:hint="default" w:ascii="Times New Roman" w:hAnsi="Times New Roman" w:eastAsia="宋体" w:cs="Times New Roman"/>
                <w:b w:val="0"/>
                <w:bCs w:val="0"/>
                <w:color w:val="auto"/>
                <w:sz w:val="24"/>
                <w:szCs w:val="24"/>
                <w:highlight w:val="none"/>
                <w:vertAlign w:val="baseline"/>
                <w:lang w:val="en-US" w:eastAsia="zh-CN"/>
              </w:rPr>
              <w:t>秒，</w:t>
            </w:r>
            <w:r>
              <w:rPr>
                <w:rFonts w:hint="default" w:ascii="Times New Roman" w:hAnsi="Times New Roman" w:eastAsia="宋体" w:cs="Times New Roman"/>
                <w:b w:val="0"/>
                <w:bCs w:val="0"/>
                <w:color w:val="auto"/>
                <w:sz w:val="24"/>
                <w:szCs w:val="24"/>
                <w:highlight w:val="none"/>
                <w:u w:val="single"/>
                <w:vertAlign w:val="baseline"/>
                <w:lang w:val="en-US" w:eastAsia="zh-CN"/>
              </w:rPr>
              <w:t>35</w:t>
            </w:r>
            <w:r>
              <w:rPr>
                <w:rFonts w:hint="default" w:ascii="Times New Roman" w:hAnsi="Times New Roman" w:eastAsia="宋体" w:cs="Times New Roman"/>
                <w:b w:val="0"/>
                <w:bCs w:val="0"/>
                <w:color w:val="auto"/>
                <w:sz w:val="24"/>
                <w:szCs w:val="24"/>
                <w:highlight w:val="none"/>
                <w:vertAlign w:val="baseline"/>
                <w:lang w:val="en-US" w:eastAsia="zh-CN"/>
              </w:rPr>
              <w:t>度</w:t>
            </w:r>
            <w:r>
              <w:rPr>
                <w:rFonts w:hint="eastAsia" w:cs="Times New Roman"/>
                <w:b w:val="0"/>
                <w:bCs w:val="0"/>
                <w:color w:val="auto"/>
                <w:sz w:val="24"/>
                <w:szCs w:val="24"/>
                <w:highlight w:val="none"/>
                <w:u w:val="single"/>
                <w:vertAlign w:val="baseline"/>
                <w:lang w:val="en-US" w:eastAsia="zh-CN"/>
              </w:rPr>
              <w:t>49</w:t>
            </w:r>
            <w:r>
              <w:rPr>
                <w:rFonts w:hint="default" w:ascii="Times New Roman" w:hAnsi="Times New Roman" w:eastAsia="宋体" w:cs="Times New Roman"/>
                <w:b w:val="0"/>
                <w:bCs w:val="0"/>
                <w:color w:val="auto"/>
                <w:sz w:val="24"/>
                <w:szCs w:val="24"/>
                <w:highlight w:val="none"/>
                <w:vertAlign w:val="baseline"/>
                <w:lang w:val="en-US" w:eastAsia="zh-CN"/>
              </w:rPr>
              <w:t>分</w:t>
            </w:r>
            <w:r>
              <w:rPr>
                <w:rFonts w:hint="eastAsia" w:cs="Times New Roman"/>
                <w:b w:val="0"/>
                <w:bCs w:val="0"/>
                <w:color w:val="auto"/>
                <w:sz w:val="24"/>
                <w:szCs w:val="24"/>
                <w:highlight w:val="none"/>
                <w:u w:val="single"/>
                <w:vertAlign w:val="baseline"/>
                <w:lang w:val="en-US" w:eastAsia="zh-CN"/>
              </w:rPr>
              <w:t>55.493</w:t>
            </w:r>
            <w:r>
              <w:rPr>
                <w:rFonts w:hint="default" w:ascii="Times New Roman" w:hAnsi="Times New Roman" w:eastAsia="宋体" w:cs="Times New Roman"/>
                <w:b w:val="0"/>
                <w:bCs w:val="0"/>
                <w:color w:val="auto"/>
                <w:sz w:val="24"/>
                <w:szCs w:val="24"/>
                <w:highlight w:val="none"/>
                <w:vertAlign w:val="baseline"/>
                <w:lang w:val="en-US" w:eastAsia="zh-CN"/>
              </w:rPr>
              <w:t>秒）</w:t>
            </w:r>
          </w:p>
        </w:tc>
      </w:tr>
      <w:tr w14:paraId="3823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3" w:type="pct"/>
            <w:gridSpan w:val="2"/>
            <w:noWrap w:val="0"/>
            <w:tcMar>
              <w:top w:w="16" w:type="dxa"/>
              <w:left w:w="16" w:type="dxa"/>
              <w:right w:w="16" w:type="dxa"/>
            </w:tcMar>
            <w:vAlign w:val="center"/>
          </w:tcPr>
          <w:p w14:paraId="4A10F140">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国民经济</w:t>
            </w:r>
            <w:r>
              <w:rPr>
                <w:rFonts w:hint="default"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行业类别</w:t>
            </w:r>
          </w:p>
        </w:tc>
        <w:tc>
          <w:tcPr>
            <w:tcW w:w="1155" w:type="pct"/>
            <w:noWrap w:val="0"/>
            <w:vAlign w:val="center"/>
          </w:tcPr>
          <w:p w14:paraId="45745C44">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42" w:leftChars="20" w:right="42" w:rightChars="2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C3</w:t>
            </w:r>
            <w:r>
              <w:rPr>
                <w:rFonts w:hint="eastAsia" w:cs="Times New Roman"/>
                <w:color w:val="auto"/>
                <w:sz w:val="24"/>
                <w:szCs w:val="24"/>
                <w:highlight w:val="none"/>
                <w:lang w:val="en-US" w:eastAsia="zh-CN"/>
              </w:rPr>
              <w:t>512石油钻采专用设备制造</w:t>
            </w:r>
          </w:p>
        </w:tc>
        <w:tc>
          <w:tcPr>
            <w:tcW w:w="1061" w:type="pct"/>
            <w:noWrap w:val="0"/>
            <w:vAlign w:val="center"/>
          </w:tcPr>
          <w:p w14:paraId="74C70468">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bookmarkStart w:id="10" w:name="_Hlk49843745"/>
            <w:r>
              <w:rPr>
                <w:rFonts w:hint="default" w:ascii="Times New Roman" w:hAnsi="Times New Roman" w:eastAsia="宋体" w:cs="Times New Roman"/>
                <w:b w:val="0"/>
                <w:bCs w:val="0"/>
                <w:color w:val="auto"/>
                <w:sz w:val="24"/>
                <w:szCs w:val="24"/>
                <w:highlight w:val="none"/>
              </w:rPr>
              <w:t>建设项目</w:t>
            </w:r>
            <w:r>
              <w:rPr>
                <w:rFonts w:hint="default"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行业类别</w:t>
            </w:r>
            <w:bookmarkEnd w:id="10"/>
          </w:p>
        </w:tc>
        <w:tc>
          <w:tcPr>
            <w:tcW w:w="1730" w:type="pct"/>
            <w:noWrap w:val="0"/>
            <w:vAlign w:val="center"/>
          </w:tcPr>
          <w:p w14:paraId="1343DBA3">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42" w:leftChars="20" w:right="42" w:rightChars="2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三十二、专用设备制造业 35-采矿、冶金、建筑专用设备制造 351；</w:t>
            </w:r>
          </w:p>
        </w:tc>
      </w:tr>
      <w:tr w14:paraId="1873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 w:hRule="atLeast"/>
          <w:jc w:val="center"/>
        </w:trPr>
        <w:tc>
          <w:tcPr>
            <w:tcW w:w="1053" w:type="pct"/>
            <w:gridSpan w:val="2"/>
            <w:noWrap w:val="0"/>
            <w:tcMar>
              <w:top w:w="16" w:type="dxa"/>
              <w:left w:w="16" w:type="dxa"/>
              <w:right w:w="16" w:type="dxa"/>
            </w:tcMar>
            <w:vAlign w:val="center"/>
          </w:tcPr>
          <w:p w14:paraId="53B0F004">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建设性质</w:t>
            </w:r>
          </w:p>
        </w:tc>
        <w:tc>
          <w:tcPr>
            <w:tcW w:w="1155" w:type="pct"/>
            <w:noWrap w:val="0"/>
            <w:vAlign w:val="center"/>
          </w:tcPr>
          <w:p w14:paraId="7B2ACF47">
            <w:pPr>
              <w:keepNext w:val="0"/>
              <w:keepLines w:val="0"/>
              <w:pageBreakBefore w:val="0"/>
              <w:widowControl w:val="0"/>
              <w:kinsoku/>
              <w:wordWrap/>
              <w:overflowPunct/>
              <w:topLinePunct w:val="0"/>
              <w:autoSpaceDE/>
              <w:autoSpaceDN/>
              <w:bidi w:val="0"/>
              <w:adjustRightInd/>
              <w:snapToGrid/>
              <w:spacing w:before="110" w:beforeLines="35" w:after="110" w:afterLines="35"/>
              <w:ind w:left="42" w:leftChars="20" w:right="42" w:rightChars="20"/>
              <w:jc w:val="left"/>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新建（迁建）</w:t>
            </w:r>
          </w:p>
          <w:p w14:paraId="58A63E01">
            <w:pPr>
              <w:keepNext w:val="0"/>
              <w:keepLines w:val="0"/>
              <w:pageBreakBefore w:val="0"/>
              <w:widowControl w:val="0"/>
              <w:kinsoku/>
              <w:wordWrap/>
              <w:overflowPunct/>
              <w:topLinePunct w:val="0"/>
              <w:autoSpaceDE/>
              <w:autoSpaceDN/>
              <w:bidi w:val="0"/>
              <w:adjustRightInd/>
              <w:snapToGrid/>
              <w:spacing w:before="110" w:beforeLines="35" w:after="110" w:afterLines="35"/>
              <w:ind w:left="42" w:leftChars="20" w:right="42" w:rightChars="20"/>
              <w:jc w:val="left"/>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改建</w:t>
            </w:r>
          </w:p>
          <w:p w14:paraId="1041F799">
            <w:pPr>
              <w:keepNext w:val="0"/>
              <w:keepLines w:val="0"/>
              <w:pageBreakBefore w:val="0"/>
              <w:widowControl w:val="0"/>
              <w:kinsoku/>
              <w:wordWrap/>
              <w:overflowPunct/>
              <w:topLinePunct w:val="0"/>
              <w:autoSpaceDE/>
              <w:autoSpaceDN/>
              <w:bidi w:val="0"/>
              <w:adjustRightInd/>
              <w:snapToGrid/>
              <w:spacing w:before="110" w:beforeLines="35" w:after="110" w:afterLines="35"/>
              <w:ind w:left="42" w:leftChars="20" w:right="42" w:rightChars="20"/>
              <w:jc w:val="left"/>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扩建</w:t>
            </w:r>
          </w:p>
          <w:p w14:paraId="7A0243AB">
            <w:pPr>
              <w:keepNext w:val="0"/>
              <w:keepLines w:val="0"/>
              <w:pageBreakBefore w:val="0"/>
              <w:widowControl w:val="0"/>
              <w:kinsoku/>
              <w:wordWrap/>
              <w:overflowPunct/>
              <w:topLinePunct w:val="0"/>
              <w:autoSpaceDE/>
              <w:autoSpaceDN/>
              <w:bidi w:val="0"/>
              <w:adjustRightInd/>
              <w:snapToGrid/>
              <w:spacing w:before="110" w:beforeLines="35" w:after="110" w:afterLines="35"/>
              <w:ind w:left="42" w:leftChars="20" w:right="42" w:rightChars="20"/>
              <w:jc w:val="left"/>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技术改造</w:t>
            </w:r>
          </w:p>
        </w:tc>
        <w:tc>
          <w:tcPr>
            <w:tcW w:w="1061" w:type="pct"/>
            <w:noWrap w:val="0"/>
            <w:vAlign w:val="center"/>
          </w:tcPr>
          <w:p w14:paraId="34FEBB15">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建设项目</w:t>
            </w:r>
            <w:r>
              <w:rPr>
                <w:rFonts w:hint="default"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申报情形</w:t>
            </w:r>
          </w:p>
        </w:tc>
        <w:tc>
          <w:tcPr>
            <w:tcW w:w="1730" w:type="pct"/>
            <w:noWrap w:val="0"/>
            <w:vAlign w:val="center"/>
          </w:tcPr>
          <w:p w14:paraId="68796730">
            <w:pPr>
              <w:keepNext w:val="0"/>
              <w:keepLines w:val="0"/>
              <w:pageBreakBefore w:val="0"/>
              <w:widowControl w:val="0"/>
              <w:kinsoku/>
              <w:wordWrap/>
              <w:overflowPunct/>
              <w:topLinePunct w:val="0"/>
              <w:autoSpaceDE/>
              <w:autoSpaceDN/>
              <w:bidi w:val="0"/>
              <w:adjustRightInd/>
              <w:snapToGrid/>
              <w:spacing w:before="110" w:beforeLines="35" w:after="110" w:afterLines="35"/>
              <w:ind w:left="42" w:leftChars="20" w:right="42" w:rightChars="2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首次申报项目             </w:t>
            </w:r>
          </w:p>
          <w:p w14:paraId="5A1A6571">
            <w:pPr>
              <w:keepNext w:val="0"/>
              <w:keepLines w:val="0"/>
              <w:pageBreakBefore w:val="0"/>
              <w:widowControl w:val="0"/>
              <w:kinsoku/>
              <w:wordWrap/>
              <w:overflowPunct/>
              <w:topLinePunct w:val="0"/>
              <w:autoSpaceDE/>
              <w:autoSpaceDN/>
              <w:bidi w:val="0"/>
              <w:adjustRightInd/>
              <w:snapToGrid/>
              <w:spacing w:before="110" w:beforeLines="35" w:after="110" w:afterLines="35"/>
              <w:ind w:left="42" w:leftChars="20" w:right="42" w:rightChars="2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不予批准后再次申报项目</w:t>
            </w:r>
          </w:p>
          <w:p w14:paraId="2D2C84EE">
            <w:pPr>
              <w:keepNext w:val="0"/>
              <w:keepLines w:val="0"/>
              <w:pageBreakBefore w:val="0"/>
              <w:widowControl w:val="0"/>
              <w:kinsoku/>
              <w:wordWrap/>
              <w:overflowPunct/>
              <w:topLinePunct w:val="0"/>
              <w:autoSpaceDE/>
              <w:autoSpaceDN/>
              <w:bidi w:val="0"/>
              <w:adjustRightInd/>
              <w:snapToGrid/>
              <w:spacing w:before="110" w:beforeLines="35" w:after="110" w:afterLines="35"/>
              <w:ind w:left="42" w:leftChars="20" w:right="42" w:rightChars="2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超五年重新审核项目     </w:t>
            </w:r>
          </w:p>
          <w:p w14:paraId="495B0917">
            <w:pPr>
              <w:keepNext w:val="0"/>
              <w:keepLines w:val="0"/>
              <w:pageBreakBefore w:val="0"/>
              <w:widowControl w:val="0"/>
              <w:kinsoku/>
              <w:wordWrap/>
              <w:overflowPunct/>
              <w:topLinePunct w:val="0"/>
              <w:autoSpaceDE/>
              <w:autoSpaceDN/>
              <w:bidi w:val="0"/>
              <w:adjustRightInd/>
              <w:snapToGrid/>
              <w:spacing w:before="110" w:beforeLines="35" w:after="110" w:afterLines="35"/>
              <w:ind w:left="42" w:leftChars="20" w:right="42" w:rightChars="2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重大变动重新报批项目</w:t>
            </w:r>
          </w:p>
        </w:tc>
      </w:tr>
      <w:tr w14:paraId="30A7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3" w:type="pct"/>
            <w:gridSpan w:val="2"/>
            <w:noWrap w:val="0"/>
            <w:tcMar>
              <w:top w:w="16" w:type="dxa"/>
              <w:left w:w="16" w:type="dxa"/>
              <w:right w:w="16" w:type="dxa"/>
            </w:tcMar>
            <w:vAlign w:val="center"/>
          </w:tcPr>
          <w:p w14:paraId="05820120">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42" w:leftChars="20" w:right="42" w:rightChars="2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项目审批（核准/备案）部门（选填）</w:t>
            </w:r>
          </w:p>
        </w:tc>
        <w:tc>
          <w:tcPr>
            <w:tcW w:w="1155" w:type="pct"/>
            <w:noWrap w:val="0"/>
            <w:vAlign w:val="center"/>
          </w:tcPr>
          <w:p w14:paraId="0B88E890">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42" w:leftChars="20" w:right="42" w:rightChars="2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清丰县</w:t>
            </w:r>
            <w:r>
              <w:rPr>
                <w:rFonts w:hint="eastAsia" w:cs="Times New Roman"/>
                <w:color w:val="auto"/>
                <w:sz w:val="24"/>
                <w:szCs w:val="24"/>
                <w:highlight w:val="none"/>
                <w:lang w:val="en-US" w:eastAsia="zh-CN"/>
              </w:rPr>
              <w:t>先进制造业开发区</w:t>
            </w:r>
          </w:p>
        </w:tc>
        <w:tc>
          <w:tcPr>
            <w:tcW w:w="1061" w:type="pct"/>
            <w:noWrap w:val="0"/>
            <w:vAlign w:val="center"/>
          </w:tcPr>
          <w:p w14:paraId="46F0286C">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42" w:leftChars="20" w:right="42" w:rightChars="2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项目审批（核准/备案）文号（选填）</w:t>
            </w:r>
          </w:p>
        </w:tc>
        <w:tc>
          <w:tcPr>
            <w:tcW w:w="1730" w:type="pct"/>
            <w:noWrap w:val="0"/>
            <w:vAlign w:val="center"/>
          </w:tcPr>
          <w:p w14:paraId="599D3BB3">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42" w:leftChars="20" w:right="42" w:rightChars="2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14:paraId="0373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3" w:type="pct"/>
            <w:gridSpan w:val="2"/>
            <w:noWrap w:val="0"/>
            <w:tcMar>
              <w:top w:w="16" w:type="dxa"/>
              <w:left w:w="16" w:type="dxa"/>
              <w:right w:w="16" w:type="dxa"/>
            </w:tcMar>
            <w:vAlign w:val="center"/>
          </w:tcPr>
          <w:p w14:paraId="406D1355">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总投资（万元）</w:t>
            </w:r>
          </w:p>
        </w:tc>
        <w:tc>
          <w:tcPr>
            <w:tcW w:w="1155" w:type="pct"/>
            <w:noWrap w:val="0"/>
            <w:vAlign w:val="center"/>
          </w:tcPr>
          <w:p w14:paraId="06DCA942">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14000</w:t>
            </w:r>
          </w:p>
        </w:tc>
        <w:tc>
          <w:tcPr>
            <w:tcW w:w="1061" w:type="pct"/>
            <w:noWrap w:val="0"/>
            <w:tcMar>
              <w:top w:w="16" w:type="dxa"/>
              <w:left w:w="16" w:type="dxa"/>
              <w:right w:w="16" w:type="dxa"/>
            </w:tcMar>
            <w:vAlign w:val="center"/>
          </w:tcPr>
          <w:p w14:paraId="5EA6FEFD">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环保投资（万元）</w:t>
            </w:r>
          </w:p>
        </w:tc>
        <w:tc>
          <w:tcPr>
            <w:tcW w:w="1730" w:type="pct"/>
            <w:noWrap w:val="0"/>
            <w:vAlign w:val="center"/>
          </w:tcPr>
          <w:p w14:paraId="68B6985E">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170</w:t>
            </w:r>
          </w:p>
        </w:tc>
      </w:tr>
      <w:tr w14:paraId="6A7C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3" w:type="pct"/>
            <w:gridSpan w:val="2"/>
            <w:noWrap w:val="0"/>
            <w:tcMar>
              <w:top w:w="16" w:type="dxa"/>
              <w:left w:w="16" w:type="dxa"/>
              <w:right w:w="16" w:type="dxa"/>
            </w:tcMar>
            <w:vAlign w:val="center"/>
          </w:tcPr>
          <w:p w14:paraId="78889E4A">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环保投资占比（%）</w:t>
            </w:r>
          </w:p>
        </w:tc>
        <w:tc>
          <w:tcPr>
            <w:tcW w:w="1155" w:type="pct"/>
            <w:noWrap w:val="0"/>
            <w:vAlign w:val="center"/>
          </w:tcPr>
          <w:p w14:paraId="33E0D8E5">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1.21</w:t>
            </w:r>
          </w:p>
        </w:tc>
        <w:tc>
          <w:tcPr>
            <w:tcW w:w="1061" w:type="pct"/>
            <w:noWrap w:val="0"/>
            <w:tcMar>
              <w:top w:w="16" w:type="dxa"/>
              <w:left w:w="16" w:type="dxa"/>
              <w:right w:w="16" w:type="dxa"/>
            </w:tcMar>
            <w:vAlign w:val="center"/>
          </w:tcPr>
          <w:p w14:paraId="6C54C8D6">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施工工期</w:t>
            </w:r>
          </w:p>
        </w:tc>
        <w:tc>
          <w:tcPr>
            <w:tcW w:w="1730" w:type="pct"/>
            <w:noWrap w:val="0"/>
            <w:vAlign w:val="center"/>
          </w:tcPr>
          <w:p w14:paraId="42B7805C">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个月</w:t>
            </w:r>
          </w:p>
        </w:tc>
      </w:tr>
      <w:tr w14:paraId="581F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3" w:type="pct"/>
            <w:gridSpan w:val="2"/>
            <w:noWrap w:val="0"/>
            <w:tcMar>
              <w:top w:w="16" w:type="dxa"/>
              <w:left w:w="16" w:type="dxa"/>
              <w:right w:w="16" w:type="dxa"/>
            </w:tcMar>
            <w:vAlign w:val="center"/>
          </w:tcPr>
          <w:p w14:paraId="0BF7EAA6">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是否开工建设</w:t>
            </w:r>
          </w:p>
        </w:tc>
        <w:tc>
          <w:tcPr>
            <w:tcW w:w="1155" w:type="pct"/>
            <w:noWrap w:val="0"/>
            <w:vAlign w:val="center"/>
          </w:tcPr>
          <w:p w14:paraId="27E279A0">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否</w:t>
            </w:r>
          </w:p>
          <w:p w14:paraId="0BD0E178">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rPr>
              <w:t xml:space="preserve"> </w:t>
            </w:r>
          </w:p>
        </w:tc>
        <w:tc>
          <w:tcPr>
            <w:tcW w:w="1061" w:type="pct"/>
            <w:noWrap w:val="0"/>
            <w:tcMar>
              <w:top w:w="16" w:type="dxa"/>
              <w:left w:w="16" w:type="dxa"/>
              <w:right w:w="16" w:type="dxa"/>
            </w:tcMar>
            <w:vAlign w:val="center"/>
          </w:tcPr>
          <w:p w14:paraId="65AAD043">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pacing w:val="-6"/>
                <w:sz w:val="24"/>
                <w:szCs w:val="24"/>
                <w:highlight w:val="none"/>
              </w:rPr>
              <w:t>用地（用海）面积（m</w:t>
            </w:r>
            <w:r>
              <w:rPr>
                <w:rFonts w:hint="default" w:ascii="Times New Roman" w:hAnsi="Times New Roman" w:eastAsia="宋体" w:cs="Times New Roman"/>
                <w:b w:val="0"/>
                <w:bCs w:val="0"/>
                <w:color w:val="auto"/>
                <w:spacing w:val="-6"/>
                <w:sz w:val="24"/>
                <w:szCs w:val="24"/>
                <w:highlight w:val="none"/>
                <w:vertAlign w:val="superscript"/>
              </w:rPr>
              <w:t>2</w:t>
            </w:r>
            <w:r>
              <w:rPr>
                <w:rFonts w:hint="default" w:ascii="Times New Roman" w:hAnsi="Times New Roman" w:eastAsia="宋体" w:cs="Times New Roman"/>
                <w:b w:val="0"/>
                <w:bCs w:val="0"/>
                <w:color w:val="auto"/>
                <w:spacing w:val="-6"/>
                <w:sz w:val="24"/>
                <w:szCs w:val="24"/>
                <w:highlight w:val="none"/>
              </w:rPr>
              <w:t>）</w:t>
            </w:r>
          </w:p>
        </w:tc>
        <w:tc>
          <w:tcPr>
            <w:tcW w:w="1730" w:type="pct"/>
            <w:noWrap w:val="0"/>
            <w:vAlign w:val="center"/>
          </w:tcPr>
          <w:p w14:paraId="083AF1D8">
            <w:pPr>
              <w:keepNext w:val="0"/>
              <w:keepLines w:val="0"/>
              <w:pageBreakBefore w:val="0"/>
              <w:widowControl w:val="0"/>
              <w:kinsoku/>
              <w:wordWrap/>
              <w:overflowPunct/>
              <w:topLinePunct w:val="0"/>
              <w:autoSpaceDE/>
              <w:autoSpaceDN/>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306</w:t>
            </w:r>
            <w:r>
              <w:rPr>
                <w:rFonts w:hint="eastAsia" w:cs="Times New Roman"/>
                <w:color w:val="auto"/>
                <w:sz w:val="24"/>
                <w:szCs w:val="24"/>
                <w:highlight w:val="none"/>
                <w:lang w:val="en-US" w:eastAsia="zh-CN"/>
              </w:rPr>
              <w:t>12.12</w:t>
            </w:r>
          </w:p>
        </w:tc>
      </w:tr>
      <w:tr w14:paraId="23C0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3" w:type="pct"/>
            <w:gridSpan w:val="2"/>
            <w:noWrap w:val="0"/>
            <w:vAlign w:val="center"/>
          </w:tcPr>
          <w:p w14:paraId="447B6AFC">
            <w:pPr>
              <w:keepNext w:val="0"/>
              <w:keepLines w:val="0"/>
              <w:pageBreakBefore w:val="0"/>
              <w:widowControl w:val="0"/>
              <w:kinsoku/>
              <w:wordWrap/>
              <w:overflowPunct/>
              <w:topLinePunct w:val="0"/>
              <w:autoSpaceDE w:val="0"/>
              <w:autoSpaceDN w:val="0"/>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专项评价设置</w:t>
            </w:r>
            <w:r>
              <w:rPr>
                <w:rFonts w:hint="default" w:ascii="Times New Roman" w:hAnsi="Times New Roman" w:eastAsia="宋体" w:cs="Times New Roman"/>
                <w:b w:val="0"/>
                <w:bCs w:val="0"/>
                <w:color w:val="auto"/>
                <w:kern w:val="0"/>
                <w:sz w:val="24"/>
                <w:szCs w:val="24"/>
                <w:highlight w:val="none"/>
                <w:lang w:val="en-US" w:eastAsia="zh-CN"/>
              </w:rPr>
              <w:t xml:space="preserve">  </w:t>
            </w:r>
            <w:r>
              <w:rPr>
                <w:rFonts w:hint="default" w:ascii="Times New Roman" w:hAnsi="Times New Roman" w:eastAsia="宋体" w:cs="Times New Roman"/>
                <w:b w:val="0"/>
                <w:bCs w:val="0"/>
                <w:color w:val="auto"/>
                <w:kern w:val="0"/>
                <w:sz w:val="24"/>
                <w:szCs w:val="24"/>
                <w:highlight w:val="none"/>
              </w:rPr>
              <w:t>情况</w:t>
            </w:r>
          </w:p>
        </w:tc>
        <w:tc>
          <w:tcPr>
            <w:tcW w:w="3946" w:type="pct"/>
            <w:gridSpan w:val="3"/>
            <w:noWrap w:val="0"/>
            <w:vAlign w:val="center"/>
          </w:tcPr>
          <w:p w14:paraId="1D841BE4">
            <w:pPr>
              <w:keepNext w:val="0"/>
              <w:keepLines w:val="0"/>
              <w:pageBreakBefore w:val="0"/>
              <w:widowControl w:val="0"/>
              <w:kinsoku/>
              <w:wordWrap/>
              <w:overflowPunct/>
              <w:topLinePunct w:val="0"/>
              <w:autoSpaceDE w:val="0"/>
              <w:autoSpaceDN w:val="0"/>
              <w:bidi w:val="0"/>
              <w:adjustRightInd w:val="0"/>
              <w:snapToGrid w:val="0"/>
              <w:spacing w:before="110" w:beforeLines="35" w:after="110" w:afterLines="35"/>
              <w:ind w:left="42" w:leftChars="20" w:right="42" w:rightChars="20"/>
              <w:jc w:val="center"/>
              <w:textAlignment w:val="auto"/>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无</w:t>
            </w:r>
          </w:p>
        </w:tc>
      </w:tr>
      <w:tr w14:paraId="0F6F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1053" w:type="pct"/>
            <w:gridSpan w:val="2"/>
            <w:noWrap w:val="0"/>
            <w:vAlign w:val="center"/>
          </w:tcPr>
          <w:p w14:paraId="6998CE1D">
            <w:pPr>
              <w:keepNext w:val="0"/>
              <w:keepLines w:val="0"/>
              <w:pageBreakBefore w:val="0"/>
              <w:widowControl w:val="0"/>
              <w:kinsoku/>
              <w:wordWrap/>
              <w:overflowPunct/>
              <w:topLinePunct w:val="0"/>
              <w:autoSpaceDE w:val="0"/>
              <w:autoSpaceDN w:val="0"/>
              <w:bidi w:val="0"/>
              <w:adjustRightInd w:val="0"/>
              <w:snapToGrid w:val="0"/>
              <w:spacing w:before="126" w:beforeLines="40" w:after="126" w:afterLines="40" w:line="240" w:lineRule="auto"/>
              <w:ind w:left="0" w:leftChars="0" w:right="0" w:rightChars="0"/>
              <w:jc w:val="center"/>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规划情况</w:t>
            </w:r>
          </w:p>
        </w:tc>
        <w:tc>
          <w:tcPr>
            <w:tcW w:w="3946" w:type="pct"/>
            <w:gridSpan w:val="3"/>
            <w:noWrap w:val="0"/>
            <w:vAlign w:val="center"/>
          </w:tcPr>
          <w:p w14:paraId="3BC3577A">
            <w:pPr>
              <w:keepNext w:val="0"/>
              <w:keepLines w:val="0"/>
              <w:pageBreakBefore w:val="0"/>
              <w:widowControl w:val="0"/>
              <w:kinsoku/>
              <w:wordWrap/>
              <w:overflowPunct/>
              <w:topLinePunct w:val="0"/>
              <w:autoSpaceDE w:val="0"/>
              <w:autoSpaceDN w:val="0"/>
              <w:bidi w:val="0"/>
              <w:adjustRightInd w:val="0"/>
              <w:snapToGrid w:val="0"/>
              <w:spacing w:before="126" w:beforeLines="40" w:after="126" w:afterLines="40" w:line="240" w:lineRule="auto"/>
              <w:ind w:firstLine="0" w:firstLineChars="0"/>
              <w:jc w:val="both"/>
              <w:textAlignment w:val="auto"/>
              <w:rPr>
                <w:rFonts w:hint="eastAsia" w:ascii="Times New Roman" w:hAnsi="Times New Roman" w:eastAsia="宋体" w:cs="Times New Roman"/>
                <w:b w:val="0"/>
                <w:bCs w:val="0"/>
                <w:color w:val="auto"/>
                <w:sz w:val="24"/>
                <w:szCs w:val="24"/>
                <w:u w:val="none"/>
                <w:vertAlign w:val="baseline"/>
                <w:lang w:val="en-US" w:eastAsia="zh-CN"/>
              </w:rPr>
            </w:pPr>
            <w:r>
              <w:rPr>
                <w:rFonts w:hint="eastAsia" w:ascii="Times New Roman" w:hAnsi="Times New Roman" w:eastAsia="宋体" w:cs="Times New Roman"/>
                <w:b w:val="0"/>
                <w:bCs w:val="0"/>
                <w:color w:val="auto"/>
                <w:sz w:val="24"/>
                <w:szCs w:val="24"/>
                <w:u w:val="none"/>
                <w:vertAlign w:val="baseline"/>
                <w:lang w:val="en-US" w:eastAsia="zh-CN"/>
              </w:rPr>
              <w:t>规划名称：《清丰县先进制造业开发区发展规划》</w:t>
            </w:r>
            <w:r>
              <w:rPr>
                <w:rFonts w:hint="default"/>
                <w:color w:val="auto"/>
                <w:sz w:val="24"/>
                <w:szCs w:val="24"/>
                <w:lang w:val="en-US" w:eastAsia="zh-CN"/>
              </w:rPr>
              <w:t>（20</w:t>
            </w:r>
            <w:r>
              <w:rPr>
                <w:rFonts w:hint="eastAsia"/>
                <w:color w:val="auto"/>
                <w:sz w:val="24"/>
                <w:szCs w:val="24"/>
                <w:lang w:val="en-US" w:eastAsia="zh-CN"/>
              </w:rPr>
              <w:t>22</w:t>
            </w:r>
            <w:r>
              <w:rPr>
                <w:rFonts w:hint="default"/>
                <w:color w:val="auto"/>
                <w:sz w:val="24"/>
                <w:szCs w:val="24"/>
                <w:lang w:val="en-US" w:eastAsia="zh-CN"/>
              </w:rPr>
              <w:t>-20</w:t>
            </w:r>
            <w:r>
              <w:rPr>
                <w:rFonts w:hint="eastAsia"/>
                <w:color w:val="auto"/>
                <w:sz w:val="24"/>
                <w:szCs w:val="24"/>
                <w:lang w:val="en-US" w:eastAsia="zh-CN"/>
              </w:rPr>
              <w:t>35</w:t>
            </w:r>
            <w:r>
              <w:rPr>
                <w:rFonts w:hint="default"/>
                <w:color w:val="auto"/>
                <w:sz w:val="24"/>
                <w:szCs w:val="24"/>
                <w:lang w:val="en-US" w:eastAsia="zh-CN"/>
              </w:rPr>
              <w:t>）</w:t>
            </w:r>
          </w:p>
          <w:p w14:paraId="1BB8A6AE">
            <w:pPr>
              <w:keepNext w:val="0"/>
              <w:keepLines w:val="0"/>
              <w:pageBreakBefore w:val="0"/>
              <w:widowControl w:val="0"/>
              <w:kinsoku/>
              <w:wordWrap/>
              <w:overflowPunct/>
              <w:topLinePunct w:val="0"/>
              <w:autoSpaceDE w:val="0"/>
              <w:autoSpaceDN w:val="0"/>
              <w:bidi w:val="0"/>
              <w:adjustRightInd w:val="0"/>
              <w:snapToGrid w:val="0"/>
              <w:spacing w:before="126" w:beforeLines="40" w:after="126" w:afterLines="40" w:line="240" w:lineRule="auto"/>
              <w:ind w:firstLine="0" w:firstLineChars="0"/>
              <w:jc w:val="both"/>
              <w:textAlignment w:val="auto"/>
              <w:rPr>
                <w:rFonts w:hint="eastAsia" w:ascii="Times New Roman" w:hAnsi="Times New Roman" w:eastAsia="宋体" w:cs="Times New Roman"/>
                <w:b w:val="0"/>
                <w:bCs w:val="0"/>
                <w:color w:val="auto"/>
                <w:sz w:val="24"/>
                <w:szCs w:val="24"/>
                <w:u w:val="none"/>
                <w:vertAlign w:val="baseline"/>
                <w:lang w:val="en-US" w:eastAsia="zh-CN"/>
              </w:rPr>
            </w:pPr>
            <w:r>
              <w:rPr>
                <w:rFonts w:hint="eastAsia" w:ascii="Times New Roman" w:hAnsi="Times New Roman" w:eastAsia="宋体" w:cs="Times New Roman"/>
                <w:b w:val="0"/>
                <w:bCs w:val="0"/>
                <w:color w:val="auto"/>
                <w:sz w:val="24"/>
                <w:szCs w:val="24"/>
                <w:u w:val="none"/>
                <w:vertAlign w:val="baseline"/>
                <w:lang w:val="en-US" w:eastAsia="zh-CN"/>
              </w:rPr>
              <w:t>编制单位：河南省城乡规划设计研究总院股份有限公司</w:t>
            </w:r>
          </w:p>
          <w:p w14:paraId="5FE12850">
            <w:pPr>
              <w:keepNext w:val="0"/>
              <w:keepLines w:val="0"/>
              <w:pageBreakBefore w:val="0"/>
              <w:widowControl w:val="0"/>
              <w:kinsoku/>
              <w:wordWrap/>
              <w:overflowPunct/>
              <w:topLinePunct w:val="0"/>
              <w:autoSpaceDE w:val="0"/>
              <w:autoSpaceDN w:val="0"/>
              <w:bidi w:val="0"/>
              <w:adjustRightInd w:val="0"/>
              <w:snapToGrid w:val="0"/>
              <w:spacing w:before="126" w:beforeLines="40" w:after="126" w:afterLines="40" w:line="240" w:lineRule="auto"/>
              <w:ind w:firstLine="0" w:firstLineChars="0"/>
              <w:jc w:val="both"/>
              <w:textAlignment w:val="auto"/>
              <w:rPr>
                <w:rFonts w:hint="eastAsia" w:ascii="Times New Roman" w:hAnsi="Times New Roman" w:eastAsia="宋体" w:cs="Times New Roman"/>
                <w:b w:val="0"/>
                <w:bCs w:val="0"/>
                <w:color w:val="auto"/>
                <w:sz w:val="24"/>
                <w:szCs w:val="24"/>
                <w:u w:val="none"/>
                <w:vertAlign w:val="baseline"/>
                <w:lang w:val="en-US" w:eastAsia="zh-CN"/>
              </w:rPr>
            </w:pPr>
            <w:r>
              <w:rPr>
                <w:rFonts w:hint="eastAsia" w:ascii="Times New Roman" w:hAnsi="Times New Roman" w:eastAsia="宋体" w:cs="Times New Roman"/>
                <w:b w:val="0"/>
                <w:bCs w:val="0"/>
                <w:color w:val="auto"/>
                <w:sz w:val="24"/>
                <w:szCs w:val="24"/>
                <w:u w:val="none"/>
                <w:vertAlign w:val="baseline"/>
                <w:lang w:val="en-US" w:eastAsia="zh-CN"/>
              </w:rPr>
              <w:t>审查机关：河南省发展和改革委员会</w:t>
            </w:r>
          </w:p>
          <w:p w14:paraId="29F944DA">
            <w:pPr>
              <w:keepNext w:val="0"/>
              <w:keepLines w:val="0"/>
              <w:pageBreakBefore w:val="0"/>
              <w:widowControl w:val="0"/>
              <w:kinsoku/>
              <w:wordWrap/>
              <w:overflowPunct/>
              <w:topLinePunct w:val="0"/>
              <w:autoSpaceDE w:val="0"/>
              <w:autoSpaceDN w:val="0"/>
              <w:bidi w:val="0"/>
              <w:adjustRightInd w:val="0"/>
              <w:snapToGrid w:val="0"/>
              <w:spacing w:before="126" w:beforeLines="40" w:after="126" w:afterLines="40" w:line="240" w:lineRule="auto"/>
              <w:ind w:left="0" w:leftChars="0" w:right="0" w:rightChars="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sz w:val="24"/>
                <w:szCs w:val="24"/>
                <w:u w:val="none"/>
                <w:vertAlign w:val="baseline"/>
                <w:lang w:val="en-US" w:eastAsia="zh-CN"/>
              </w:rPr>
              <w:t>审批文号：/</w:t>
            </w:r>
          </w:p>
        </w:tc>
      </w:tr>
      <w:tr w14:paraId="40A2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053" w:type="pct"/>
            <w:gridSpan w:val="2"/>
            <w:noWrap w:val="0"/>
            <w:vAlign w:val="center"/>
          </w:tcPr>
          <w:p w14:paraId="393D5E0F">
            <w:pPr>
              <w:keepNext w:val="0"/>
              <w:keepLines w:val="0"/>
              <w:pageBreakBefore w:val="0"/>
              <w:widowControl w:val="0"/>
              <w:kinsoku/>
              <w:wordWrap/>
              <w:overflowPunct/>
              <w:topLinePunct w:val="0"/>
              <w:autoSpaceDE w:val="0"/>
              <w:autoSpaceDN w:val="0"/>
              <w:bidi w:val="0"/>
              <w:adjustRightInd w:val="0"/>
              <w:snapToGrid w:val="0"/>
              <w:spacing w:before="126" w:beforeLines="40" w:after="126" w:afterLines="40" w:line="240" w:lineRule="auto"/>
              <w:ind w:left="0" w:leftChars="0" w:right="0" w:rightChars="0"/>
              <w:jc w:val="center"/>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规划环境影响评价情况</w:t>
            </w:r>
          </w:p>
        </w:tc>
        <w:tc>
          <w:tcPr>
            <w:tcW w:w="3946" w:type="pct"/>
            <w:gridSpan w:val="3"/>
            <w:noWrap w:val="0"/>
            <w:vAlign w:val="center"/>
          </w:tcPr>
          <w:p w14:paraId="5B01703D">
            <w:pPr>
              <w:keepNext w:val="0"/>
              <w:keepLines w:val="0"/>
              <w:pageBreakBefore w:val="0"/>
              <w:widowControl w:val="0"/>
              <w:kinsoku/>
              <w:wordWrap/>
              <w:overflowPunct/>
              <w:topLinePunct w:val="0"/>
              <w:autoSpaceDE w:val="0"/>
              <w:autoSpaceDN w:val="0"/>
              <w:bidi w:val="0"/>
              <w:adjustRightInd w:val="0"/>
              <w:snapToGrid w:val="0"/>
              <w:spacing w:before="126" w:beforeLines="40" w:after="126" w:afterLines="40" w:line="240" w:lineRule="auto"/>
              <w:ind w:left="0" w:leftChars="0" w:right="0" w:rightChars="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规划环境影响评价文件名称：《清丰县先进制造业开发区发展规划</w:t>
            </w:r>
            <w:r>
              <w:rPr>
                <w:rFonts w:hint="eastAsia"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2022-2035</w:t>
            </w:r>
            <w:r>
              <w:rPr>
                <w:rFonts w:hint="eastAsia"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环境影响报告书》；</w:t>
            </w:r>
          </w:p>
          <w:p w14:paraId="20CAA861">
            <w:pPr>
              <w:keepNext w:val="0"/>
              <w:keepLines w:val="0"/>
              <w:pageBreakBefore w:val="0"/>
              <w:widowControl w:val="0"/>
              <w:kinsoku/>
              <w:wordWrap/>
              <w:overflowPunct/>
              <w:topLinePunct w:val="0"/>
              <w:autoSpaceDE w:val="0"/>
              <w:autoSpaceDN w:val="0"/>
              <w:bidi w:val="0"/>
              <w:adjustRightInd w:val="0"/>
              <w:snapToGrid w:val="0"/>
              <w:spacing w:before="126" w:beforeLines="40" w:after="126" w:afterLines="40" w:line="240" w:lineRule="auto"/>
              <w:ind w:left="0" w:leftChars="0" w:right="0" w:rightChars="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审查机关：濮阳市生态环境局；</w:t>
            </w:r>
          </w:p>
          <w:p w14:paraId="0740253F">
            <w:pPr>
              <w:keepNext w:val="0"/>
              <w:keepLines w:val="0"/>
              <w:pageBreakBefore w:val="0"/>
              <w:widowControl w:val="0"/>
              <w:kinsoku/>
              <w:wordWrap/>
              <w:overflowPunct/>
              <w:topLinePunct w:val="0"/>
              <w:autoSpaceDE w:val="0"/>
              <w:autoSpaceDN w:val="0"/>
              <w:bidi w:val="0"/>
              <w:adjustRightInd w:val="0"/>
              <w:snapToGrid w:val="0"/>
              <w:spacing w:before="126" w:beforeLines="40" w:after="126" w:afterLines="40" w:line="240" w:lineRule="auto"/>
              <w:ind w:left="0" w:leftChars="0" w:right="0" w:rightChars="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审批文号：濮环审〔2025〕2 号</w:t>
            </w:r>
          </w:p>
        </w:tc>
      </w:tr>
      <w:tr w14:paraId="198A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0" w:hRule="atLeast"/>
          <w:jc w:val="center"/>
        </w:trPr>
        <w:tc>
          <w:tcPr>
            <w:tcW w:w="331" w:type="pct"/>
            <w:noWrap w:val="0"/>
            <w:vAlign w:val="center"/>
          </w:tcPr>
          <w:p w14:paraId="58F1CA05">
            <w:pPr>
              <w:keepNext w:val="0"/>
              <w:keepLines w:val="0"/>
              <w:pageBreakBefore w:val="0"/>
              <w:widowControl w:val="0"/>
              <w:kinsoku/>
              <w:wordWrap/>
              <w:overflowPunct/>
              <w:topLinePunct w:val="0"/>
              <w:autoSpaceDE w:val="0"/>
              <w:autoSpaceDN w:val="0"/>
              <w:bidi w:val="0"/>
              <w:adjustRightInd w:val="0"/>
              <w:snapToGrid w:val="0"/>
              <w:spacing w:before="110" w:beforeLines="35" w:after="110" w:afterLines="35"/>
              <w:ind w:left="0" w:leftChars="0" w:right="0" w:rightChars="0"/>
              <w:jc w:val="center"/>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规划及规划环境影响评价符合性分析</w:t>
            </w:r>
          </w:p>
        </w:tc>
        <w:tc>
          <w:tcPr>
            <w:tcW w:w="4668" w:type="pct"/>
            <w:gridSpan w:val="4"/>
            <w:noWrap w:val="0"/>
            <w:vAlign w:val="center"/>
          </w:tcPr>
          <w:p w14:paraId="58A70154">
            <w:pPr>
              <w:keepNext w:val="0"/>
              <w:keepLines w:val="0"/>
              <w:pageBreakBefore w:val="0"/>
              <w:kinsoku/>
              <w:wordWrap/>
              <w:overflowPunct/>
              <w:topLinePunct w:val="0"/>
              <w:autoSpaceDE w:val="0"/>
              <w:autoSpaceDN w:val="0"/>
              <w:bidi w:val="0"/>
              <w:adjustRightInd w:val="0"/>
              <w:snapToGrid w:val="0"/>
              <w:spacing w:line="520" w:lineRule="atLeast"/>
              <w:ind w:right="0"/>
              <w:jc w:val="both"/>
              <w:textAlignment w:val="auto"/>
              <w:rPr>
                <w:rFonts w:hint="eastAsia" w:cs="Times New Roman"/>
                <w:color w:val="auto"/>
                <w:kern w:val="0"/>
                <w:sz w:val="24"/>
                <w:szCs w:val="24"/>
                <w:highlight w:val="none"/>
                <w:lang w:val="en-US" w:eastAsia="zh-CN"/>
              </w:rPr>
            </w:pPr>
            <w:r>
              <w:rPr>
                <w:rFonts w:hint="eastAsia" w:cs="Times New Roman"/>
                <w:b/>
                <w:bCs/>
                <w:color w:val="auto"/>
                <w:kern w:val="0"/>
                <w:sz w:val="24"/>
                <w:szCs w:val="24"/>
                <w:highlight w:val="none"/>
                <w:lang w:val="en-US" w:eastAsia="zh-CN"/>
              </w:rPr>
              <w:t>1、《清丰县先进制造业开发区发展规划》（2022-2035）相符性分析</w:t>
            </w:r>
          </w:p>
          <w:p w14:paraId="67791FBF">
            <w:pPr>
              <w:keepNext w:val="0"/>
              <w:keepLines w:val="0"/>
              <w:pageBreakBefore w:val="0"/>
              <w:kinsoku/>
              <w:wordWrap/>
              <w:overflowPunct/>
              <w:topLinePunct w:val="0"/>
              <w:autoSpaceDE w:val="0"/>
              <w:autoSpaceDN w:val="0"/>
              <w:bidi w:val="0"/>
              <w:adjustRightInd w:val="0"/>
              <w:snapToGrid w:val="0"/>
              <w:spacing w:line="520" w:lineRule="atLeast"/>
              <w:ind w:right="0"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近年来集聚区得到了较快发展，目前上轮规划《清丰县产业集聚区发展规划（2013-2020）》实施年限已满，随着社会经济高质量发展进程的推进，各项建设与基础设施不断完善，城乡面貌正在发生着较为明显的变化，上版规划也体现出一定的局限性。按照《中共河南省委河南省人民政府关于推动河南省开发区高质量发展的指导意见》（豫发〔2021〕21号）等工作部署和要求，清丰县开发区管委会委托河南省城市规划设计研究总院有限公司编制了《清丰县先进制造业开发区发展规划（2022-2035年）》规划内容如下：</w:t>
            </w:r>
          </w:p>
          <w:p w14:paraId="5144AB6C">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lang w:val="en-US" w:eastAsia="zh-CN" w:bidi="ar-SA"/>
              </w:rPr>
              <w:t>（1）</w:t>
            </w:r>
            <w:r>
              <w:rPr>
                <w:rFonts w:hint="eastAsia" w:cs="Times New Roman"/>
                <w:color w:val="auto"/>
                <w:kern w:val="0"/>
                <w:sz w:val="24"/>
                <w:szCs w:val="24"/>
                <w:highlight w:val="none"/>
                <w:lang w:val="en-US" w:eastAsia="zh-CN"/>
              </w:rPr>
              <w:t>规划范围</w:t>
            </w:r>
          </w:p>
          <w:p w14:paraId="2D6812D8">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清丰县先进制造业开发区共分为三个片区，分别为城区综合制造产业园、马庄桥商贸物流产业园和六塔工业园，总规划面积为2474.65hm</w:t>
            </w:r>
            <w:r>
              <w:rPr>
                <w:rFonts w:hint="eastAsia" w:cs="Times New Roman"/>
                <w:color w:val="auto"/>
                <w:kern w:val="0"/>
                <w:sz w:val="24"/>
                <w:szCs w:val="24"/>
                <w:highlight w:val="none"/>
                <w:vertAlign w:val="superscript"/>
                <w:lang w:val="en-US" w:eastAsia="zh-CN"/>
              </w:rPr>
              <w:t>2</w:t>
            </w:r>
            <w:r>
              <w:rPr>
                <w:rFonts w:hint="eastAsia" w:cs="Times New Roman"/>
                <w:color w:val="auto"/>
                <w:kern w:val="0"/>
                <w:sz w:val="24"/>
                <w:szCs w:val="24"/>
                <w:highlight w:val="none"/>
                <w:lang w:val="en-US" w:eastAsia="zh-CN"/>
              </w:rPr>
              <w:t>。</w:t>
            </w:r>
          </w:p>
          <w:p w14:paraId="142379CE">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城区综合制造产业园：东至龙乡路，西至晓月路一文明路，南至长安路，北至潴泷河。规划面积1395公顷。</w:t>
            </w:r>
          </w:p>
          <w:p w14:paraId="64710444">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马庄桥商贸物流园：东至中逸路，西至诚睦路西130米处，南至G342，北至柳格大道南250米处。规划面积314公顷。</w:t>
            </w:r>
          </w:p>
          <w:p w14:paraId="52796DE2">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六塔工业园：东至六塔乡界123米处，西至潴泷河东722米处，南至濮台路及县界，北至台辉高速466米处。规划面积115公顷。</w:t>
            </w:r>
          </w:p>
          <w:p w14:paraId="140903D6">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本项目位于城区综合制造产业园，在规划范围内。</w:t>
            </w:r>
          </w:p>
          <w:p w14:paraId="2D46C835">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lang w:val="en-US" w:eastAsia="zh-CN" w:bidi="ar-SA"/>
              </w:rPr>
              <w:t>（2）</w:t>
            </w:r>
            <w:r>
              <w:rPr>
                <w:rFonts w:hint="eastAsia" w:cs="Times New Roman"/>
                <w:color w:val="auto"/>
                <w:kern w:val="0"/>
                <w:sz w:val="24"/>
                <w:szCs w:val="24"/>
                <w:highlight w:val="none"/>
                <w:lang w:val="en-US" w:eastAsia="zh-CN"/>
              </w:rPr>
              <w:t>规划年限</w:t>
            </w:r>
          </w:p>
          <w:p w14:paraId="14E6FB5E">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规划期限为2022-2035年，其中近期到2022年，远期到2035年。</w:t>
            </w:r>
          </w:p>
          <w:p w14:paraId="0E613DFD">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lang w:val="en-US" w:eastAsia="zh-CN" w:bidi="ar-SA"/>
              </w:rPr>
              <w:t>（3）</w:t>
            </w:r>
            <w:r>
              <w:rPr>
                <w:rFonts w:hint="eastAsia" w:cs="Times New Roman"/>
                <w:color w:val="auto"/>
                <w:kern w:val="0"/>
                <w:sz w:val="24"/>
                <w:szCs w:val="24"/>
                <w:highlight w:val="none"/>
                <w:lang w:val="en-US" w:eastAsia="zh-CN"/>
              </w:rPr>
              <w:t>主导产业</w:t>
            </w:r>
          </w:p>
          <w:p w14:paraId="23386127">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以家居制造及贸易、食品加工及贸易、节能环保为主导产业，相关配套产业为辅助产业。</w:t>
            </w:r>
          </w:p>
          <w:p w14:paraId="271A8B1A">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4）发展定位：开发区是先进产业集中区、改革创新试验区、现代化城市功能区和科学发展示范区，是优化经济结构、转变发展方式、实现节约集约发展的基础工程，是我省推动工业化、城镇化快速发展和对外开放的重要平台。“十四五”时期，围绕“三主”战略定位，把握发展趋势、发挥特色优势，结合开发区实际，立足清丰县、濮阳市、辐射豫鲁冀省际交汇区域，引导先进制造业向开发区集聚发展，将开发区努力打造成为：建成中国中部地区绿色家居基地；建成豫北地区重要的特色食品加工新高地；建设濮阳市现代化产业体系发展示范区；建设低碳绿色发展的生态强区。</w:t>
            </w:r>
          </w:p>
          <w:p w14:paraId="5816A91E">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cs="Times New Roman"/>
                <w:color w:val="auto"/>
                <w:kern w:val="0"/>
                <w:sz w:val="24"/>
                <w:szCs w:val="24"/>
                <w:highlight w:val="none"/>
                <w:u w:val="single"/>
                <w:lang w:val="en-US" w:eastAsia="zh-CN"/>
              </w:rPr>
            </w:pPr>
            <w:r>
              <w:rPr>
                <w:rFonts w:hint="eastAsia" w:ascii="Times New Roman" w:hAnsi="Times New Roman" w:cs="Times New Roman"/>
                <w:color w:val="auto"/>
                <w:kern w:val="0"/>
                <w:sz w:val="24"/>
                <w:szCs w:val="24"/>
                <w:highlight w:val="none"/>
                <w:u w:val="single"/>
                <w:lang w:val="en-US" w:eastAsia="zh-CN"/>
              </w:rPr>
              <w:t>（5）产业布局</w:t>
            </w:r>
          </w:p>
          <w:p w14:paraId="11AD03C8">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cs="Times New Roman"/>
                <w:color w:val="auto"/>
                <w:kern w:val="0"/>
                <w:sz w:val="24"/>
                <w:szCs w:val="24"/>
                <w:highlight w:val="none"/>
                <w:u w:val="single"/>
                <w:lang w:val="en-US" w:eastAsia="zh-CN"/>
              </w:rPr>
            </w:pPr>
            <w:r>
              <w:rPr>
                <w:rFonts w:hint="eastAsia" w:ascii="Times New Roman" w:hAnsi="Times New Roman" w:cs="Times New Roman"/>
                <w:color w:val="auto"/>
                <w:kern w:val="0"/>
                <w:sz w:val="24"/>
                <w:szCs w:val="24"/>
                <w:highlight w:val="none"/>
                <w:u w:val="single"/>
                <w:lang w:val="en-US" w:eastAsia="zh-CN"/>
              </w:rPr>
              <w:t>1）空间布局</w:t>
            </w:r>
          </w:p>
          <w:p w14:paraId="13F4428C">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cs="Times New Roman"/>
                <w:color w:val="auto"/>
                <w:kern w:val="0"/>
                <w:sz w:val="24"/>
                <w:szCs w:val="24"/>
                <w:highlight w:val="none"/>
                <w:u w:val="single"/>
                <w:lang w:val="en-US" w:eastAsia="zh-CN"/>
              </w:rPr>
            </w:pPr>
            <w:r>
              <w:rPr>
                <w:rFonts w:hint="eastAsia" w:ascii="Times New Roman" w:hAnsi="Times New Roman" w:cs="Times New Roman"/>
                <w:color w:val="auto"/>
                <w:kern w:val="0"/>
                <w:sz w:val="24"/>
                <w:szCs w:val="24"/>
                <w:highlight w:val="none"/>
                <w:u w:val="single"/>
                <w:lang w:val="en-US" w:eastAsia="zh-CN"/>
              </w:rPr>
              <w:t>城区综合制造产业园为原清丰县产业集聚区，重点推动绿色家具及贸易、食品加工及贸易、节能环保三大产业提质增效；</w:t>
            </w:r>
          </w:p>
          <w:p w14:paraId="520BE48E">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cs="Times New Roman"/>
                <w:color w:val="auto"/>
                <w:kern w:val="0"/>
                <w:sz w:val="24"/>
                <w:szCs w:val="24"/>
                <w:highlight w:val="none"/>
                <w:u w:val="single"/>
                <w:lang w:val="en-US" w:eastAsia="zh-CN"/>
              </w:rPr>
            </w:pPr>
            <w:r>
              <w:rPr>
                <w:rFonts w:hint="eastAsia" w:ascii="Times New Roman" w:hAnsi="Times New Roman" w:cs="Times New Roman"/>
                <w:color w:val="auto"/>
                <w:kern w:val="0"/>
                <w:sz w:val="24"/>
                <w:szCs w:val="24"/>
                <w:highlight w:val="none"/>
                <w:u w:val="single"/>
                <w:lang w:val="en-US" w:eastAsia="zh-CN"/>
              </w:rPr>
              <w:t>马庄桥现代商贸物流园重点发展农副产品物流、家具物流、电商物流、中央厨房、总部经济等生产性服务业，打造冀鲁豫三省省际物流中心；</w:t>
            </w:r>
          </w:p>
          <w:p w14:paraId="4D026155">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cs="Times New Roman"/>
                <w:color w:val="auto"/>
                <w:kern w:val="0"/>
                <w:sz w:val="24"/>
                <w:szCs w:val="24"/>
                <w:highlight w:val="none"/>
                <w:u w:val="single"/>
                <w:lang w:val="en-US" w:eastAsia="zh-CN"/>
              </w:rPr>
            </w:pPr>
            <w:r>
              <w:rPr>
                <w:rFonts w:hint="eastAsia" w:ascii="Times New Roman" w:hAnsi="Times New Roman" w:cs="Times New Roman"/>
                <w:color w:val="auto"/>
                <w:kern w:val="0"/>
                <w:sz w:val="24"/>
                <w:szCs w:val="24"/>
                <w:highlight w:val="none"/>
                <w:u w:val="single"/>
                <w:lang w:val="en-US" w:eastAsia="zh-CN"/>
              </w:rPr>
              <w:t>六塔工业园重点发展节能环保、生物发酵、轻工、新能源等新兴产业，培育新的经济增长点。</w:t>
            </w:r>
          </w:p>
          <w:p w14:paraId="4070A8E5">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cs="Times New Roman"/>
                <w:color w:val="auto"/>
                <w:kern w:val="0"/>
                <w:sz w:val="24"/>
                <w:szCs w:val="24"/>
                <w:highlight w:val="none"/>
                <w:u w:val="single"/>
                <w:lang w:val="en-US" w:eastAsia="zh-CN"/>
              </w:rPr>
            </w:pPr>
            <w:r>
              <w:rPr>
                <w:rFonts w:hint="eastAsia" w:ascii="Times New Roman" w:hAnsi="Times New Roman" w:cs="Times New Roman"/>
                <w:color w:val="auto"/>
                <w:kern w:val="0"/>
                <w:sz w:val="24"/>
                <w:szCs w:val="24"/>
                <w:highlight w:val="none"/>
                <w:u w:val="single"/>
                <w:lang w:val="en-US" w:eastAsia="zh-CN"/>
              </w:rPr>
              <w:t>2）产业优化布局</w:t>
            </w:r>
          </w:p>
          <w:p w14:paraId="502C91ED">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cs="Times New Roman"/>
                <w:color w:val="auto"/>
                <w:kern w:val="0"/>
                <w:sz w:val="24"/>
                <w:szCs w:val="24"/>
                <w:highlight w:val="none"/>
                <w:u w:val="single"/>
                <w:lang w:val="en-US" w:eastAsia="zh-CN"/>
              </w:rPr>
            </w:pPr>
            <w:r>
              <w:rPr>
                <w:rFonts w:hint="eastAsia" w:ascii="Times New Roman" w:hAnsi="Times New Roman" w:cs="Times New Roman"/>
                <w:color w:val="auto"/>
                <w:kern w:val="0"/>
                <w:sz w:val="24"/>
                <w:szCs w:val="24"/>
                <w:highlight w:val="none"/>
                <w:u w:val="single"/>
                <w:lang w:val="en-US" w:eastAsia="zh-CN"/>
              </w:rPr>
              <w:t>在开发区土地空间资源较为有限的情况下，必须坚持集聚节约发展的原则，充分发挥服务业发展趋势和开发区产业基础，做优做强家具制造及贸易产业，做特做精食品加工及贸易产业，积极培育节能环保战略新兴产业，大力发展商贸物流生产性服务业，把推动制造业高质量发展作为主攻方向，按照产业禁止和限制目录进一步推动传统制造业有机疏解和低效制造业有序退出，提升产业链供应链现代化水平，构建以先进制造业和现代服务业融合发展为支撑的现代特色产业体系。</w:t>
            </w:r>
          </w:p>
          <w:p w14:paraId="0E36B4C0">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cs="Times New Roman"/>
                <w:color w:val="auto"/>
                <w:kern w:val="0"/>
                <w:sz w:val="24"/>
                <w:szCs w:val="24"/>
                <w:highlight w:val="none"/>
                <w:u w:val="single"/>
                <w:lang w:val="en-US" w:eastAsia="zh-CN"/>
              </w:rPr>
            </w:pPr>
            <w:r>
              <w:rPr>
                <w:rFonts w:hint="eastAsia" w:ascii="Times New Roman" w:hAnsi="Times New Roman" w:cs="Times New Roman"/>
                <w:color w:val="auto"/>
                <w:kern w:val="0"/>
                <w:sz w:val="24"/>
                <w:szCs w:val="24"/>
                <w:highlight w:val="none"/>
                <w:u w:val="single"/>
                <w:lang w:val="en-US" w:eastAsia="zh-CN"/>
              </w:rPr>
              <w:t>本项目位于</w:t>
            </w:r>
            <w:r>
              <w:rPr>
                <w:rFonts w:hint="default" w:ascii="Times New Roman" w:hAnsi="Times New Roman" w:cs="Times New Roman"/>
                <w:color w:val="auto"/>
                <w:kern w:val="0"/>
                <w:sz w:val="24"/>
                <w:szCs w:val="24"/>
                <w:highlight w:val="none"/>
                <w:u w:val="single"/>
                <w:lang w:val="en-US" w:eastAsia="zh-CN"/>
              </w:rPr>
              <w:t>濮阳市清丰县先进制造业开发区规划一路东段</w:t>
            </w:r>
            <w:r>
              <w:rPr>
                <w:rFonts w:hint="eastAsia" w:ascii="Times New Roman" w:hAnsi="Times New Roman" w:cs="Times New Roman"/>
                <w:color w:val="auto"/>
                <w:kern w:val="0"/>
                <w:sz w:val="24"/>
                <w:szCs w:val="24"/>
                <w:highlight w:val="none"/>
                <w:u w:val="single"/>
                <w:lang w:val="en-US" w:eastAsia="zh-CN"/>
              </w:rPr>
              <w:t>，属于规划中的城区综合制造产业园，本项目属于</w:t>
            </w:r>
            <w:r>
              <w:rPr>
                <w:rFonts w:hint="eastAsia" w:cs="Times New Roman"/>
                <w:color w:val="auto"/>
                <w:kern w:val="0"/>
                <w:sz w:val="24"/>
                <w:szCs w:val="24"/>
                <w:highlight w:val="none"/>
                <w:u w:val="single"/>
                <w:lang w:val="en-US" w:eastAsia="zh-CN"/>
              </w:rPr>
              <w:t>C3512石油钻采专用设备制造</w:t>
            </w:r>
            <w:r>
              <w:rPr>
                <w:rFonts w:hint="eastAsia" w:ascii="Times New Roman" w:hAnsi="Times New Roman" w:cs="Times New Roman"/>
                <w:color w:val="auto"/>
                <w:kern w:val="0"/>
                <w:sz w:val="24"/>
                <w:szCs w:val="24"/>
                <w:highlight w:val="none"/>
                <w:u w:val="single"/>
                <w:lang w:val="en-US" w:eastAsia="zh-CN"/>
              </w:rPr>
              <w:t>，属于城区综合制造产业园相关产业，</w:t>
            </w:r>
            <w:r>
              <w:rPr>
                <w:rFonts w:hint="eastAsia" w:cs="Times New Roman"/>
                <w:color w:val="auto"/>
                <w:kern w:val="0"/>
                <w:sz w:val="24"/>
                <w:szCs w:val="24"/>
                <w:highlight w:val="none"/>
                <w:u w:val="single"/>
                <w:lang w:val="en-US" w:eastAsia="zh-CN"/>
              </w:rPr>
              <w:t>符合园区产业定位。且</w:t>
            </w:r>
            <w:r>
              <w:rPr>
                <w:rFonts w:hint="eastAsia" w:ascii="Times New Roman" w:hAnsi="Times New Roman" w:cs="Times New Roman"/>
                <w:color w:val="auto"/>
                <w:kern w:val="0"/>
                <w:sz w:val="24"/>
                <w:szCs w:val="24"/>
                <w:highlight w:val="none"/>
                <w:u w:val="single"/>
                <w:lang w:val="en-US" w:eastAsia="zh-CN"/>
              </w:rPr>
              <w:t>根据清丰县先进制造业开发区提供的入驻证明可知本项目入驻符合清丰县先进制造业开发区的规划</w:t>
            </w:r>
            <w:r>
              <w:rPr>
                <w:rFonts w:hint="eastAsia" w:cs="Times New Roman"/>
                <w:color w:val="auto"/>
                <w:kern w:val="0"/>
                <w:sz w:val="24"/>
                <w:szCs w:val="24"/>
                <w:highlight w:val="none"/>
                <w:u w:val="single"/>
                <w:lang w:val="en-US" w:eastAsia="zh-CN"/>
              </w:rPr>
              <w:t>，不在园区禁止、限制类之列</w:t>
            </w:r>
            <w:r>
              <w:rPr>
                <w:rFonts w:hint="eastAsia" w:ascii="Times New Roman" w:hAnsi="Times New Roman" w:cs="Times New Roman"/>
                <w:color w:val="auto"/>
                <w:kern w:val="0"/>
                <w:sz w:val="24"/>
                <w:szCs w:val="24"/>
                <w:highlight w:val="none"/>
                <w:u w:val="single"/>
                <w:lang w:val="en-US" w:eastAsia="zh-CN"/>
              </w:rPr>
              <w:t>。</w:t>
            </w:r>
          </w:p>
          <w:p w14:paraId="057AE88E">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（4）基础设施规划</w:t>
            </w:r>
          </w:p>
          <w:p w14:paraId="19BFA120">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①</w:t>
            </w:r>
            <w:r>
              <w:rPr>
                <w:rFonts w:hint="eastAsia" w:ascii="Times New Roman" w:hAnsi="Times New Roman" w:eastAsia="宋体" w:cs="Times New Roman"/>
                <w:color w:val="auto"/>
                <w:kern w:val="0"/>
                <w:sz w:val="24"/>
                <w:szCs w:val="24"/>
                <w:lang w:val="en-US" w:eastAsia="zh-CN" w:bidi="ar-SA"/>
              </w:rPr>
              <w:t>给水工程规划</w:t>
            </w:r>
          </w:p>
          <w:p w14:paraId="4684D37D">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近期城区综合制造产业园供水保持现状水厂供水规模为3.0万吨/日，水源地位于八里庄，水厂供水能力不能满足开发区长远发展的需要，远期提高水厂供水能力达到供水规模为13万吨/日。马庄桥现代商贸物流园供水采用马庄桥水厂，供水规模为3.0万吨/日，六塔工业园供水采用六塔乡供水厂。</w:t>
            </w:r>
          </w:p>
          <w:p w14:paraId="21453653">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②</w:t>
            </w:r>
            <w:r>
              <w:rPr>
                <w:rFonts w:hint="eastAsia" w:ascii="Times New Roman" w:hAnsi="Times New Roman" w:eastAsia="宋体" w:cs="Times New Roman"/>
                <w:color w:val="auto"/>
                <w:kern w:val="0"/>
                <w:sz w:val="24"/>
                <w:szCs w:val="24"/>
                <w:lang w:val="en-US" w:eastAsia="zh-CN" w:bidi="ar-SA"/>
              </w:rPr>
              <w:t>污水工程规划</w:t>
            </w:r>
          </w:p>
          <w:p w14:paraId="493DC0B9">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规划区北部建有清丰县第二污水处理厂，处理规模2万吨/日，位于开发区北部潴泷河南岸，占地面积为4.0公顷。马庄桥污水处理厂位于镇区东北侧，处理规模为3万吨/日。</w:t>
            </w:r>
          </w:p>
          <w:p w14:paraId="326E84BB">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考虑到城区综合制造产业园的污水排放至清丰县第二污水处理厂（姚庄污水处理厂）和第三污水处理厂（城东污水处理厂），其处理规模分别为2万吨/日和5万吨/日，马庄桥商贸物流园污水排放至马庄桥镇区西部龙山北污水处理厂，清丰县和义路、晓月南路以东的生活污水处理排入姚庄污水处理厂，处理规模分别为1.5万吨/日，六塔工业园排入园区东南部规划污水处理厂处理，处理规模为6万吨/日。</w:t>
            </w:r>
          </w:p>
          <w:p w14:paraId="224D2443">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③</w:t>
            </w:r>
            <w:r>
              <w:rPr>
                <w:rFonts w:hint="eastAsia" w:ascii="Times New Roman" w:hAnsi="Times New Roman" w:eastAsia="宋体" w:cs="Times New Roman"/>
                <w:color w:val="auto"/>
                <w:kern w:val="0"/>
                <w:sz w:val="24"/>
                <w:szCs w:val="24"/>
                <w:lang w:val="en-US" w:eastAsia="zh-CN" w:bidi="ar-SA"/>
              </w:rPr>
              <w:t>雨水工程规划</w:t>
            </w:r>
          </w:p>
          <w:p w14:paraId="63DF341B">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现状雨水管主要集中在人和大道、孟德大道、朝阳路、康王路、文化路、行理路、人民路、安康路、霁云大道、祥业东路、兴业路、创业东路、建设路和东环路。商贸物流园和六塔工业园现状无雨水管。</w:t>
            </w:r>
          </w:p>
          <w:p w14:paraId="1E2CDC49">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规划开发区雨水以排入潴泷河为主，规划沿固双路建设排水明渠汇入潴泷河，人民路以南区域直接或通过固双路排水明渠向东排入潴泷河，人民路以北区域向北、向西排入潴泷河。</w:t>
            </w:r>
          </w:p>
          <w:p w14:paraId="694E7805">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商贸物流园分别排入第三濮清南干渠和马庄桥镇区雨水管网。六塔工业园排入附近潴泷河和第二濮清南干渠。</w:t>
            </w:r>
          </w:p>
          <w:p w14:paraId="70177066">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④</w:t>
            </w:r>
            <w:r>
              <w:rPr>
                <w:rFonts w:hint="eastAsia" w:ascii="Times New Roman" w:hAnsi="Times New Roman" w:eastAsia="宋体" w:cs="Times New Roman"/>
                <w:color w:val="auto"/>
                <w:kern w:val="0"/>
                <w:sz w:val="24"/>
                <w:szCs w:val="24"/>
                <w:lang w:val="en-US" w:eastAsia="zh-CN" w:bidi="ar-SA"/>
              </w:rPr>
              <w:t>电力工程规划</w:t>
            </w:r>
          </w:p>
          <w:p w14:paraId="1B246B5A">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规划建立的电压等级：建立由110千伏高压送电、10千伏中压配电、380/220伏低压配电构成的供电体系。</w:t>
            </w:r>
          </w:p>
          <w:p w14:paraId="3AD8948D">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电源规划：至2035年，规划区保留现状3×50MVA的110kV孟德变；新建110kV变电站2座，分别为城北110KV变和城南110KV变，容量为3×50MVA。</w:t>
            </w:r>
          </w:p>
          <w:p w14:paraId="5DB1685F">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商贸物流园采用马庄桥110KV变电站供电，六塔工业园以齐云变电站、晓月变电站为园区电源，在六塔工业园区中部新建10千伏开闭所2座。</w:t>
            </w:r>
          </w:p>
          <w:p w14:paraId="44013FD3">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cs="Times New Roman"/>
                <w:color w:val="auto"/>
                <w:kern w:val="0"/>
                <w:sz w:val="24"/>
                <w:szCs w:val="24"/>
                <w:lang w:val="en-US" w:eastAsia="zh-CN" w:bidi="ar-SA"/>
              </w:rPr>
              <w:t>⑤</w:t>
            </w:r>
            <w:r>
              <w:rPr>
                <w:rFonts w:hint="default" w:ascii="Times New Roman" w:hAnsi="Times New Roman" w:eastAsia="宋体" w:cs="Times New Roman"/>
                <w:color w:val="auto"/>
                <w:kern w:val="0"/>
                <w:sz w:val="24"/>
                <w:szCs w:val="24"/>
                <w:lang w:val="en-US" w:eastAsia="zh-CN" w:bidi="ar-SA"/>
              </w:rPr>
              <w:t>燃气工程规划</w:t>
            </w:r>
          </w:p>
          <w:p w14:paraId="0C683B38">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气源规划：城区综合制造产业园规划天然气管道由榆—济线天然气和中原油田天然气管道接入；规划一处天然气门站，位于人和大道和濮阳市北环路交叉口东北侧，占地面积1.2公顷，门站设计供气能力为60万m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/d。马庄桥镇燃气引入镇区燃气市政管网，六塔工业园规划燃气分输站一座。</w:t>
            </w:r>
          </w:p>
          <w:p w14:paraId="097750CC">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cs="Times New Roman"/>
                <w:color w:val="auto"/>
                <w:kern w:val="0"/>
                <w:sz w:val="24"/>
                <w:szCs w:val="24"/>
                <w:lang w:val="en-US" w:eastAsia="zh-CN" w:bidi="ar-SA"/>
              </w:rPr>
              <w:t>⑥</w:t>
            </w:r>
            <w:r>
              <w:rPr>
                <w:rFonts w:hint="default" w:ascii="Times New Roman" w:hAnsi="Times New Roman" w:eastAsia="宋体" w:cs="Times New Roman"/>
                <w:color w:val="auto"/>
                <w:kern w:val="0"/>
                <w:sz w:val="24"/>
                <w:szCs w:val="24"/>
                <w:lang w:val="en-US" w:eastAsia="zh-CN" w:bidi="ar-SA"/>
              </w:rPr>
              <w:t>环卫工程规划</w:t>
            </w:r>
          </w:p>
          <w:p w14:paraId="7586102C">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现状有一处垃圾填埋场，位于开发区北部，人和大道东500米处，于2008年投入使用，占地面积155.25亩，日处理能力220吨，共规划4个作业分区，配建一处垃圾渗透液处理厂，用于进一步处理产生的垃圾渗透液。</w:t>
            </w:r>
          </w:p>
          <w:p w14:paraId="49E0862D">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垃圾中转站规划：规划中型垃圾中转站6处，服务半径3-5平方公里，用地面积控制3000-5000平方米之间。新建垃圾收集转运站尽量和公共厕所、环卫工人休息点合并设置。</w:t>
            </w:r>
          </w:p>
          <w:p w14:paraId="41446F41">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工业垃圾由环保部门协同城管部门统一管理，制定处理措施。建筑垃圾由环卫部门协同城管部门统一管理、收运利用。</w:t>
            </w:r>
          </w:p>
          <w:p w14:paraId="4FE34969">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default" w:ascii="Times New Roman" w:hAnsi="Times New Roman" w:eastAsia="宋体" w:cs="Times New Roman"/>
                <w:color w:val="auto"/>
                <w:kern w:val="0"/>
                <w:sz w:val="24"/>
                <w:szCs w:val="24"/>
                <w:u w:val="single"/>
                <w:lang w:val="en-US" w:eastAsia="zh-CN" w:bidi="ar-SA"/>
              </w:rPr>
            </w:pPr>
            <w:r>
              <w:rPr>
                <w:rFonts w:hint="default" w:ascii="Times New Roman" w:hAnsi="Times New Roman" w:eastAsia="宋体" w:cs="Times New Roman"/>
                <w:color w:val="auto"/>
                <w:kern w:val="0"/>
                <w:sz w:val="24"/>
                <w:szCs w:val="24"/>
                <w:u w:val="single"/>
                <w:lang w:val="en-US" w:eastAsia="zh-CN" w:bidi="ar-SA"/>
              </w:rPr>
              <w:t>本项目生活污水经化粪池处理后排至清丰中州水务有限公司第二污水处理厂。根据现场踏勘情况，项目所在位置基础设施完善，供水、供电可接入，雨污管网已铺设至厂区北侧道路，项目投入运行前可满足项目依托需求。</w:t>
            </w:r>
          </w:p>
          <w:p w14:paraId="2B8BE216">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jc w:val="both"/>
              <w:textAlignment w:val="auto"/>
              <w:rPr>
                <w:rFonts w:hint="default"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2、与《清丰县先进制造业开发区发展规划（2022-2035）环境影响报告书》相符性分析</w:t>
            </w:r>
          </w:p>
          <w:p w14:paraId="3B487771">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jc w:val="both"/>
              <w:textAlignment w:val="auto"/>
              <w:rPr>
                <w:rFonts w:hint="default" w:ascii="Times New Roman" w:hAnsi="Times New Roman" w:eastAsia="宋体" w:cs="Times New Roman"/>
                <w:b/>
                <w:bCs/>
                <w:color w:val="auto"/>
                <w:kern w:val="0"/>
                <w:sz w:val="24"/>
                <w:szCs w:val="24"/>
                <w:lang w:val="en-US" w:eastAsia="zh-CN" w:bidi="ar-SA"/>
              </w:rPr>
            </w:pPr>
            <w:r>
              <w:rPr>
                <w:rFonts w:hint="eastAsia" w:cs="Times New Roman"/>
                <w:b/>
                <w:bCs/>
                <w:color w:val="auto"/>
                <w:kern w:val="0"/>
                <w:sz w:val="24"/>
                <w:szCs w:val="24"/>
                <w:lang w:val="en-US" w:eastAsia="zh-CN" w:bidi="ar-SA"/>
              </w:rPr>
              <w:t>2.1 与清丰县先进制造业开发区生态环境准入清单相符性分析</w:t>
            </w:r>
          </w:p>
          <w:p w14:paraId="22826615">
            <w:pPr>
              <w:keepNext w:val="0"/>
              <w:keepLines w:val="0"/>
              <w:pageBreakBefore w:val="0"/>
              <w:numPr>
                <w:ilvl w:val="0"/>
                <w:numId w:val="0"/>
              </w:numPr>
              <w:kinsoku/>
              <w:wordWrap/>
              <w:overflowPunct/>
              <w:topLinePunct w:val="0"/>
              <w:autoSpaceDE w:val="0"/>
              <w:autoSpaceDN w:val="0"/>
              <w:bidi w:val="0"/>
              <w:adjustRightInd w:val="0"/>
              <w:snapToGrid w:val="0"/>
              <w:spacing w:line="520" w:lineRule="atLeast"/>
              <w:ind w:right="0" w:rightChars="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根据《清丰县先进制造业开发区发展规划（2022-2035）</w:t>
            </w:r>
            <w:r>
              <w:rPr>
                <w:rFonts w:hint="eastAsia" w:ascii="Times New Roman" w:hAnsi="Times New Roman" w:eastAsia="宋体" w:cs="Times New Roman"/>
                <w:color w:val="auto"/>
                <w:kern w:val="0"/>
                <w:sz w:val="24"/>
                <w:szCs w:val="24"/>
                <w:lang w:val="en-US" w:eastAsia="zh-CN" w:bidi="ar-SA"/>
              </w:rPr>
              <w:t>环境影响报告书</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本项目与清丰县先进制造业开发区规划</w:t>
            </w:r>
            <w:r>
              <w:rPr>
                <w:rFonts w:hint="eastAsia" w:ascii="Times New Roman" w:hAnsi="Times New Roman" w:eastAsia="宋体" w:cs="Times New Roman"/>
                <w:color w:val="auto"/>
                <w:kern w:val="0"/>
                <w:sz w:val="24"/>
                <w:szCs w:val="24"/>
                <w:lang w:val="en-US" w:eastAsia="zh-CN" w:bidi="ar-SA"/>
              </w:rPr>
              <w:t>及其</w:t>
            </w:r>
            <w:r>
              <w:rPr>
                <w:rFonts w:hint="default" w:ascii="Times New Roman" w:hAnsi="Times New Roman" w:eastAsia="宋体" w:cs="Times New Roman"/>
                <w:color w:val="auto"/>
                <w:kern w:val="0"/>
                <w:sz w:val="24"/>
                <w:szCs w:val="24"/>
                <w:lang w:val="en-US" w:eastAsia="zh-CN" w:bidi="ar-SA"/>
              </w:rPr>
              <w:t>环评相符性分析见下表。</w:t>
            </w:r>
          </w:p>
          <w:p w14:paraId="7B69EECC">
            <w:pPr>
              <w:keepNext w:val="0"/>
              <w:keepLines w:val="0"/>
              <w:pageBreakBefore w:val="0"/>
              <w:widowControl w:val="0"/>
              <w:kinsoku/>
              <w:wordWrap/>
              <w:overflowPunct/>
              <w:topLinePunct w:val="0"/>
              <w:autoSpaceDE w:val="0"/>
              <w:autoSpaceDN w:val="0"/>
              <w:bidi w:val="0"/>
              <w:adjustRightInd w:val="0"/>
              <w:snapToGrid w:val="0"/>
              <w:spacing w:line="520" w:lineRule="exact"/>
              <w:ind w:right="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表1-1   与清丰县先进制造业开发区发展规划（2022-2035年）生态环境准入清单相符性分析</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3508"/>
              <w:gridCol w:w="2512"/>
              <w:gridCol w:w="894"/>
            </w:tblGrid>
            <w:tr w14:paraId="0C501E10">
              <w:tblPrEx>
                <w:tblCellMar>
                  <w:top w:w="0" w:type="dxa"/>
                  <w:left w:w="108" w:type="dxa"/>
                  <w:bottom w:w="0" w:type="dxa"/>
                  <w:right w:w="108" w:type="dxa"/>
                </w:tblCellMar>
              </w:tblPrEx>
              <w:trPr>
                <w:trHeight w:val="90" w:hRule="atLeast"/>
              </w:trPr>
              <w:tc>
                <w:tcPr>
                  <w:tcW w:w="644" w:type="dxa"/>
                  <w:vAlign w:val="center"/>
                </w:tcPr>
                <w:p w14:paraId="7E0F68E1">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类别</w:t>
                  </w:r>
                </w:p>
              </w:tc>
              <w:tc>
                <w:tcPr>
                  <w:tcW w:w="3512" w:type="dxa"/>
                  <w:vAlign w:val="center"/>
                </w:tcPr>
                <w:p w14:paraId="3B0EFB37">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环境准入清单</w:t>
                  </w:r>
                </w:p>
              </w:tc>
              <w:tc>
                <w:tcPr>
                  <w:tcW w:w="2515" w:type="dxa"/>
                  <w:vAlign w:val="center"/>
                </w:tcPr>
                <w:p w14:paraId="4608A103">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本项目</w:t>
                  </w:r>
                </w:p>
              </w:tc>
              <w:tc>
                <w:tcPr>
                  <w:tcW w:w="894" w:type="dxa"/>
                  <w:vAlign w:val="center"/>
                </w:tcPr>
                <w:p w14:paraId="6D43855A">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符合性</w:t>
                  </w:r>
                </w:p>
              </w:tc>
            </w:tr>
            <w:tr w14:paraId="4031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restart"/>
                  <w:vAlign w:val="center"/>
                </w:tcPr>
                <w:p w14:paraId="7BA2488F">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产业发展要求</w:t>
                  </w:r>
                </w:p>
              </w:tc>
              <w:tc>
                <w:tcPr>
                  <w:tcW w:w="3512" w:type="dxa"/>
                  <w:vAlign w:val="center"/>
                </w:tcPr>
                <w:p w14:paraId="22B9F2A2">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入驻项目应符合园区规划或规划环评的要求，禁止发展用排水量较大或污染严重风险较大的化学原料、医药中间体等化工项目，按照用排水量控制屠宰项目</w:t>
                  </w:r>
                </w:p>
              </w:tc>
              <w:tc>
                <w:tcPr>
                  <w:tcW w:w="2515" w:type="dxa"/>
                  <w:vAlign w:val="center"/>
                </w:tcPr>
                <w:p w14:paraId="37B3DA40">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本项目属于</w:t>
                  </w:r>
                  <w:r>
                    <w:rPr>
                      <w:rFonts w:hint="eastAsia" w:cs="Times New Roman"/>
                      <w:b w:val="0"/>
                      <w:bCs w:val="0"/>
                      <w:color w:val="auto"/>
                      <w:sz w:val="21"/>
                      <w:szCs w:val="21"/>
                      <w:highlight w:val="none"/>
                      <w:u w:val="single"/>
                      <w:lang w:val="en-US" w:eastAsia="zh-CN"/>
                    </w:rPr>
                    <w:t>C3512石油钻采专用设备制造</w:t>
                  </w:r>
                  <w:r>
                    <w:rPr>
                      <w:rFonts w:hint="eastAsia" w:ascii="Times New Roman" w:hAnsi="Times New Roman" w:eastAsia="宋体" w:cs="Times New Roman"/>
                      <w:b w:val="0"/>
                      <w:bCs w:val="0"/>
                      <w:color w:val="auto"/>
                      <w:sz w:val="21"/>
                      <w:szCs w:val="21"/>
                      <w:highlight w:val="none"/>
                      <w:u w:val="single"/>
                      <w:lang w:val="en-US" w:eastAsia="zh-CN"/>
                    </w:rPr>
                    <w:t>，不属于用排水量较大或污染严重风险较大的化学原料、医药中间体等化工项目</w:t>
                  </w:r>
                </w:p>
              </w:tc>
              <w:tc>
                <w:tcPr>
                  <w:tcW w:w="894" w:type="dxa"/>
                  <w:vAlign w:val="center"/>
                </w:tcPr>
                <w:p w14:paraId="468E6ABB">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27BB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14:paraId="7BAB83A1">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vAlign w:val="center"/>
                </w:tcPr>
                <w:p w14:paraId="3CA830EA">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禁止《产业结构调整指导目录（2024年本）》限制类和淘汰类落后生产工艺装备和产品项目入驻</w:t>
                  </w:r>
                </w:p>
              </w:tc>
              <w:tc>
                <w:tcPr>
                  <w:tcW w:w="2515" w:type="dxa"/>
                  <w:vAlign w:val="center"/>
                </w:tcPr>
                <w:p w14:paraId="741424F7">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经查阅《产业结构调整指导目录（2024年本）》项目属于允许类</w:t>
                  </w:r>
                </w:p>
              </w:tc>
              <w:tc>
                <w:tcPr>
                  <w:tcW w:w="894" w:type="dxa"/>
                  <w:vAlign w:val="center"/>
                </w:tcPr>
                <w:p w14:paraId="280C31BD">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7F90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14:paraId="1B42DB06">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vAlign w:val="center"/>
                </w:tcPr>
                <w:p w14:paraId="4F39B0B5">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禁止入驻不符合行业准入条件及相关管理要求的项目</w:t>
                  </w:r>
                </w:p>
              </w:tc>
              <w:tc>
                <w:tcPr>
                  <w:tcW w:w="2515" w:type="dxa"/>
                  <w:vAlign w:val="center"/>
                </w:tcPr>
                <w:p w14:paraId="12F86218">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本项目不属于</w:t>
                  </w:r>
                  <w:r>
                    <w:rPr>
                      <w:rFonts w:hint="eastAsia" w:ascii="Times New Roman" w:hAnsi="Times New Roman" w:eastAsia="宋体" w:cs="Times New Roman"/>
                      <w:b w:val="0"/>
                      <w:bCs w:val="0"/>
                      <w:color w:val="auto"/>
                      <w:sz w:val="21"/>
                      <w:szCs w:val="21"/>
                      <w:highlight w:val="none"/>
                      <w:u w:val="single"/>
                      <w:lang w:val="en-US" w:eastAsia="zh-CN"/>
                    </w:rPr>
                    <w:t>不符合行业准入条件及相关管理要求的项目</w:t>
                  </w:r>
                </w:p>
              </w:tc>
              <w:tc>
                <w:tcPr>
                  <w:tcW w:w="894" w:type="dxa"/>
                  <w:vAlign w:val="center"/>
                </w:tcPr>
                <w:p w14:paraId="39E2F4EF">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6B44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14:paraId="5F297238">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vAlign w:val="center"/>
                </w:tcPr>
                <w:p w14:paraId="33069E4A">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禁止《高污染、高环境风险产品名录》中产品项目入驻</w:t>
                  </w:r>
                </w:p>
              </w:tc>
              <w:tc>
                <w:tcPr>
                  <w:tcW w:w="2515" w:type="dxa"/>
                  <w:vAlign w:val="center"/>
                </w:tcPr>
                <w:p w14:paraId="25E93D8C">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经查阅《环境保护综合名录》</w:t>
                  </w:r>
                  <w:r>
                    <w:rPr>
                      <w:rFonts w:hint="eastAsia" w:cs="Times New Roman"/>
                      <w:b w:val="0"/>
                      <w:bCs w:val="0"/>
                      <w:color w:val="auto"/>
                      <w:sz w:val="21"/>
                      <w:szCs w:val="21"/>
                      <w:highlight w:val="none"/>
                      <w:u w:val="single"/>
                      <w:lang w:val="en-US" w:eastAsia="zh-CN"/>
                    </w:rPr>
                    <w:t>本项目不涉及</w:t>
                  </w:r>
                  <w:r>
                    <w:rPr>
                      <w:rFonts w:hint="eastAsia" w:ascii="Times New Roman" w:hAnsi="Times New Roman" w:eastAsia="宋体" w:cs="Times New Roman"/>
                      <w:b w:val="0"/>
                      <w:bCs w:val="0"/>
                      <w:color w:val="auto"/>
                      <w:sz w:val="21"/>
                      <w:szCs w:val="21"/>
                      <w:highlight w:val="none"/>
                      <w:u w:val="single"/>
                      <w:lang w:val="en-US" w:eastAsia="zh-CN"/>
                    </w:rPr>
                    <w:t>高污染、高环境风险产品项目</w:t>
                  </w:r>
                </w:p>
              </w:tc>
              <w:tc>
                <w:tcPr>
                  <w:tcW w:w="894" w:type="dxa"/>
                  <w:vAlign w:val="center"/>
                </w:tcPr>
                <w:p w14:paraId="6707311F">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7C03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14:paraId="0193E5A7">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3383F6CB">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禁止化工（与主导产业配套的辅助工程除外）、皮毛鞣制、造纸、印染等污染重的项目入驻。</w:t>
                  </w:r>
                </w:p>
              </w:tc>
              <w:tc>
                <w:tcPr>
                  <w:tcW w:w="2515" w:type="dxa"/>
                  <w:vAlign w:val="center"/>
                </w:tcPr>
                <w:p w14:paraId="673B5579">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本项目不</w:t>
                  </w:r>
                  <w:r>
                    <w:rPr>
                      <w:rFonts w:hint="eastAsia" w:cs="Times New Roman"/>
                      <w:b w:val="0"/>
                      <w:bCs w:val="0"/>
                      <w:color w:val="auto"/>
                      <w:sz w:val="21"/>
                      <w:szCs w:val="21"/>
                      <w:highlight w:val="none"/>
                      <w:u w:val="single"/>
                      <w:lang w:val="en-US" w:eastAsia="zh-CN"/>
                    </w:rPr>
                    <w:t>属于</w:t>
                  </w:r>
                  <w:r>
                    <w:rPr>
                      <w:rFonts w:hint="default" w:ascii="Times New Roman" w:hAnsi="Times New Roman" w:eastAsia="宋体" w:cs="Times New Roman"/>
                      <w:b w:val="0"/>
                      <w:bCs w:val="0"/>
                      <w:color w:val="auto"/>
                      <w:sz w:val="21"/>
                      <w:szCs w:val="21"/>
                      <w:highlight w:val="none"/>
                      <w:u w:val="single"/>
                      <w:lang w:val="en-US" w:eastAsia="zh-CN"/>
                    </w:rPr>
                    <w:t>化工（与主导产业配套的辅助工程除外）、皮毛鞣制、造纸、印染等污染重的项目</w:t>
                  </w:r>
                </w:p>
              </w:tc>
              <w:tc>
                <w:tcPr>
                  <w:tcW w:w="894" w:type="dxa"/>
                  <w:vAlign w:val="center"/>
                </w:tcPr>
                <w:p w14:paraId="71C34DF2">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2593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14:paraId="0313CC48">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5D2AEADF">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禁止建设投资强度不符合《河南省人民政府关于进一步加强节约集约用地的意见》（豫政</w:t>
                  </w:r>
                  <w:r>
                    <w:rPr>
                      <w:rFonts w:hint="eastAsia" w:ascii="仿宋" w:hAnsi="仿宋" w:eastAsia="仿宋" w:cs="仿宋"/>
                      <w:b w:val="0"/>
                      <w:bCs w:val="0"/>
                      <w:color w:val="auto"/>
                      <w:sz w:val="21"/>
                      <w:szCs w:val="21"/>
                      <w:highlight w:val="none"/>
                      <w:u w:val="single"/>
                      <w:lang w:val="en-US" w:eastAsia="zh-CN"/>
                    </w:rPr>
                    <w:t>〔</w:t>
                  </w:r>
                  <w:r>
                    <w:rPr>
                      <w:rFonts w:hint="default" w:ascii="Times New Roman" w:hAnsi="Times New Roman" w:eastAsia="宋体" w:cs="Times New Roman"/>
                      <w:b w:val="0"/>
                      <w:bCs w:val="0"/>
                      <w:color w:val="auto"/>
                      <w:sz w:val="21"/>
                      <w:szCs w:val="21"/>
                      <w:highlight w:val="none"/>
                      <w:u w:val="single"/>
                      <w:lang w:val="en-US" w:eastAsia="zh-CN"/>
                    </w:rPr>
                    <w:t>2015</w:t>
                  </w:r>
                  <w:r>
                    <w:rPr>
                      <w:rFonts w:hint="eastAsia" w:ascii="仿宋" w:hAnsi="仿宋" w:eastAsia="仿宋" w:cs="仿宋"/>
                      <w:b w:val="0"/>
                      <w:bCs w:val="0"/>
                      <w:color w:val="auto"/>
                      <w:sz w:val="21"/>
                      <w:szCs w:val="21"/>
                      <w:highlight w:val="none"/>
                      <w:u w:val="single"/>
                      <w:lang w:val="en-US" w:eastAsia="zh-CN"/>
                    </w:rPr>
                    <w:t>〕</w:t>
                  </w:r>
                  <w:r>
                    <w:rPr>
                      <w:rFonts w:hint="default" w:ascii="Times New Roman" w:hAnsi="Times New Roman" w:eastAsia="宋体" w:cs="Times New Roman"/>
                      <w:b w:val="0"/>
                      <w:bCs w:val="0"/>
                      <w:color w:val="auto"/>
                      <w:sz w:val="21"/>
                      <w:szCs w:val="21"/>
                      <w:highlight w:val="none"/>
                      <w:u w:val="single"/>
                      <w:lang w:val="en-US" w:eastAsia="zh-CN"/>
                    </w:rPr>
                    <w:t>66号）文件要求的项目</w:t>
                  </w:r>
                </w:p>
              </w:tc>
              <w:tc>
                <w:tcPr>
                  <w:tcW w:w="2515" w:type="dxa"/>
                  <w:vAlign w:val="center"/>
                </w:tcPr>
                <w:p w14:paraId="07AF99A2">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本项目占地面积约</w:t>
                  </w:r>
                  <w:r>
                    <w:rPr>
                      <w:rFonts w:hint="eastAsia" w:cs="Times New Roman"/>
                      <w:b w:val="0"/>
                      <w:bCs w:val="0"/>
                      <w:color w:val="auto"/>
                      <w:sz w:val="21"/>
                      <w:szCs w:val="21"/>
                      <w:highlight w:val="none"/>
                      <w:u w:val="single"/>
                      <w:lang w:val="en-US" w:eastAsia="zh-CN"/>
                    </w:rPr>
                    <w:t>46</w:t>
                  </w:r>
                  <w:r>
                    <w:rPr>
                      <w:rFonts w:hint="default" w:ascii="Times New Roman" w:hAnsi="Times New Roman" w:eastAsia="宋体" w:cs="Times New Roman"/>
                      <w:b w:val="0"/>
                      <w:bCs w:val="0"/>
                      <w:color w:val="auto"/>
                      <w:sz w:val="21"/>
                      <w:szCs w:val="21"/>
                      <w:highlight w:val="none"/>
                      <w:u w:val="single"/>
                      <w:lang w:val="en-US" w:eastAsia="zh-CN"/>
                    </w:rPr>
                    <w:t>亩，总投资</w:t>
                  </w:r>
                  <w:r>
                    <w:rPr>
                      <w:rFonts w:hint="eastAsia" w:cs="Times New Roman"/>
                      <w:b w:val="0"/>
                      <w:bCs w:val="0"/>
                      <w:color w:val="auto"/>
                      <w:sz w:val="21"/>
                      <w:szCs w:val="21"/>
                      <w:highlight w:val="none"/>
                      <w:u w:val="single"/>
                      <w:lang w:val="en-US" w:eastAsia="zh-CN"/>
                    </w:rPr>
                    <w:t>14000</w:t>
                  </w:r>
                  <w:r>
                    <w:rPr>
                      <w:rFonts w:hint="default" w:ascii="Times New Roman" w:hAnsi="Times New Roman" w:eastAsia="宋体" w:cs="Times New Roman"/>
                      <w:b w:val="0"/>
                      <w:bCs w:val="0"/>
                      <w:color w:val="auto"/>
                      <w:sz w:val="21"/>
                      <w:szCs w:val="21"/>
                      <w:highlight w:val="none"/>
                      <w:u w:val="single"/>
                      <w:lang w:val="en-US" w:eastAsia="zh-CN"/>
                    </w:rPr>
                    <w:t>万元，投资强度3</w:t>
                  </w:r>
                  <w:r>
                    <w:rPr>
                      <w:rFonts w:hint="eastAsia" w:cs="Times New Roman"/>
                      <w:b w:val="0"/>
                      <w:bCs w:val="0"/>
                      <w:color w:val="auto"/>
                      <w:sz w:val="21"/>
                      <w:szCs w:val="21"/>
                      <w:highlight w:val="none"/>
                      <w:u w:val="single"/>
                      <w:lang w:val="en-US" w:eastAsia="zh-CN"/>
                    </w:rPr>
                    <w:t>04.35</w:t>
                  </w:r>
                  <w:r>
                    <w:rPr>
                      <w:rFonts w:hint="default" w:ascii="Times New Roman" w:hAnsi="Times New Roman" w:eastAsia="宋体" w:cs="Times New Roman"/>
                      <w:b w:val="0"/>
                      <w:bCs w:val="0"/>
                      <w:color w:val="auto"/>
                      <w:sz w:val="21"/>
                      <w:szCs w:val="21"/>
                      <w:highlight w:val="none"/>
                      <w:u w:val="single"/>
                      <w:lang w:val="en-US" w:eastAsia="zh-CN"/>
                    </w:rPr>
                    <w:t>万元/亩，满足豫政</w:t>
                  </w:r>
                  <w:r>
                    <w:rPr>
                      <w:rFonts w:hint="eastAsia" w:ascii="仿宋" w:hAnsi="仿宋" w:eastAsia="仿宋" w:cs="仿宋"/>
                      <w:b w:val="0"/>
                      <w:bCs w:val="0"/>
                      <w:color w:val="auto"/>
                      <w:sz w:val="21"/>
                      <w:szCs w:val="21"/>
                      <w:highlight w:val="none"/>
                      <w:u w:val="single"/>
                      <w:lang w:val="en-US" w:eastAsia="zh-CN"/>
                    </w:rPr>
                    <w:t>〔</w:t>
                  </w:r>
                  <w:r>
                    <w:rPr>
                      <w:rFonts w:hint="default" w:ascii="Times New Roman" w:hAnsi="Times New Roman" w:eastAsia="宋体" w:cs="Times New Roman"/>
                      <w:b w:val="0"/>
                      <w:bCs w:val="0"/>
                      <w:color w:val="auto"/>
                      <w:sz w:val="21"/>
                      <w:szCs w:val="21"/>
                      <w:highlight w:val="none"/>
                      <w:u w:val="single"/>
                      <w:lang w:val="en-US" w:eastAsia="zh-CN"/>
                    </w:rPr>
                    <w:t>2015</w:t>
                  </w:r>
                  <w:r>
                    <w:rPr>
                      <w:rFonts w:hint="eastAsia" w:ascii="仿宋" w:hAnsi="仿宋" w:eastAsia="仿宋" w:cs="仿宋"/>
                      <w:b w:val="0"/>
                      <w:bCs w:val="0"/>
                      <w:color w:val="auto"/>
                      <w:sz w:val="21"/>
                      <w:szCs w:val="21"/>
                      <w:highlight w:val="none"/>
                      <w:u w:val="single"/>
                      <w:lang w:val="en-US" w:eastAsia="zh-CN"/>
                    </w:rPr>
                    <w:t>〕</w:t>
                  </w:r>
                  <w:r>
                    <w:rPr>
                      <w:rFonts w:hint="default" w:ascii="Times New Roman" w:hAnsi="Times New Roman" w:eastAsia="宋体" w:cs="Times New Roman"/>
                      <w:b w:val="0"/>
                      <w:bCs w:val="0"/>
                      <w:color w:val="auto"/>
                      <w:sz w:val="21"/>
                      <w:szCs w:val="21"/>
                      <w:highlight w:val="none"/>
                      <w:u w:val="single"/>
                      <w:lang w:val="en-US" w:eastAsia="zh-CN"/>
                    </w:rPr>
                    <w:t>66号意见</w:t>
                  </w:r>
                  <w:r>
                    <w:rPr>
                      <w:rFonts w:hint="eastAsia" w:cs="Times New Roman"/>
                      <w:b w:val="0"/>
                      <w:bCs w:val="0"/>
                      <w:color w:val="auto"/>
                      <w:sz w:val="21"/>
                      <w:szCs w:val="21"/>
                      <w:highlight w:val="none"/>
                      <w:u w:val="single"/>
                      <w:lang w:val="en-US" w:eastAsia="zh-CN"/>
                    </w:rPr>
                    <w:t>中“商丘、信阳、周口、驻马店等黄淮四市和省直管县(市)的各类开发区、产业集聚区亩均投资强度一般不低于180万元/亩，其余省辖市和省直管县(市)的各类开发区、产业集聚区亩均投资强度一般不低于234万元/亩”</w:t>
                  </w:r>
                  <w:r>
                    <w:rPr>
                      <w:rFonts w:hint="default" w:ascii="Times New Roman" w:hAnsi="Times New Roman" w:eastAsia="宋体" w:cs="Times New Roman"/>
                      <w:b w:val="0"/>
                      <w:bCs w:val="0"/>
                      <w:color w:val="auto"/>
                      <w:sz w:val="21"/>
                      <w:szCs w:val="21"/>
                      <w:highlight w:val="none"/>
                      <w:u w:val="single"/>
                      <w:lang w:val="en-US" w:eastAsia="zh-CN"/>
                    </w:rPr>
                    <w:t>要求</w:t>
                  </w:r>
                </w:p>
              </w:tc>
              <w:tc>
                <w:tcPr>
                  <w:tcW w:w="894" w:type="dxa"/>
                  <w:vAlign w:val="center"/>
                </w:tcPr>
                <w:p w14:paraId="3D385EF5">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419D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14:paraId="10428B55">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5EA45CBD">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入驻企业的生产工艺、设备、污染治理技术、清洁生产水平均需达到同行业国内先进水平</w:t>
                  </w:r>
                </w:p>
              </w:tc>
              <w:tc>
                <w:tcPr>
                  <w:tcW w:w="2515" w:type="dxa"/>
                  <w:vAlign w:val="center"/>
                </w:tcPr>
                <w:p w14:paraId="42348CEF">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本项目生产工艺、设备、污染治理技术、清洁生产水平均达到同行业国内先进水平</w:t>
                  </w:r>
                </w:p>
              </w:tc>
              <w:tc>
                <w:tcPr>
                  <w:tcW w:w="894" w:type="dxa"/>
                  <w:vAlign w:val="center"/>
                </w:tcPr>
                <w:p w14:paraId="7935A0A8">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1A16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4954AFBB">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7E00DF3A">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从严控制高耗能、高排放项目建设，原则上禁止新建、扩建单纯新增产能的钢铁、电解铝、水泥、平板玻璃、传统煤化工（甲醇、合成氨）、焦化、铝用碳素、铅锌冶炼（含再生铅）、砖瓦窑（有烧结工序的）、耐火材料制品（有烧结工序的）项目</w:t>
                  </w:r>
                </w:p>
              </w:tc>
              <w:tc>
                <w:tcPr>
                  <w:tcW w:w="2515" w:type="dxa"/>
                  <w:vAlign w:val="center"/>
                </w:tcPr>
                <w:p w14:paraId="4D767656">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本项目不属于高耗能、高排放项目以及所列举禁止建设项目</w:t>
                  </w:r>
                </w:p>
              </w:tc>
              <w:tc>
                <w:tcPr>
                  <w:tcW w:w="894" w:type="dxa"/>
                  <w:vAlign w:val="center"/>
                </w:tcPr>
                <w:p w14:paraId="7EE99415">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5332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2C2C5E1C">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5597CAFB">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鼓励发展家具制造、食品加工和节能环保产业，鼓励能够延长开发区产业链条的，符合开发区功能定位的项目入驻</w:t>
                  </w:r>
                </w:p>
              </w:tc>
              <w:tc>
                <w:tcPr>
                  <w:tcW w:w="2515" w:type="dxa"/>
                  <w:vAlign w:val="center"/>
                </w:tcPr>
                <w:p w14:paraId="1C863165">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本项目为</w:t>
                  </w:r>
                  <w:r>
                    <w:rPr>
                      <w:rFonts w:hint="eastAsia" w:cs="Times New Roman"/>
                      <w:b w:val="0"/>
                      <w:bCs w:val="0"/>
                      <w:color w:val="auto"/>
                      <w:sz w:val="21"/>
                      <w:szCs w:val="21"/>
                      <w:highlight w:val="none"/>
                      <w:u w:val="single"/>
                      <w:lang w:val="en-US" w:eastAsia="zh-CN"/>
                    </w:rPr>
                    <w:t>石油设备制造</w:t>
                  </w:r>
                  <w:r>
                    <w:rPr>
                      <w:rFonts w:hint="eastAsia" w:ascii="Times New Roman" w:hAnsi="Times New Roman" w:eastAsia="宋体" w:cs="Times New Roman"/>
                      <w:b w:val="0"/>
                      <w:bCs w:val="0"/>
                      <w:color w:val="auto"/>
                      <w:sz w:val="21"/>
                      <w:szCs w:val="21"/>
                      <w:highlight w:val="none"/>
                      <w:u w:val="single"/>
                      <w:lang w:val="en-US" w:eastAsia="zh-CN"/>
                    </w:rPr>
                    <w:t>，符合开发区功能定位</w:t>
                  </w:r>
                  <w:r>
                    <w:rPr>
                      <w:rFonts w:hint="eastAsia" w:cs="Times New Roman"/>
                      <w:b w:val="0"/>
                      <w:bCs w:val="0"/>
                      <w:color w:val="auto"/>
                      <w:sz w:val="21"/>
                      <w:szCs w:val="21"/>
                      <w:highlight w:val="none"/>
                      <w:u w:val="single"/>
                      <w:lang w:val="en-US" w:eastAsia="zh-CN"/>
                    </w:rPr>
                    <w:t>，不在禁止、限制类之列</w:t>
                  </w:r>
                </w:p>
              </w:tc>
              <w:tc>
                <w:tcPr>
                  <w:tcW w:w="894" w:type="dxa"/>
                  <w:vAlign w:val="center"/>
                </w:tcPr>
                <w:p w14:paraId="6335CB04">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6F33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2E99D85E">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146909A2">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鼓励开发区内建设集中的喷涂中心，禁止露天和敞开式喷漆项目</w:t>
                  </w:r>
                </w:p>
              </w:tc>
              <w:tc>
                <w:tcPr>
                  <w:tcW w:w="2515" w:type="dxa"/>
                  <w:vAlign w:val="center"/>
                </w:tcPr>
                <w:p w14:paraId="0DC0DB3E">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本项目不涉及</w:t>
                  </w:r>
                  <w:r>
                    <w:rPr>
                      <w:rFonts w:hint="eastAsia" w:cs="Times New Roman"/>
                      <w:b w:val="0"/>
                      <w:bCs w:val="0"/>
                      <w:color w:val="auto"/>
                      <w:sz w:val="21"/>
                      <w:szCs w:val="21"/>
                      <w:highlight w:val="none"/>
                      <w:u w:val="single"/>
                      <w:lang w:val="en-US" w:eastAsia="zh-CN"/>
                    </w:rPr>
                    <w:t>喷涂、喷漆</w:t>
                  </w:r>
                </w:p>
              </w:tc>
              <w:tc>
                <w:tcPr>
                  <w:tcW w:w="894" w:type="dxa"/>
                  <w:vAlign w:val="center"/>
                </w:tcPr>
                <w:p w14:paraId="2DECD236">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079E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44" w:type="dxa"/>
                  <w:vMerge w:val="continue"/>
                </w:tcPr>
                <w:p w14:paraId="1F43D852">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48C0E371">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在园区实现集中供热之前，禁止新建燃煤、重油及高污染燃料的锅炉项目。在园区实现集中供热之后，在保障各企业工业用蒸汽的等级、压力及用汽的连续性的基础上，原则上不再新增分散式燃气锅炉项目，原有的分散锅炉应逐步取缔</w:t>
                  </w:r>
                </w:p>
              </w:tc>
              <w:tc>
                <w:tcPr>
                  <w:tcW w:w="2515" w:type="dxa"/>
                  <w:vAlign w:val="center"/>
                </w:tcPr>
                <w:p w14:paraId="4A757050">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本项目不涉及</w:t>
                  </w:r>
                  <w:r>
                    <w:rPr>
                      <w:rFonts w:hint="eastAsia" w:cs="Times New Roman"/>
                      <w:b w:val="0"/>
                      <w:bCs w:val="0"/>
                      <w:color w:val="auto"/>
                      <w:sz w:val="21"/>
                      <w:szCs w:val="21"/>
                      <w:highlight w:val="none"/>
                      <w:u w:val="single"/>
                      <w:lang w:val="en-US" w:eastAsia="zh-CN"/>
                    </w:rPr>
                    <w:t>锅炉</w:t>
                  </w:r>
                </w:p>
              </w:tc>
              <w:tc>
                <w:tcPr>
                  <w:tcW w:w="894" w:type="dxa"/>
                  <w:vAlign w:val="center"/>
                </w:tcPr>
                <w:p w14:paraId="0514119E">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6059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0841B023">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006A5926">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鼓励中水回用、污水深度治理等基础设施项目入驻</w:t>
                  </w:r>
                </w:p>
              </w:tc>
              <w:tc>
                <w:tcPr>
                  <w:tcW w:w="2515" w:type="dxa"/>
                  <w:vAlign w:val="center"/>
                </w:tcPr>
                <w:p w14:paraId="055E0287">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项目生活污水</w:t>
                  </w:r>
                  <w:r>
                    <w:rPr>
                      <w:rFonts w:hint="eastAsia" w:cs="Times New Roman"/>
                      <w:b w:val="0"/>
                      <w:bCs w:val="0"/>
                      <w:color w:val="auto"/>
                      <w:sz w:val="21"/>
                      <w:szCs w:val="21"/>
                      <w:highlight w:val="none"/>
                      <w:u w:val="single"/>
                      <w:lang w:val="en-US" w:eastAsia="zh-CN"/>
                    </w:rPr>
                    <w:t>经</w:t>
                  </w:r>
                  <w:r>
                    <w:rPr>
                      <w:rFonts w:hint="eastAsia" w:ascii="Times New Roman" w:hAnsi="Times New Roman" w:eastAsia="宋体" w:cs="Times New Roman"/>
                      <w:b w:val="0"/>
                      <w:bCs w:val="0"/>
                      <w:color w:val="auto"/>
                      <w:sz w:val="21"/>
                      <w:szCs w:val="21"/>
                      <w:highlight w:val="none"/>
                      <w:u w:val="single"/>
                      <w:lang w:val="en-US" w:eastAsia="zh-CN"/>
                    </w:rPr>
                    <w:t>化粪池处理后排入处理厂集中处理</w:t>
                  </w:r>
                </w:p>
              </w:tc>
              <w:tc>
                <w:tcPr>
                  <w:tcW w:w="894" w:type="dxa"/>
                  <w:vAlign w:val="center"/>
                </w:tcPr>
                <w:p w14:paraId="317CF20C">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1A05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dxa"/>
                  <w:vMerge w:val="restart"/>
                  <w:vAlign w:val="center"/>
                </w:tcPr>
                <w:p w14:paraId="211553F2">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空间布局约束</w:t>
                  </w:r>
                </w:p>
              </w:tc>
              <w:tc>
                <w:tcPr>
                  <w:tcW w:w="3512" w:type="dxa"/>
                  <w:shd w:val="clear" w:color="auto" w:fill="auto"/>
                  <w:vAlign w:val="center"/>
                </w:tcPr>
                <w:p w14:paraId="58987793">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禁止新建选址不符合“三线一单”和规划环评空间管控要求的项目入驻</w:t>
                  </w:r>
                </w:p>
              </w:tc>
              <w:tc>
                <w:tcPr>
                  <w:tcW w:w="2515" w:type="dxa"/>
                  <w:vAlign w:val="center"/>
                </w:tcPr>
                <w:p w14:paraId="4AACACE7">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本项目建设符合河南省“三线一单” 相关要求</w:t>
                  </w:r>
                </w:p>
              </w:tc>
              <w:tc>
                <w:tcPr>
                  <w:tcW w:w="894" w:type="dxa"/>
                  <w:vAlign w:val="center"/>
                </w:tcPr>
                <w:p w14:paraId="77D2C951">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487F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5596F4F0">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0FFAEF5E">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禁止在黄河干支流岸线管控范围内新建、扩建化工项目；禁止在黄河干流岸线和重要支流岸线的管控范围内新建、改建、扩建尾矿库，但是以提升安全水平、生态环境保护水平为目的的改建除外</w:t>
                  </w:r>
                </w:p>
              </w:tc>
              <w:tc>
                <w:tcPr>
                  <w:tcW w:w="2515" w:type="dxa"/>
                  <w:vAlign w:val="center"/>
                </w:tcPr>
                <w:p w14:paraId="45A3EDE2">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b w:val="0"/>
                      <w:bCs w:val="0"/>
                      <w:color w:val="auto"/>
                      <w:spacing w:val="0"/>
                      <w:szCs w:val="21"/>
                      <w:u w:val="single"/>
                      <w:lang w:val="en-US" w:eastAsia="zh-CN"/>
                    </w:rPr>
                    <w:t>本项目位于清丰县先进制造业开发区，不属于</w:t>
                  </w:r>
                  <w:r>
                    <w:rPr>
                      <w:rFonts w:hint="eastAsia"/>
                      <w:b w:val="0"/>
                      <w:bCs w:val="0"/>
                      <w:color w:val="auto"/>
                      <w:spacing w:val="0"/>
                      <w:szCs w:val="21"/>
                      <w:u w:val="single"/>
                    </w:rPr>
                    <w:t>黄河干支流岸线管控范围</w:t>
                  </w:r>
                </w:p>
              </w:tc>
              <w:tc>
                <w:tcPr>
                  <w:tcW w:w="894" w:type="dxa"/>
                  <w:vAlign w:val="center"/>
                </w:tcPr>
                <w:p w14:paraId="53DE9A09">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6586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5DD3B891">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10B142A8">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禁止大气环境防护距离和环境风险防护距离范围涉及规划教育、医疗等用地的项目入驻</w:t>
                  </w:r>
                </w:p>
              </w:tc>
              <w:tc>
                <w:tcPr>
                  <w:tcW w:w="2515" w:type="dxa"/>
                  <w:vAlign w:val="center"/>
                </w:tcPr>
                <w:p w14:paraId="1F1A94A2">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本项目周边未规划教育、医疗等用地的项目入驻，周边均为机加工企业</w:t>
                  </w:r>
                </w:p>
              </w:tc>
              <w:tc>
                <w:tcPr>
                  <w:tcW w:w="894" w:type="dxa"/>
                  <w:vAlign w:val="center"/>
                </w:tcPr>
                <w:p w14:paraId="68917495">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4A4F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2F55C708">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1FF9DC6B">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被列入建设用地土壤污染风险管控和修复名录的地块，不得作为住宅、公共管理和公共服务设施用地</w:t>
                  </w:r>
                </w:p>
              </w:tc>
              <w:tc>
                <w:tcPr>
                  <w:tcW w:w="2515" w:type="dxa"/>
                  <w:vAlign w:val="center"/>
                </w:tcPr>
                <w:p w14:paraId="1B8F46CB">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本项目所占地块未被列入建设用地土壤污染风险管控和修复名录的地块</w:t>
                  </w:r>
                </w:p>
              </w:tc>
              <w:tc>
                <w:tcPr>
                  <w:tcW w:w="894" w:type="dxa"/>
                  <w:vAlign w:val="center"/>
                </w:tcPr>
                <w:p w14:paraId="302E0B0C">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7699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48E4344D">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0B158C35">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按照当地主导风向，从南至北依次布设家具制造、食品加工、机械加工，同时考虑到区内现有居民点的整合，布设综合服务带贯通三个产业片区</w:t>
                  </w:r>
                </w:p>
              </w:tc>
              <w:tc>
                <w:tcPr>
                  <w:tcW w:w="2515" w:type="dxa"/>
                  <w:vAlign w:val="center"/>
                </w:tcPr>
                <w:p w14:paraId="3C3FF4BC">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本项目为</w:t>
                  </w:r>
                  <w:r>
                    <w:rPr>
                      <w:rFonts w:hint="eastAsia" w:cs="Times New Roman"/>
                      <w:b w:val="0"/>
                      <w:bCs w:val="0"/>
                      <w:color w:val="auto"/>
                      <w:sz w:val="21"/>
                      <w:szCs w:val="21"/>
                      <w:highlight w:val="none"/>
                      <w:u w:val="single"/>
                      <w:lang w:val="en-US" w:eastAsia="zh-CN"/>
                    </w:rPr>
                    <w:t>石油设备制造</w:t>
                  </w:r>
                  <w:r>
                    <w:rPr>
                      <w:rFonts w:hint="eastAsia" w:ascii="Times New Roman" w:hAnsi="Times New Roman" w:eastAsia="宋体" w:cs="Times New Roman"/>
                      <w:b w:val="0"/>
                      <w:bCs w:val="0"/>
                      <w:color w:val="auto"/>
                      <w:sz w:val="21"/>
                      <w:szCs w:val="21"/>
                      <w:highlight w:val="none"/>
                      <w:u w:val="single"/>
                      <w:lang w:val="en-US" w:eastAsia="zh-CN"/>
                    </w:rPr>
                    <w:t>项目，位于清丰县先进制造业开发区，根据入驻证明，符合规划要求</w:t>
                  </w:r>
                </w:p>
              </w:tc>
              <w:tc>
                <w:tcPr>
                  <w:tcW w:w="894" w:type="dxa"/>
                  <w:vAlign w:val="center"/>
                </w:tcPr>
                <w:p w14:paraId="7AC1D69E">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66BF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restart"/>
                  <w:vAlign w:val="center"/>
                </w:tcPr>
                <w:p w14:paraId="5224D426">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污染物排放管控</w:t>
                  </w:r>
                </w:p>
              </w:tc>
              <w:tc>
                <w:tcPr>
                  <w:tcW w:w="3512" w:type="dxa"/>
                  <w:shd w:val="clear" w:color="auto" w:fill="auto"/>
                  <w:vAlign w:val="center"/>
                </w:tcPr>
                <w:p w14:paraId="68F4BAC7">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新建项目的大气和水污染物排放指标必须在提高区域内现有工业污染负荷削减量或城市污染负荷削减量中调剂；入驻集聚区项目单位产品污染物排放必须满足行业污染物排放标准。新改扩建设项目主要污染物排放应满足总量减排要求</w:t>
                  </w:r>
                </w:p>
              </w:tc>
              <w:tc>
                <w:tcPr>
                  <w:tcW w:w="2515" w:type="dxa"/>
                  <w:vAlign w:val="center"/>
                </w:tcPr>
                <w:p w14:paraId="09FC77C6">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本项目各污染物经处理后均达标排放</w:t>
                  </w:r>
                </w:p>
              </w:tc>
              <w:tc>
                <w:tcPr>
                  <w:tcW w:w="894" w:type="dxa"/>
                  <w:vAlign w:val="center"/>
                </w:tcPr>
                <w:p w14:paraId="1ADEC847">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29BD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40627F93">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233B9D09">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国家、省级绩效分级重点行业的新建、改建、扩建项目应达到B级及以上要求</w:t>
                  </w:r>
                </w:p>
              </w:tc>
              <w:tc>
                <w:tcPr>
                  <w:tcW w:w="2515" w:type="dxa"/>
                  <w:vAlign w:val="center"/>
                </w:tcPr>
                <w:p w14:paraId="56706DC5">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本项目将严格按照绩效分级引领性企业要求进行建设</w:t>
                  </w:r>
                </w:p>
              </w:tc>
              <w:tc>
                <w:tcPr>
                  <w:tcW w:w="894" w:type="dxa"/>
                  <w:vAlign w:val="center"/>
                </w:tcPr>
                <w:p w14:paraId="557EF985">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7629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6B30C76F">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484DD983">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对于废水水量较大、水质浓度较高，对开发区污水处理厂易造成冲击，影响污水处理厂稳定运行达标排放的项目，禁止入驻</w:t>
                  </w:r>
                </w:p>
              </w:tc>
              <w:tc>
                <w:tcPr>
                  <w:tcW w:w="2515" w:type="dxa"/>
                  <w:vAlign w:val="center"/>
                </w:tcPr>
                <w:p w14:paraId="7D9D1670">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b w:val="0"/>
                      <w:bCs w:val="0"/>
                      <w:color w:val="auto"/>
                      <w:spacing w:val="0"/>
                      <w:szCs w:val="21"/>
                      <w:u w:val="single"/>
                      <w:lang w:val="en-US" w:eastAsia="zh-CN"/>
                    </w:rPr>
                    <w:t>项目废水仅生活污水，经处理后不会对</w:t>
                  </w:r>
                  <w:r>
                    <w:rPr>
                      <w:rFonts w:hint="eastAsia"/>
                      <w:b w:val="0"/>
                      <w:bCs w:val="0"/>
                      <w:color w:val="auto"/>
                      <w:spacing w:val="0"/>
                      <w:szCs w:val="21"/>
                      <w:u w:val="single"/>
                    </w:rPr>
                    <w:t>污水处理厂</w:t>
                  </w:r>
                  <w:r>
                    <w:rPr>
                      <w:rFonts w:hint="eastAsia"/>
                      <w:b w:val="0"/>
                      <w:bCs w:val="0"/>
                      <w:color w:val="auto"/>
                      <w:spacing w:val="0"/>
                      <w:szCs w:val="21"/>
                      <w:u w:val="single"/>
                      <w:lang w:val="en-US" w:eastAsia="zh-CN"/>
                    </w:rPr>
                    <w:t>造成冲击</w:t>
                  </w:r>
                </w:p>
              </w:tc>
              <w:tc>
                <w:tcPr>
                  <w:tcW w:w="894" w:type="dxa"/>
                  <w:vAlign w:val="center"/>
                </w:tcPr>
                <w:p w14:paraId="06DCBE7C">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2B79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6B1F0B81">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059810F1">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新、改、扩建城镇污水处理厂按所在区域其尾水排放达到或优于《河南省黄河流域水污染物排放标准》（DB41/2087-2021）表1、《城镇污水处理厂污染物排放标准》（GB18918-2002）一级A标准要求</w:t>
                  </w:r>
                </w:p>
              </w:tc>
              <w:tc>
                <w:tcPr>
                  <w:tcW w:w="2515" w:type="dxa"/>
                  <w:vAlign w:val="center"/>
                </w:tcPr>
                <w:p w14:paraId="7476A7EB">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本项目不属于城镇污水处理厂建设项目</w:t>
                  </w:r>
                </w:p>
              </w:tc>
              <w:tc>
                <w:tcPr>
                  <w:tcW w:w="894" w:type="dxa"/>
                  <w:vAlign w:val="center"/>
                </w:tcPr>
                <w:p w14:paraId="60EDCF54">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1D53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5814F7D2">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6C142E3D">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新建、改建、扩建涉VOCs排放项目应加强废气收集，安装适宜高效治理设施</w:t>
                  </w:r>
                </w:p>
              </w:tc>
              <w:tc>
                <w:tcPr>
                  <w:tcW w:w="2515" w:type="dxa"/>
                  <w:vAlign w:val="center"/>
                </w:tcPr>
                <w:p w14:paraId="0168FB13">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本项目防锈处理工序涉及VOCs，</w:t>
                  </w:r>
                  <w:r>
                    <w:rPr>
                      <w:rFonts w:hint="eastAsia" w:cs="Times New Roman"/>
                      <w:b w:val="0"/>
                      <w:bCs w:val="0"/>
                      <w:color w:val="auto"/>
                      <w:sz w:val="21"/>
                      <w:szCs w:val="21"/>
                      <w:highlight w:val="none"/>
                      <w:u w:val="single"/>
                      <w:lang w:val="en-US" w:eastAsia="zh-CN"/>
                    </w:rPr>
                    <w:t>收集后引入活性炭+分子筛吸附装置+15m排气筒（DA002）</w:t>
                  </w:r>
                </w:p>
              </w:tc>
              <w:tc>
                <w:tcPr>
                  <w:tcW w:w="894" w:type="dxa"/>
                  <w:vAlign w:val="center"/>
                </w:tcPr>
                <w:p w14:paraId="1CE6687A">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62C1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313E5277">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6A62CDC6">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新建项目VOCs排放需实行区域内等量或倍量削减替代。开发区内涉及VOCs废气排放的企业废气治理措施采用低温等离子体技术、UV光催化氧化技术、活性炭吸附技术等两种或两种以上组合工艺，禁止使用单一吸附、催化氧化等处理技术</w:t>
                  </w:r>
                </w:p>
              </w:tc>
              <w:tc>
                <w:tcPr>
                  <w:tcW w:w="2515" w:type="dxa"/>
                  <w:vAlign w:val="center"/>
                </w:tcPr>
                <w:p w14:paraId="0DC48125">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本项目VOCs实施区域内倍量消减替代，</w:t>
                  </w:r>
                  <w:r>
                    <w:rPr>
                      <w:rFonts w:hint="eastAsia" w:cs="Times New Roman"/>
                      <w:b w:val="0"/>
                      <w:bCs w:val="0"/>
                      <w:color w:val="auto"/>
                      <w:sz w:val="21"/>
                      <w:szCs w:val="21"/>
                      <w:highlight w:val="none"/>
                      <w:u w:val="single"/>
                      <w:lang w:val="en-US" w:eastAsia="zh-CN"/>
                    </w:rPr>
                    <w:t>VOCs收集后引入活性炭+分子筛吸附装置+15m排气筒（DA002）</w:t>
                  </w:r>
                  <w:r>
                    <w:rPr>
                      <w:rFonts w:hint="eastAsia" w:ascii="Times New Roman" w:hAnsi="Times New Roman" w:eastAsia="宋体" w:cs="Times New Roman"/>
                      <w:b w:val="0"/>
                      <w:bCs w:val="0"/>
                      <w:color w:val="auto"/>
                      <w:sz w:val="21"/>
                      <w:szCs w:val="21"/>
                      <w:highlight w:val="none"/>
                      <w:u w:val="single"/>
                      <w:lang w:val="en-US" w:eastAsia="zh-CN"/>
                    </w:rPr>
                    <w:t>，不属于单一吸附、催化氧化等处理技术</w:t>
                  </w:r>
                </w:p>
              </w:tc>
              <w:tc>
                <w:tcPr>
                  <w:tcW w:w="894" w:type="dxa"/>
                  <w:vAlign w:val="center"/>
                </w:tcPr>
                <w:p w14:paraId="71A00353">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相符</w:t>
                  </w:r>
                </w:p>
              </w:tc>
            </w:tr>
            <w:tr w14:paraId="5519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561CCE14">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6A9BC9FE">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新、改、扩建重点行业涉重点重金属（铅、汞、镉、铬、砷）项目，需实行重金属污染物排放“减量替代原则”，减量替代比例不低于1:1:1</w:t>
                  </w:r>
                </w:p>
              </w:tc>
              <w:tc>
                <w:tcPr>
                  <w:tcW w:w="2515" w:type="dxa"/>
                  <w:vAlign w:val="center"/>
                </w:tcPr>
                <w:p w14:paraId="30C34B95">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本项目不涉及重金属污染物排放</w:t>
                  </w:r>
                </w:p>
              </w:tc>
              <w:tc>
                <w:tcPr>
                  <w:tcW w:w="894" w:type="dxa"/>
                  <w:vAlign w:val="center"/>
                </w:tcPr>
                <w:p w14:paraId="0BD4732B">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0534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5F04B327">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0082D586">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强化煤炭消费总量管控，原则上不再新增非电行业耗煤项目，确因产业和民生需要新上的热电联产项目燃煤需减量替代，明确煤炭消减来源</w:t>
                  </w:r>
                </w:p>
              </w:tc>
              <w:tc>
                <w:tcPr>
                  <w:tcW w:w="2515" w:type="dxa"/>
                  <w:vAlign w:val="center"/>
                </w:tcPr>
                <w:p w14:paraId="02A64FA2">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本项目不涉及煤炭消耗</w:t>
                  </w:r>
                </w:p>
              </w:tc>
              <w:tc>
                <w:tcPr>
                  <w:tcW w:w="894" w:type="dxa"/>
                  <w:vAlign w:val="center"/>
                </w:tcPr>
                <w:p w14:paraId="0503EE4A">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3920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2DA8EA8C">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776C3BA1">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改善能源结构，推广使用天然气、电力等清洁能源；条件成熟时对入区企业实施集中供热；严格控制入区工业项目的类别</w:t>
                  </w:r>
                </w:p>
              </w:tc>
              <w:tc>
                <w:tcPr>
                  <w:tcW w:w="2515" w:type="dxa"/>
                  <w:vAlign w:val="center"/>
                </w:tcPr>
                <w:p w14:paraId="34212093">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本项目生活供暖采用空调解决供暖需求</w:t>
                  </w:r>
                </w:p>
              </w:tc>
              <w:tc>
                <w:tcPr>
                  <w:tcW w:w="894" w:type="dxa"/>
                  <w:vAlign w:val="center"/>
                </w:tcPr>
                <w:p w14:paraId="65CC9766">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357B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40C9B5DF">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006C852A">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加强对工业喷涂项目挥发性有机物的治理工作，严格按照行业标准、治理方案，加强源头控制、过程控制和末端治理，提升清洁化生产水平</w:t>
                  </w:r>
                </w:p>
              </w:tc>
              <w:tc>
                <w:tcPr>
                  <w:tcW w:w="2515" w:type="dxa"/>
                  <w:vAlign w:val="center"/>
                </w:tcPr>
                <w:p w14:paraId="5BC7CE9A">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本项目不涉及</w:t>
                  </w:r>
                  <w:r>
                    <w:rPr>
                      <w:rFonts w:hint="eastAsia" w:cs="Times New Roman"/>
                      <w:b w:val="0"/>
                      <w:bCs w:val="0"/>
                      <w:color w:val="auto"/>
                      <w:sz w:val="21"/>
                      <w:szCs w:val="21"/>
                      <w:highlight w:val="none"/>
                      <w:u w:val="single"/>
                      <w:lang w:val="en-US" w:eastAsia="zh-CN"/>
                    </w:rPr>
                    <w:t>喷涂工艺</w:t>
                  </w:r>
                </w:p>
              </w:tc>
              <w:tc>
                <w:tcPr>
                  <w:tcW w:w="894" w:type="dxa"/>
                  <w:vAlign w:val="center"/>
                </w:tcPr>
                <w:p w14:paraId="63FEA00F">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6AD4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35781C9C">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4DEB714D">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完善雨水、污水收集系统和排放系统，污水和生产物料输送管线需保证密封；不得建设地下或半地下式储罐设施。禁止含重金属废水进入城市生活污水处理厂</w:t>
                  </w:r>
                </w:p>
              </w:tc>
              <w:tc>
                <w:tcPr>
                  <w:tcW w:w="2515" w:type="dxa"/>
                  <w:vAlign w:val="center"/>
                </w:tcPr>
                <w:p w14:paraId="1C641176">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项目废水采用密闭管线输送，不涉及含重金属废水</w:t>
                  </w:r>
                </w:p>
              </w:tc>
              <w:tc>
                <w:tcPr>
                  <w:tcW w:w="894" w:type="dxa"/>
                  <w:vAlign w:val="center"/>
                </w:tcPr>
                <w:p w14:paraId="5727EB1C">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71F6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dxa"/>
                  <w:vMerge w:val="continue"/>
                </w:tcPr>
                <w:p w14:paraId="5BDDB7FF">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3CA8D620">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禁止填埋场渗滤液直排或超标排放</w:t>
                  </w:r>
                </w:p>
              </w:tc>
              <w:tc>
                <w:tcPr>
                  <w:tcW w:w="2515" w:type="dxa"/>
                  <w:vAlign w:val="center"/>
                </w:tcPr>
                <w:p w14:paraId="42E50FB4">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本项目不属于填埋场项目</w:t>
                  </w:r>
                </w:p>
              </w:tc>
              <w:tc>
                <w:tcPr>
                  <w:tcW w:w="894" w:type="dxa"/>
                  <w:vAlign w:val="center"/>
                </w:tcPr>
                <w:p w14:paraId="44E55BFD">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5825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restart"/>
                  <w:vAlign w:val="center"/>
                </w:tcPr>
                <w:p w14:paraId="3BC85019">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环境风险防控</w:t>
                  </w:r>
                </w:p>
              </w:tc>
              <w:tc>
                <w:tcPr>
                  <w:tcW w:w="3512" w:type="dxa"/>
                  <w:shd w:val="clear" w:color="auto" w:fill="auto"/>
                  <w:vAlign w:val="center"/>
                </w:tcPr>
                <w:p w14:paraId="2336DBCD">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大气防护距离范围和大气毒性终点浓度-1范围超越园区边界且涉及居民区、学校、医院等环境敏感点的项目，禁止新建。</w:t>
                  </w:r>
                </w:p>
              </w:tc>
              <w:tc>
                <w:tcPr>
                  <w:tcW w:w="2515" w:type="dxa"/>
                  <w:vAlign w:val="center"/>
                </w:tcPr>
                <w:p w14:paraId="3023978B">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w:t>
                  </w:r>
                  <w:r>
                    <w:rPr>
                      <w:rFonts w:hint="eastAsia" w:cs="Times New Roman"/>
                      <w:b w:val="0"/>
                      <w:bCs w:val="0"/>
                      <w:color w:val="auto"/>
                      <w:sz w:val="21"/>
                      <w:szCs w:val="21"/>
                      <w:highlight w:val="none"/>
                      <w:u w:val="single"/>
                      <w:lang w:val="en-US" w:eastAsia="zh-CN"/>
                    </w:rPr>
                    <w:t>大气污染物排放量较小，不涉及设置大气防护距离的设置</w:t>
                  </w:r>
                </w:p>
              </w:tc>
              <w:tc>
                <w:tcPr>
                  <w:tcW w:w="894" w:type="dxa"/>
                  <w:vAlign w:val="center"/>
                </w:tcPr>
                <w:p w14:paraId="555DC6B6">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2EDA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56BEFCB2">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059D3AB5">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项目环境风险防范措施未严格按照环境影响评价文件要求落实的，应停产整改。</w:t>
                  </w:r>
                </w:p>
              </w:tc>
              <w:tc>
                <w:tcPr>
                  <w:tcW w:w="2515" w:type="dxa"/>
                  <w:vAlign w:val="center"/>
                </w:tcPr>
                <w:p w14:paraId="5A3BC906">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本项目将严格按照环评文件要求进行建设</w:t>
                  </w:r>
                </w:p>
              </w:tc>
              <w:tc>
                <w:tcPr>
                  <w:tcW w:w="894" w:type="dxa"/>
                  <w:vAlign w:val="center"/>
                </w:tcPr>
                <w:p w14:paraId="64BD38B1">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1113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2455E783">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7F81E3CB">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涉及危险化学品、危险废物及可能发生突发环境事件的污染物排放企业，应按照突发环境事件应急预案备案管理办法的要求，制定完善的环境应急预案，并报环境管理部门备案管理。未落实有关要求的，应停产整改。</w:t>
                  </w:r>
                </w:p>
              </w:tc>
              <w:tc>
                <w:tcPr>
                  <w:tcW w:w="2515" w:type="dxa"/>
                  <w:vAlign w:val="center"/>
                </w:tcPr>
                <w:p w14:paraId="737F2CE8">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本项目建设完成后将按照相关要求制定环境应急预案，并报环境管理部门备案管理</w:t>
                  </w:r>
                </w:p>
              </w:tc>
              <w:tc>
                <w:tcPr>
                  <w:tcW w:w="894" w:type="dxa"/>
                  <w:vAlign w:val="center"/>
                </w:tcPr>
                <w:p w14:paraId="0B18485D">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6999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5EC5C77E">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13A5E6E5">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加强环境应急保障体系建设，园内企业应制定环境应急预案，明确环境风险防范措施。</w:t>
                  </w:r>
                </w:p>
              </w:tc>
              <w:tc>
                <w:tcPr>
                  <w:tcW w:w="2515" w:type="dxa"/>
                  <w:vAlign w:val="center"/>
                </w:tcPr>
                <w:p w14:paraId="12E09C3E">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w:t>
                  </w:r>
                  <w:r>
                    <w:rPr>
                      <w:rFonts w:hint="eastAsia" w:cs="Times New Roman"/>
                      <w:b w:val="0"/>
                      <w:bCs w:val="0"/>
                      <w:color w:val="auto"/>
                      <w:sz w:val="21"/>
                      <w:szCs w:val="21"/>
                      <w:highlight w:val="none"/>
                      <w:u w:val="single"/>
                      <w:lang w:val="en-US" w:eastAsia="zh-CN"/>
                    </w:rPr>
                    <w:t>按照要求</w:t>
                  </w:r>
                  <w:r>
                    <w:rPr>
                      <w:rFonts w:hint="default" w:ascii="Times New Roman" w:hAnsi="Times New Roman" w:eastAsia="宋体" w:cs="Times New Roman"/>
                      <w:b w:val="0"/>
                      <w:bCs w:val="0"/>
                      <w:color w:val="auto"/>
                      <w:sz w:val="21"/>
                      <w:szCs w:val="21"/>
                      <w:highlight w:val="none"/>
                      <w:u w:val="single"/>
                      <w:lang w:val="en-US" w:eastAsia="zh-CN"/>
                    </w:rPr>
                    <w:t>制定环境应急预案，明确环境风险防范措施</w:t>
                  </w:r>
                </w:p>
              </w:tc>
              <w:tc>
                <w:tcPr>
                  <w:tcW w:w="894" w:type="dxa"/>
                  <w:vAlign w:val="center"/>
                </w:tcPr>
                <w:p w14:paraId="6C9249E2">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03C3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49B32C38">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34AD0335">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铅酸蓄电池、石油加工、化工和危险化学品生产、储存、使用等企业在拆除生产设施设备、污染治理设施时，要事先制定企业拆除活动污染防</w:t>
                  </w:r>
                </w:p>
              </w:tc>
              <w:tc>
                <w:tcPr>
                  <w:tcW w:w="2515" w:type="dxa"/>
                  <w:vAlign w:val="center"/>
                </w:tcPr>
                <w:p w14:paraId="6615B986">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本项目不属于铅酸蓄电池、石油加工、化工和危险化学品生产、储存、使用等项目</w:t>
                  </w:r>
                </w:p>
              </w:tc>
              <w:tc>
                <w:tcPr>
                  <w:tcW w:w="894" w:type="dxa"/>
                  <w:vAlign w:val="center"/>
                </w:tcPr>
                <w:p w14:paraId="48C35D4D">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2A9E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63D4B8DE">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59F191CB">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充分利用企业用地调查成果和注销、撤销排污许可的信息，考虑行业、生产年限等因素，确定环境准入清单优先监管地块，并按要求采取污染管控措施</w:t>
                  </w:r>
                </w:p>
              </w:tc>
              <w:tc>
                <w:tcPr>
                  <w:tcW w:w="2515" w:type="dxa"/>
                  <w:vAlign w:val="center"/>
                </w:tcPr>
                <w:p w14:paraId="2729D03C">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项目用地现状为空地，不存在污染</w:t>
                  </w:r>
                </w:p>
              </w:tc>
              <w:tc>
                <w:tcPr>
                  <w:tcW w:w="894" w:type="dxa"/>
                  <w:vAlign w:val="center"/>
                </w:tcPr>
                <w:p w14:paraId="63C5BA9D">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4532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restart"/>
                  <w:vAlign w:val="center"/>
                </w:tcPr>
                <w:p w14:paraId="63BBCA57">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资源开发利用</w:t>
                  </w:r>
                </w:p>
              </w:tc>
              <w:tc>
                <w:tcPr>
                  <w:tcW w:w="3512" w:type="dxa"/>
                  <w:shd w:val="clear" w:color="auto" w:fill="auto"/>
                  <w:vAlign w:val="center"/>
                </w:tcPr>
                <w:p w14:paraId="16491228">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新建企业的生产工艺、设备、污染治理技术、清洁生产水平均需达到同行业国内先进水平</w:t>
                  </w:r>
                </w:p>
              </w:tc>
              <w:tc>
                <w:tcPr>
                  <w:tcW w:w="2515" w:type="dxa"/>
                  <w:vAlign w:val="center"/>
                </w:tcPr>
                <w:p w14:paraId="294B3A29">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本项目生产工艺、设备、污染治理技术、清洁生产水平均</w:t>
                  </w:r>
                  <w:r>
                    <w:rPr>
                      <w:rFonts w:hint="eastAsia" w:cs="Times New Roman"/>
                      <w:b w:val="0"/>
                      <w:bCs w:val="0"/>
                      <w:color w:val="auto"/>
                      <w:sz w:val="21"/>
                      <w:szCs w:val="21"/>
                      <w:highlight w:val="none"/>
                      <w:u w:val="single"/>
                      <w:lang w:val="en-US" w:eastAsia="zh-CN"/>
                    </w:rPr>
                    <w:t>按照</w:t>
                  </w:r>
                  <w:r>
                    <w:rPr>
                      <w:rFonts w:hint="eastAsia" w:ascii="Times New Roman" w:hAnsi="Times New Roman" w:eastAsia="宋体" w:cs="Times New Roman"/>
                      <w:b w:val="0"/>
                      <w:bCs w:val="0"/>
                      <w:color w:val="auto"/>
                      <w:sz w:val="21"/>
                      <w:szCs w:val="21"/>
                      <w:highlight w:val="none"/>
                      <w:u w:val="single"/>
                      <w:lang w:val="en-US" w:eastAsia="zh-CN"/>
                    </w:rPr>
                    <w:t>同行业国内先进水平</w:t>
                  </w:r>
                  <w:r>
                    <w:rPr>
                      <w:rFonts w:hint="eastAsia" w:cs="Times New Roman"/>
                      <w:b w:val="0"/>
                      <w:bCs w:val="0"/>
                      <w:color w:val="auto"/>
                      <w:sz w:val="21"/>
                      <w:szCs w:val="21"/>
                      <w:highlight w:val="none"/>
                      <w:u w:val="single"/>
                      <w:lang w:val="en-US" w:eastAsia="zh-CN"/>
                    </w:rPr>
                    <w:t>建设</w:t>
                  </w:r>
                </w:p>
              </w:tc>
              <w:tc>
                <w:tcPr>
                  <w:tcW w:w="894" w:type="dxa"/>
                  <w:vAlign w:val="center"/>
                </w:tcPr>
                <w:p w14:paraId="41C427CD">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2B98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07584ADE">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6E8D1579">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禁止工艺落后，生产水平过低导致资源能源消耗量大的项目入驻</w:t>
                  </w:r>
                </w:p>
              </w:tc>
              <w:tc>
                <w:tcPr>
                  <w:tcW w:w="2515" w:type="dxa"/>
                  <w:vAlign w:val="center"/>
                </w:tcPr>
                <w:p w14:paraId="0904AB8C">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本项目采用先进生产工艺，不属于资源消耗量大的项目。</w:t>
                  </w:r>
                </w:p>
              </w:tc>
              <w:tc>
                <w:tcPr>
                  <w:tcW w:w="894" w:type="dxa"/>
                  <w:vAlign w:val="center"/>
                </w:tcPr>
                <w:p w14:paraId="5CD20BAC">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7911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20C0D135">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26301595">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加强水资源开发利用效率，提高再生水利用率，再生水回用率达到30%</w:t>
                  </w:r>
                </w:p>
              </w:tc>
              <w:tc>
                <w:tcPr>
                  <w:tcW w:w="2515" w:type="dxa"/>
                  <w:vAlign w:val="center"/>
                </w:tcPr>
                <w:p w14:paraId="62793720">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本项目</w:t>
                  </w:r>
                  <w:r>
                    <w:rPr>
                      <w:rFonts w:hint="eastAsia" w:ascii="Times New Roman" w:hAnsi="Times New Roman" w:eastAsia="宋体" w:cs="Times New Roman"/>
                      <w:b w:val="0"/>
                      <w:bCs w:val="0"/>
                      <w:color w:val="auto"/>
                      <w:sz w:val="21"/>
                      <w:szCs w:val="21"/>
                      <w:highlight w:val="none"/>
                      <w:u w:val="single"/>
                      <w:lang w:val="en-US" w:eastAsia="zh-CN"/>
                    </w:rPr>
                    <w:t>生产过程不涉及废水排放</w:t>
                  </w:r>
                  <w:r>
                    <w:rPr>
                      <w:rFonts w:hint="default" w:ascii="Times New Roman" w:hAnsi="Times New Roman" w:eastAsia="宋体" w:cs="Times New Roman"/>
                      <w:b w:val="0"/>
                      <w:bCs w:val="0"/>
                      <w:color w:val="auto"/>
                      <w:sz w:val="21"/>
                      <w:szCs w:val="21"/>
                      <w:highlight w:val="none"/>
                      <w:u w:val="single"/>
                      <w:lang w:val="en-US" w:eastAsia="zh-CN"/>
                    </w:rPr>
                    <w:t>。</w:t>
                  </w:r>
                  <w:r>
                    <w:rPr>
                      <w:rFonts w:hint="eastAsia" w:ascii="Times New Roman" w:hAnsi="Times New Roman" w:eastAsia="宋体" w:cs="Times New Roman"/>
                      <w:b w:val="0"/>
                      <w:bCs w:val="0"/>
                      <w:color w:val="auto"/>
                      <w:sz w:val="21"/>
                      <w:szCs w:val="21"/>
                      <w:highlight w:val="none"/>
                      <w:u w:val="single"/>
                      <w:lang w:val="en-US" w:eastAsia="zh-CN"/>
                    </w:rPr>
                    <w:t>生活污水经化粪池处理后排入市政管网</w:t>
                  </w:r>
                </w:p>
              </w:tc>
              <w:tc>
                <w:tcPr>
                  <w:tcW w:w="894" w:type="dxa"/>
                  <w:vAlign w:val="center"/>
                </w:tcPr>
                <w:p w14:paraId="369C5710">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1142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015694BD">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62DA278F">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严格地下水管理，加强取水许可和计划用水管理，严格实行产业准入制度，严格控制新建、扩建、改建高耗水项目</w:t>
                  </w:r>
                </w:p>
              </w:tc>
              <w:tc>
                <w:tcPr>
                  <w:tcW w:w="2515" w:type="dxa"/>
                  <w:vAlign w:val="center"/>
                </w:tcPr>
                <w:p w14:paraId="36DC5EB3">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本项目由先进制造工业园区统一供水</w:t>
                  </w:r>
                </w:p>
              </w:tc>
              <w:tc>
                <w:tcPr>
                  <w:tcW w:w="894" w:type="dxa"/>
                  <w:vAlign w:val="center"/>
                </w:tcPr>
                <w:p w14:paraId="57668772">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r w14:paraId="18B1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tcPr>
                <w:p w14:paraId="438CA57D">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b w:val="0"/>
                      <w:bCs w:val="0"/>
                      <w:color w:val="auto"/>
                      <w:sz w:val="21"/>
                      <w:szCs w:val="21"/>
                      <w:highlight w:val="none"/>
                      <w:u w:val="single"/>
                      <w:lang w:val="en-US" w:eastAsia="zh-CN"/>
                    </w:rPr>
                  </w:pPr>
                </w:p>
              </w:tc>
              <w:tc>
                <w:tcPr>
                  <w:tcW w:w="3512" w:type="dxa"/>
                  <w:shd w:val="clear" w:color="auto" w:fill="auto"/>
                  <w:vAlign w:val="center"/>
                </w:tcPr>
                <w:p w14:paraId="50E8628E">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地下水超采地区，控制高耗水新建、改建、扩建项目，推进高耗水企业向水资源条件允许的工业园区集中</w:t>
                  </w:r>
                </w:p>
              </w:tc>
              <w:tc>
                <w:tcPr>
                  <w:tcW w:w="2515" w:type="dxa"/>
                  <w:vAlign w:val="center"/>
                </w:tcPr>
                <w:p w14:paraId="3E61C84D">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eastAsia"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本项目采用自来水供给，不涉及地下水采用。</w:t>
                  </w:r>
                </w:p>
              </w:tc>
              <w:tc>
                <w:tcPr>
                  <w:tcW w:w="894" w:type="dxa"/>
                  <w:vAlign w:val="center"/>
                </w:tcPr>
                <w:p w14:paraId="1090BD73">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相符</w:t>
                  </w:r>
                </w:p>
              </w:tc>
            </w:tr>
          </w:tbl>
          <w:p w14:paraId="427302DE">
            <w:pPr>
              <w:keepNext w:val="0"/>
              <w:keepLines w:val="0"/>
              <w:pageBreakBefore w:val="0"/>
              <w:kinsoku/>
              <w:wordWrap/>
              <w:overflowPunct/>
              <w:topLinePunct w:val="0"/>
              <w:autoSpaceDE w:val="0"/>
              <w:autoSpaceDN w:val="0"/>
              <w:bidi w:val="0"/>
              <w:adjustRightInd w:val="0"/>
              <w:snapToGrid w:val="0"/>
              <w:spacing w:line="520" w:lineRule="atLeast"/>
              <w:ind w:right="0" w:firstLine="480" w:firstLineChars="200"/>
              <w:jc w:val="both"/>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由上表知，本项目符合清丰县先进制造业开发区发展规划（2022-2035年）生态环境准入条件，不在其环境负面清单内。</w:t>
            </w:r>
          </w:p>
          <w:p w14:paraId="355A88F0">
            <w:pPr>
              <w:keepNext w:val="0"/>
              <w:keepLines w:val="0"/>
              <w:pageBreakBefore w:val="0"/>
              <w:kinsoku/>
              <w:wordWrap/>
              <w:overflowPunct/>
              <w:topLinePunct w:val="0"/>
              <w:autoSpaceDE w:val="0"/>
              <w:autoSpaceDN w:val="0"/>
              <w:bidi w:val="0"/>
              <w:adjustRightInd w:val="0"/>
              <w:snapToGrid w:val="0"/>
              <w:spacing w:line="520" w:lineRule="atLeast"/>
              <w:ind w:right="0"/>
              <w:jc w:val="both"/>
              <w:textAlignment w:val="auto"/>
              <w:rPr>
                <w:rFonts w:hint="eastAsia"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 xml:space="preserve">2.2 </w:t>
            </w:r>
            <w:r>
              <w:rPr>
                <w:rFonts w:hint="default" w:ascii="Times New Roman" w:hAnsi="Times New Roman" w:eastAsia="宋体" w:cs="Times New Roman"/>
                <w:b/>
                <w:bCs/>
                <w:color w:val="auto"/>
                <w:kern w:val="0"/>
                <w:sz w:val="24"/>
                <w:szCs w:val="24"/>
                <w:highlight w:val="none"/>
                <w:lang w:val="en-US" w:eastAsia="zh-CN"/>
              </w:rPr>
              <w:t>本项目与濮阳市生态环境局《关于清丰县限值制造业开发区发展规划（2022-2035）环境影响报告书的审查意见》的相符性分析</w:t>
            </w:r>
          </w:p>
          <w:p w14:paraId="5E12CA55">
            <w:pPr>
              <w:keepNext w:val="0"/>
              <w:keepLines w:val="0"/>
              <w:pageBreakBefore w:val="0"/>
              <w:widowControl w:val="0"/>
              <w:kinsoku/>
              <w:wordWrap/>
              <w:overflowPunct/>
              <w:topLinePunct w:val="0"/>
              <w:autoSpaceDE w:val="0"/>
              <w:autoSpaceDN w:val="0"/>
              <w:bidi w:val="0"/>
              <w:adjustRightInd w:val="0"/>
              <w:snapToGrid w:val="0"/>
              <w:spacing w:line="520" w:lineRule="exact"/>
              <w:ind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表1-2   </w:t>
            </w:r>
            <w:r>
              <w:rPr>
                <w:rFonts w:hint="default" w:ascii="Times New Roman" w:hAnsi="Times New Roman" w:eastAsia="宋体" w:cs="Times New Roman"/>
                <w:color w:val="auto"/>
                <w:kern w:val="0"/>
                <w:sz w:val="21"/>
                <w:szCs w:val="21"/>
                <w:highlight w:val="none"/>
                <w:lang w:val="en-US" w:eastAsia="zh-CN"/>
              </w:rPr>
              <w:t>与清丰县先进制造业开发区发展规划（2022-2035年）境影响报告书的审查意见相符性分析</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3810"/>
              <w:gridCol w:w="2149"/>
              <w:gridCol w:w="919"/>
            </w:tblGrid>
            <w:tr w14:paraId="4F76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49" w:type="pct"/>
                  <w:noWrap w:val="0"/>
                  <w:vAlign w:val="center"/>
                </w:tcPr>
                <w:p w14:paraId="42BF3D42">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项目</w:t>
                  </w:r>
                </w:p>
              </w:tc>
              <w:tc>
                <w:tcPr>
                  <w:tcW w:w="2520" w:type="pct"/>
                  <w:noWrap w:val="0"/>
                  <w:vAlign w:val="center"/>
                </w:tcPr>
                <w:p w14:paraId="410D7351">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审查意见要求</w:t>
                  </w:r>
                </w:p>
              </w:tc>
              <w:tc>
                <w:tcPr>
                  <w:tcW w:w="1421" w:type="pct"/>
                  <w:noWrap w:val="0"/>
                  <w:vAlign w:val="center"/>
                </w:tcPr>
                <w:p w14:paraId="66A3ABAA">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项目情况</w:t>
                  </w:r>
                </w:p>
              </w:tc>
              <w:tc>
                <w:tcPr>
                  <w:tcW w:w="608" w:type="pct"/>
                  <w:noWrap w:val="0"/>
                  <w:vAlign w:val="center"/>
                </w:tcPr>
                <w:p w14:paraId="3AA3E3FB">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相符性</w:t>
                  </w:r>
                </w:p>
              </w:tc>
            </w:tr>
            <w:tr w14:paraId="3084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49" w:type="pct"/>
                  <w:noWrap w:val="0"/>
                  <w:vAlign w:val="center"/>
                </w:tcPr>
                <w:p w14:paraId="264B5CA1">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坚持绿色低碳高质量发展</w:t>
                  </w:r>
                </w:p>
              </w:tc>
              <w:tc>
                <w:tcPr>
                  <w:tcW w:w="2520" w:type="pct"/>
                  <w:noWrap w:val="0"/>
                  <w:vAlign w:val="center"/>
                </w:tcPr>
                <w:p w14:paraId="7129EB21">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规</w:t>
                  </w:r>
                  <w:r>
                    <w:rPr>
                      <w:rFonts w:hint="default" w:ascii="Times New Roman" w:hAnsi="Times New Roman" w:eastAsia="宋体" w:cs="Times New Roman"/>
                      <w:b w:val="0"/>
                      <w:bCs w:val="0"/>
                      <w:color w:val="auto"/>
                      <w:sz w:val="21"/>
                      <w:szCs w:val="21"/>
                      <w:highlight w:val="none"/>
                      <w:u w:val="none"/>
                      <w:lang w:val="en-US" w:eastAsia="zh-CN"/>
                    </w:rPr>
                    <w:t>划应贯彻生态优先、绿色低碳、集约高效的绿色发展、协调发展理念，根据国家、省发展战略，以环境质量改善为核心，进一步优化产业园区的产业结构、发展规模、用地布局等，做好与区域“三线一单”成果的协调衔接，实现园区绿色低碳高质量发展目标</w:t>
                  </w:r>
                </w:p>
              </w:tc>
              <w:tc>
                <w:tcPr>
                  <w:tcW w:w="1421" w:type="pct"/>
                  <w:noWrap w:val="0"/>
                  <w:vAlign w:val="center"/>
                </w:tcPr>
                <w:p w14:paraId="27AA16B8">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本项目的建设符合“三线一单”的相关要求</w:t>
                  </w:r>
                </w:p>
              </w:tc>
              <w:tc>
                <w:tcPr>
                  <w:tcW w:w="608" w:type="pct"/>
                  <w:noWrap w:val="0"/>
                  <w:vAlign w:val="center"/>
                </w:tcPr>
                <w:p w14:paraId="7BEFF39C">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相符</w:t>
                  </w:r>
                </w:p>
              </w:tc>
            </w:tr>
            <w:tr w14:paraId="163A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49" w:type="pct"/>
                  <w:noWrap w:val="0"/>
                  <w:vAlign w:val="center"/>
                </w:tcPr>
                <w:p w14:paraId="2EB25585">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加快推进产业转型</w:t>
                  </w:r>
                </w:p>
              </w:tc>
              <w:tc>
                <w:tcPr>
                  <w:tcW w:w="2520" w:type="pct"/>
                  <w:noWrap w:val="0"/>
                  <w:vAlign w:val="center"/>
                </w:tcPr>
                <w:p w14:paraId="2120E0F0">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both"/>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产业园区应遵循循环经济理念，积极推进产业技术进步和园区循环化改造，坚持减污降碳协同发展。家居产业发展依托清丰县家居产业集聚，推动传统家居向智能家居、定制家居、生态家居转变；食品加工通过强化地方品牌产业全链条发展，实现食品加工业循环、绿色发展；节能环保产业瞄准产业绿色化、低碳化、循环化发展需要，重点发展先进环保设备、高效节能装备、资源循环利用和环保服务产业</w:t>
                  </w:r>
                </w:p>
              </w:tc>
              <w:tc>
                <w:tcPr>
                  <w:tcW w:w="1421" w:type="pct"/>
                  <w:noWrap w:val="0"/>
                  <w:vAlign w:val="center"/>
                </w:tcPr>
                <w:p w14:paraId="309D5F57">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both"/>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本项目属于“</w:t>
                  </w:r>
                  <w:r>
                    <w:rPr>
                      <w:rFonts w:hint="eastAsia" w:cs="Times New Roman"/>
                      <w:b w:val="0"/>
                      <w:bCs w:val="0"/>
                      <w:color w:val="auto"/>
                      <w:sz w:val="21"/>
                      <w:szCs w:val="21"/>
                      <w:highlight w:val="none"/>
                      <w:u w:val="none"/>
                      <w:lang w:val="en-US" w:eastAsia="zh-CN"/>
                    </w:rPr>
                    <w:t>C3512石油钻采专用设备制造</w:t>
                  </w:r>
                  <w:r>
                    <w:rPr>
                      <w:rFonts w:hint="eastAsia" w:ascii="Times New Roman" w:hAnsi="Times New Roman" w:eastAsia="宋体" w:cs="Times New Roman"/>
                      <w:b w:val="0"/>
                      <w:bCs w:val="0"/>
                      <w:color w:val="auto"/>
                      <w:sz w:val="21"/>
                      <w:szCs w:val="21"/>
                      <w:highlight w:val="none"/>
                      <w:u w:val="none"/>
                      <w:lang w:val="en-US" w:eastAsia="zh-CN"/>
                    </w:rPr>
                    <w:t>”，根据清丰县先进制造业开发区管委会出具的证明可知允许本项目入驻</w:t>
                  </w:r>
                  <w:r>
                    <w:rPr>
                      <w:rFonts w:hint="eastAsia" w:cs="Times New Roman"/>
                      <w:b w:val="0"/>
                      <w:bCs w:val="0"/>
                      <w:color w:val="auto"/>
                      <w:sz w:val="21"/>
                      <w:szCs w:val="21"/>
                      <w:highlight w:val="none"/>
                      <w:u w:val="none"/>
                      <w:lang w:val="en-US" w:eastAsia="zh-CN"/>
                    </w:rPr>
                    <w:t>，</w:t>
                  </w:r>
                  <w:r>
                    <w:rPr>
                      <w:rFonts w:hint="eastAsia" w:ascii="Times New Roman" w:hAnsi="Times New Roman" w:cs="Times New Roman"/>
                      <w:color w:val="auto"/>
                      <w:szCs w:val="21"/>
                      <w:highlight w:val="none"/>
                      <w:lang w:val="en-US" w:eastAsia="zh-CN"/>
                    </w:rPr>
                    <w:t>符合产业发展循环经济理念</w:t>
                  </w:r>
                </w:p>
              </w:tc>
              <w:tc>
                <w:tcPr>
                  <w:tcW w:w="608" w:type="pct"/>
                  <w:noWrap w:val="0"/>
                  <w:vAlign w:val="center"/>
                </w:tcPr>
                <w:p w14:paraId="3C786E59">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相符</w:t>
                  </w:r>
                </w:p>
              </w:tc>
            </w:tr>
            <w:tr w14:paraId="6EA2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49" w:type="pct"/>
                  <w:noWrap w:val="0"/>
                  <w:vAlign w:val="center"/>
                </w:tcPr>
                <w:p w14:paraId="6AD0F94C">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优化空间布局严格空间管控</w:t>
                  </w:r>
                </w:p>
              </w:tc>
              <w:tc>
                <w:tcPr>
                  <w:tcW w:w="2520" w:type="pct"/>
                  <w:noWrap w:val="0"/>
                  <w:vAlign w:val="center"/>
                </w:tcPr>
                <w:p w14:paraId="22C4BC00">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both"/>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进一步加强与国土空间规划的街接，保持规划之间协调一致；加强对产业园区及周边生活区的防护，确保园区产业布局与生态环境保护、人居环境安全相协调</w:t>
                  </w:r>
                </w:p>
              </w:tc>
              <w:tc>
                <w:tcPr>
                  <w:tcW w:w="1421" w:type="pct"/>
                  <w:noWrap w:val="0"/>
                  <w:vAlign w:val="center"/>
                </w:tcPr>
                <w:p w14:paraId="55B85A12">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本项目为</w:t>
                  </w:r>
                  <w:r>
                    <w:rPr>
                      <w:rFonts w:hint="eastAsia" w:cs="Times New Roman"/>
                      <w:b w:val="0"/>
                      <w:bCs w:val="0"/>
                      <w:color w:val="auto"/>
                      <w:sz w:val="21"/>
                      <w:szCs w:val="21"/>
                      <w:highlight w:val="none"/>
                      <w:u w:val="none"/>
                      <w:lang w:val="en-US" w:eastAsia="zh-CN"/>
                    </w:rPr>
                    <w:t>石油设备制造</w:t>
                  </w:r>
                  <w:r>
                    <w:rPr>
                      <w:rFonts w:hint="default" w:ascii="Times New Roman" w:hAnsi="Times New Roman" w:eastAsia="宋体" w:cs="Times New Roman"/>
                      <w:b w:val="0"/>
                      <w:bCs w:val="0"/>
                      <w:color w:val="auto"/>
                      <w:sz w:val="21"/>
                      <w:szCs w:val="21"/>
                      <w:highlight w:val="none"/>
                      <w:u w:val="none"/>
                      <w:lang w:val="en-US" w:eastAsia="zh-CN"/>
                    </w:rPr>
                    <w:t>项目，符合园区规划，用地为工业用地</w:t>
                  </w:r>
                </w:p>
              </w:tc>
              <w:tc>
                <w:tcPr>
                  <w:tcW w:w="608" w:type="pct"/>
                  <w:noWrap w:val="0"/>
                  <w:vAlign w:val="center"/>
                </w:tcPr>
                <w:p w14:paraId="391F4153">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相符</w:t>
                  </w:r>
                </w:p>
              </w:tc>
            </w:tr>
            <w:tr w14:paraId="6E0E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49" w:type="pct"/>
                  <w:noWrap w:val="0"/>
                  <w:vAlign w:val="center"/>
                </w:tcPr>
                <w:p w14:paraId="2BD3CF33">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严格项目准入</w:t>
                  </w:r>
                </w:p>
              </w:tc>
              <w:tc>
                <w:tcPr>
                  <w:tcW w:w="2520" w:type="pct"/>
                  <w:noWrap w:val="0"/>
                  <w:vAlign w:val="center"/>
                </w:tcPr>
                <w:p w14:paraId="47568AA6">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both"/>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园区管理部门应按照规划环评报告提出的项目负面清单及准入条件，优化产业定位，把好项目准入关。优先发展符合园区主导产业要求、有利于园区总体产业链条延伸的项目，列入园区限制类的项目应限制入驻，列入园区的负面清单的项目禁止入驻，通过实施差别化环境准入，逐步优化产业结构，构筑园区循环经济产业链</w:t>
                  </w:r>
                </w:p>
              </w:tc>
              <w:tc>
                <w:tcPr>
                  <w:tcW w:w="1421" w:type="pct"/>
                  <w:noWrap w:val="0"/>
                  <w:vAlign w:val="center"/>
                </w:tcPr>
                <w:p w14:paraId="4E61AE9C">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根据入驻证明，项目符合清丰县先进制造开发区总体发展规划和土地总体规划入驻条件</w:t>
                  </w:r>
                </w:p>
              </w:tc>
              <w:tc>
                <w:tcPr>
                  <w:tcW w:w="608" w:type="pct"/>
                  <w:noWrap w:val="0"/>
                  <w:vAlign w:val="center"/>
                </w:tcPr>
                <w:p w14:paraId="41DAD739">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相符</w:t>
                  </w:r>
                </w:p>
              </w:tc>
            </w:tr>
            <w:tr w14:paraId="0328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49" w:type="pct"/>
                  <w:noWrap w:val="0"/>
                  <w:vAlign w:val="center"/>
                </w:tcPr>
                <w:p w14:paraId="012E39CC">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同步建设基础设施</w:t>
                  </w:r>
                </w:p>
              </w:tc>
              <w:tc>
                <w:tcPr>
                  <w:tcW w:w="2520" w:type="pct"/>
                  <w:noWrap w:val="0"/>
                  <w:vAlign w:val="center"/>
                </w:tcPr>
                <w:p w14:paraId="126A4604">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both"/>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产业园区应实施道路、给水、排水、供热。按照园区建设规划，完善产业园区供水设施及管网建设；加快园区配套污水集中处理设施及配套管网等基础设施的建设工作。园区固体废弃物应有安全可行的处理处置措施，不得随意弃置，危险固废严格按照有关规定收集、贮存、转运、处置，确保100%安全处置</w:t>
                  </w:r>
                </w:p>
              </w:tc>
              <w:tc>
                <w:tcPr>
                  <w:tcW w:w="1421" w:type="pct"/>
                  <w:noWrap w:val="0"/>
                  <w:vAlign w:val="center"/>
                </w:tcPr>
                <w:p w14:paraId="2378C122">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both"/>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本项目建成后，给水、排水等基础设施可配套实施，项目固废按要求合理收集、处理，严格按照有关规定收集、贮存、转运、处置</w:t>
                  </w:r>
                  <w:r>
                    <w:rPr>
                      <w:rFonts w:hint="eastAsia" w:cs="Times New Roman"/>
                      <w:b w:val="0"/>
                      <w:bCs w:val="0"/>
                      <w:color w:val="auto"/>
                      <w:sz w:val="21"/>
                      <w:szCs w:val="21"/>
                      <w:highlight w:val="none"/>
                      <w:u w:val="none"/>
                      <w:lang w:val="en-US" w:eastAsia="zh-CN"/>
                    </w:rPr>
                    <w:t>，</w:t>
                  </w:r>
                  <w:r>
                    <w:rPr>
                      <w:rFonts w:hint="eastAsia" w:ascii="Times New Roman" w:hAnsi="Times New Roman" w:eastAsia="宋体" w:cs="Times New Roman"/>
                      <w:b w:val="0"/>
                      <w:bCs w:val="0"/>
                      <w:color w:val="auto"/>
                      <w:sz w:val="21"/>
                      <w:szCs w:val="21"/>
                      <w:highlight w:val="none"/>
                      <w:u w:val="none"/>
                      <w:lang w:val="en-US" w:eastAsia="zh-CN"/>
                    </w:rPr>
                    <w:t>确保100%安全处置</w:t>
                  </w:r>
                </w:p>
              </w:tc>
              <w:tc>
                <w:tcPr>
                  <w:tcW w:w="608" w:type="pct"/>
                  <w:noWrap w:val="0"/>
                  <w:vAlign w:val="center"/>
                </w:tcPr>
                <w:p w14:paraId="32E02E38">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相符</w:t>
                  </w:r>
                </w:p>
              </w:tc>
            </w:tr>
            <w:tr w14:paraId="2090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49" w:type="pct"/>
                  <w:noWrap w:val="0"/>
                  <w:vAlign w:val="center"/>
                </w:tcPr>
                <w:p w14:paraId="5CEB72F4">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严格落实各项规划环评措施</w:t>
                  </w:r>
                </w:p>
              </w:tc>
              <w:tc>
                <w:tcPr>
                  <w:tcW w:w="2520" w:type="pct"/>
                  <w:noWrap w:val="0"/>
                  <w:vAlign w:val="center"/>
                </w:tcPr>
                <w:p w14:paraId="3E9F54CC">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规划批准后，应严格按照规划要求推动产业园区高质量发展，严守生态保护红线、环境质量底线、资源利用上线，落实《报告书》提出的各项措施，在实施范围、适用期限、规模、结构和布局等方面进行重大调整或者修订的，应当重新或者补充进行环境影响评价</w:t>
                  </w:r>
                </w:p>
              </w:tc>
              <w:tc>
                <w:tcPr>
                  <w:tcW w:w="1421" w:type="pct"/>
                  <w:noWrap w:val="0"/>
                  <w:vAlign w:val="center"/>
                </w:tcPr>
                <w:p w14:paraId="403538F0">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本项目位于先进制造开发区规划范围内，对照“河南省“三线一单”生态环境分区管控更新成果（2023年版）”本项目属于河南省濮阳市清丰县重点管控单元—清丰县先进制造业开发区（环境管控单元编码：ZH41092220001），符合三线一单的要求</w:t>
                  </w:r>
                </w:p>
              </w:tc>
              <w:tc>
                <w:tcPr>
                  <w:tcW w:w="608" w:type="pct"/>
                  <w:noWrap w:val="0"/>
                  <w:vAlign w:val="center"/>
                </w:tcPr>
                <w:p w14:paraId="77B0CC73">
                  <w:pPr>
                    <w:pStyle w:val="24"/>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相符</w:t>
                  </w:r>
                </w:p>
              </w:tc>
            </w:tr>
          </w:tbl>
          <w:p w14:paraId="1E32F42E">
            <w:pPr>
              <w:keepNext w:val="0"/>
              <w:keepLines w:val="0"/>
              <w:pageBreakBefore w:val="0"/>
              <w:kinsoku/>
              <w:wordWrap/>
              <w:overflowPunct/>
              <w:topLinePunct w:val="0"/>
              <w:autoSpaceDE w:val="0"/>
              <w:autoSpaceDN w:val="0"/>
              <w:bidi w:val="0"/>
              <w:adjustRightInd w:val="0"/>
              <w:snapToGrid w:val="0"/>
              <w:spacing w:line="520" w:lineRule="atLeast"/>
              <w:ind w:right="0" w:firstLine="480" w:firstLineChars="200"/>
              <w:jc w:val="both"/>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由上表知，本项目符合濮阳市生态环境局《关于清丰县限值制造业开发区发展规划（2022-2035）环境影响报告书的审查意见》中的相关要求。</w:t>
            </w:r>
          </w:p>
        </w:tc>
      </w:tr>
      <w:tr w14:paraId="463C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0" w:hRule="atLeast"/>
          <w:jc w:val="center"/>
        </w:trPr>
        <w:tc>
          <w:tcPr>
            <w:tcW w:w="331" w:type="pct"/>
            <w:noWrap w:val="0"/>
            <w:vAlign w:val="center"/>
          </w:tcPr>
          <w:p w14:paraId="6641508D">
            <w:pPr>
              <w:keepNext w:val="0"/>
              <w:keepLines w:val="0"/>
              <w:pageBreakBefore w:val="0"/>
              <w:widowControl w:val="0"/>
              <w:kinsoku/>
              <w:wordWrap/>
              <w:overflowPunct/>
              <w:topLinePunct w:val="0"/>
              <w:autoSpaceDE w:val="0"/>
              <w:autoSpaceDN w:val="0"/>
              <w:bidi w:val="0"/>
              <w:adjustRightInd w:val="0"/>
              <w:snapToGrid w:val="0"/>
              <w:spacing w:before="126" w:beforeLines="40" w:after="126" w:afterLines="40"/>
              <w:ind w:left="0" w:leftChars="0" w:right="0" w:rightChars="0"/>
              <w:jc w:val="center"/>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vertAlign w:val="baseline"/>
              </w:rPr>
              <w:t>其他符合性分析</w:t>
            </w:r>
          </w:p>
        </w:tc>
        <w:tc>
          <w:tcPr>
            <w:tcW w:w="4668" w:type="pct"/>
            <w:gridSpan w:val="4"/>
            <w:noWrap w:val="0"/>
            <w:vAlign w:val="top"/>
          </w:tcPr>
          <w:p w14:paraId="0F050155">
            <w:pPr>
              <w:keepNext w:val="0"/>
              <w:keepLines w:val="0"/>
              <w:pageBreakBefore w:val="0"/>
              <w:kinsoku/>
              <w:wordWrap/>
              <w:overflowPunct/>
              <w:topLinePunct w:val="0"/>
              <w:autoSpaceDE w:val="0"/>
              <w:autoSpaceDN w:val="0"/>
              <w:bidi w:val="0"/>
              <w:adjustRightInd w:val="0"/>
              <w:snapToGrid w:val="0"/>
              <w:spacing w:line="520" w:lineRule="atLeast"/>
              <w:ind w:right="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1、产业政策相符性分析</w:t>
            </w:r>
          </w:p>
          <w:p w14:paraId="1E6F8A46">
            <w:pPr>
              <w:keepNext w:val="0"/>
              <w:keepLines w:val="0"/>
              <w:pageBreakBefore w:val="0"/>
              <w:kinsoku/>
              <w:wordWrap/>
              <w:overflowPunct/>
              <w:topLinePunct w:val="0"/>
              <w:autoSpaceDE w:val="0"/>
              <w:autoSpaceDN w:val="0"/>
              <w:bidi w:val="0"/>
              <w:adjustRightInd w:val="0"/>
              <w:snapToGrid w:val="0"/>
              <w:spacing w:line="520" w:lineRule="atLeast"/>
              <w:ind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根据《产业结构调整指导目录（20</w:t>
            </w:r>
            <w:r>
              <w:rPr>
                <w:rFonts w:hint="eastAsia" w:cs="Times New Roman"/>
                <w:b w:val="0"/>
                <w:bCs w:val="0"/>
                <w:color w:val="auto"/>
                <w:sz w:val="24"/>
                <w:szCs w:val="24"/>
                <w:highlight w:val="none"/>
                <w:lang w:val="en-US" w:eastAsia="zh-CN"/>
              </w:rPr>
              <w:t>24</w:t>
            </w:r>
            <w:r>
              <w:rPr>
                <w:rFonts w:hint="default" w:ascii="Times New Roman" w:hAnsi="Times New Roman" w:eastAsia="宋体" w:cs="Times New Roman"/>
                <w:b w:val="0"/>
                <w:bCs w:val="0"/>
                <w:color w:val="auto"/>
                <w:sz w:val="24"/>
                <w:szCs w:val="24"/>
                <w:highlight w:val="none"/>
                <w:lang w:val="en-US" w:eastAsia="zh-CN"/>
              </w:rPr>
              <w:t>年本）》，</w:t>
            </w:r>
            <w:r>
              <w:rPr>
                <w:rFonts w:hint="eastAsia" w:cs="Times New Roman"/>
                <w:b w:val="0"/>
                <w:bCs w:val="0"/>
                <w:color w:val="auto"/>
                <w:sz w:val="24"/>
                <w:szCs w:val="24"/>
                <w:highlight w:val="none"/>
                <w:lang w:val="en-US" w:eastAsia="zh-CN"/>
              </w:rPr>
              <w:t>本项目不涉及“</w:t>
            </w:r>
            <w:r>
              <w:rPr>
                <w:rFonts w:hint="default" w:ascii="Times New Roman" w:hAnsi="Times New Roman" w:eastAsia="宋体" w:cs="Times New Roman"/>
                <w:b w:val="0"/>
                <w:bCs w:val="0"/>
                <w:color w:val="auto"/>
                <w:sz w:val="24"/>
                <w:szCs w:val="24"/>
                <w:highlight w:val="none"/>
                <w:lang w:val="en-US" w:eastAsia="zh-CN"/>
              </w:rPr>
              <w:t>淘汰类、限制类</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建设项目，为允许类建设项目。项目已在</w:t>
            </w:r>
            <w:r>
              <w:rPr>
                <w:rFonts w:hint="eastAsia" w:cs="Times New Roman"/>
                <w:b w:val="0"/>
                <w:bCs/>
                <w:color w:val="auto"/>
                <w:sz w:val="24"/>
                <w:szCs w:val="24"/>
                <w:highlight w:val="none"/>
                <w:lang w:val="en-US" w:eastAsia="zh-CN"/>
              </w:rPr>
              <w:t>清丰县先进制造业开发区</w:t>
            </w:r>
            <w:r>
              <w:rPr>
                <w:rFonts w:hint="default" w:ascii="Times New Roman" w:hAnsi="Times New Roman" w:eastAsia="宋体" w:cs="Times New Roman"/>
                <w:b w:val="0"/>
                <w:bCs w:val="0"/>
                <w:color w:val="auto"/>
                <w:sz w:val="24"/>
                <w:szCs w:val="24"/>
                <w:highlight w:val="none"/>
                <w:lang w:val="en-US" w:eastAsia="zh-CN"/>
              </w:rPr>
              <w:t>备案，备案文号为：</w:t>
            </w:r>
            <w:r>
              <w:rPr>
                <w:rFonts w:hint="default" w:ascii="Times New Roman" w:hAnsi="Times New Roman" w:eastAsia="宋体" w:cs="Times New Roman"/>
                <w:b w:val="0"/>
                <w:bCs/>
                <w:color w:val="auto"/>
                <w:sz w:val="24"/>
                <w:szCs w:val="24"/>
                <w:highlight w:val="none"/>
                <w:lang w:val="en-US" w:eastAsia="zh-CN"/>
              </w:rPr>
              <w:t>2502-410922-04-01-615497</w:t>
            </w:r>
            <w:r>
              <w:rPr>
                <w:rFonts w:hint="default" w:ascii="Times New Roman" w:hAnsi="Times New Roman" w:eastAsia="宋体" w:cs="Times New Roman"/>
                <w:b w:val="0"/>
                <w:bCs w:val="0"/>
                <w:color w:val="auto"/>
                <w:sz w:val="24"/>
                <w:szCs w:val="24"/>
                <w:highlight w:val="none"/>
                <w:lang w:val="en-US" w:eastAsia="zh-CN"/>
              </w:rPr>
              <w:t>，本项目的建设符合国家当前产业政策。</w:t>
            </w:r>
          </w:p>
          <w:p w14:paraId="4FB469FB">
            <w:pPr>
              <w:keepNext w:val="0"/>
              <w:keepLines w:val="0"/>
              <w:pageBreakBefore w:val="0"/>
              <w:widowControl w:val="0"/>
              <w:kinsoku/>
              <w:wordWrap/>
              <w:overflowPunct/>
              <w:topLinePunct w:val="0"/>
              <w:autoSpaceDE w:val="0"/>
              <w:autoSpaceDN w:val="0"/>
              <w:bidi w:val="0"/>
              <w:adjustRightInd w:val="0"/>
              <w:snapToGrid w:val="0"/>
              <w:spacing w:line="520" w:lineRule="atLeast"/>
              <w:ind w:right="0" w:rightChars="0"/>
              <w:jc w:val="center"/>
              <w:textAlignment w:val="auto"/>
              <w:rPr>
                <w:rFonts w:hint="default" w:eastAsia="宋体" w:cs="Times New Roman"/>
                <w:b w:val="0"/>
                <w:bCs w:val="0"/>
                <w:color w:val="auto"/>
                <w:kern w:val="0"/>
                <w:sz w:val="21"/>
                <w:szCs w:val="21"/>
                <w:highlight w:val="none"/>
                <w:u w:val="single"/>
                <w:vertAlign w:val="baseline"/>
                <w:lang w:val="zh-CN" w:eastAsia="zh-CN" w:bidi="ar-SA"/>
              </w:rPr>
            </w:pPr>
            <w:r>
              <w:rPr>
                <w:rFonts w:hint="eastAsia" w:eastAsia="宋体" w:cs="Times New Roman"/>
                <w:b w:val="0"/>
                <w:bCs w:val="0"/>
                <w:color w:val="auto"/>
                <w:kern w:val="0"/>
                <w:sz w:val="21"/>
                <w:szCs w:val="21"/>
                <w:highlight w:val="none"/>
                <w:u w:val="single"/>
                <w:vertAlign w:val="baseline"/>
                <w:lang w:val="zh-CN" w:eastAsia="zh-CN" w:bidi="ar-SA"/>
              </w:rPr>
              <w:t>表</w:t>
            </w:r>
            <w:r>
              <w:rPr>
                <w:rFonts w:hint="eastAsia" w:eastAsia="宋体" w:cs="Times New Roman"/>
                <w:b w:val="0"/>
                <w:bCs w:val="0"/>
                <w:color w:val="auto"/>
                <w:kern w:val="0"/>
                <w:sz w:val="21"/>
                <w:szCs w:val="21"/>
                <w:highlight w:val="none"/>
                <w:u w:val="single"/>
                <w:vertAlign w:val="baseline"/>
                <w:lang w:val="en-US" w:eastAsia="zh-CN" w:bidi="ar-SA"/>
              </w:rPr>
              <w:t xml:space="preserve">1-3   </w:t>
            </w:r>
            <w:r>
              <w:rPr>
                <w:rFonts w:hint="eastAsia" w:eastAsia="宋体" w:cs="Times New Roman"/>
                <w:b w:val="0"/>
                <w:bCs w:val="0"/>
                <w:color w:val="auto"/>
                <w:kern w:val="0"/>
                <w:sz w:val="21"/>
                <w:szCs w:val="21"/>
                <w:highlight w:val="none"/>
                <w:u w:val="single"/>
                <w:vertAlign w:val="baseline"/>
                <w:lang w:val="zh-CN" w:eastAsia="zh-CN" w:bidi="ar-SA"/>
              </w:rPr>
              <w:t>项目与备案相符性分析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2947"/>
              <w:gridCol w:w="3000"/>
              <w:gridCol w:w="912"/>
            </w:tblGrid>
            <w:tr w14:paraId="1D63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noWrap w:val="0"/>
                  <w:vAlign w:val="center"/>
                </w:tcPr>
                <w:p w14:paraId="2F9A50EA">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类别</w:t>
                  </w:r>
                </w:p>
              </w:tc>
              <w:tc>
                <w:tcPr>
                  <w:tcW w:w="1950" w:type="pct"/>
                  <w:noWrap w:val="0"/>
                  <w:vAlign w:val="center"/>
                </w:tcPr>
                <w:p w14:paraId="2BBDC2E5">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备案内容</w:t>
                  </w:r>
                </w:p>
              </w:tc>
              <w:tc>
                <w:tcPr>
                  <w:tcW w:w="1985" w:type="pct"/>
                  <w:noWrap w:val="0"/>
                  <w:vAlign w:val="center"/>
                </w:tcPr>
                <w:p w14:paraId="2DBB4ED0">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项目建设内容</w:t>
                  </w:r>
                </w:p>
              </w:tc>
              <w:tc>
                <w:tcPr>
                  <w:tcW w:w="603" w:type="pct"/>
                  <w:noWrap w:val="0"/>
                  <w:vAlign w:val="center"/>
                </w:tcPr>
                <w:p w14:paraId="3B2BA9B3">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相符性</w:t>
                  </w:r>
                </w:p>
              </w:tc>
            </w:tr>
            <w:tr w14:paraId="6CC1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60" w:type="pct"/>
                  <w:noWrap w:val="0"/>
                  <w:vAlign w:val="center"/>
                </w:tcPr>
                <w:p w14:paraId="793115F1">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项目名称</w:t>
                  </w:r>
                </w:p>
              </w:tc>
              <w:tc>
                <w:tcPr>
                  <w:tcW w:w="1950" w:type="pct"/>
                  <w:noWrap w:val="0"/>
                  <w:vAlign w:val="center"/>
                </w:tcPr>
                <w:p w14:paraId="070E436B">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濮阳市中原锐实达石油设备有限公司年产800套石油设备项目</w:t>
                  </w:r>
                </w:p>
              </w:tc>
              <w:tc>
                <w:tcPr>
                  <w:tcW w:w="1985" w:type="pct"/>
                  <w:noWrap w:val="0"/>
                  <w:vAlign w:val="center"/>
                </w:tcPr>
                <w:p w14:paraId="386288D0">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濮阳市中原锐实达石油设备有限公司年产800套石油设备项目</w:t>
                  </w:r>
                </w:p>
              </w:tc>
              <w:tc>
                <w:tcPr>
                  <w:tcW w:w="603" w:type="pct"/>
                  <w:noWrap w:val="0"/>
                  <w:vAlign w:val="center"/>
                </w:tcPr>
                <w:p w14:paraId="160A5049">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相符</w:t>
                  </w:r>
                </w:p>
              </w:tc>
            </w:tr>
            <w:tr w14:paraId="08E4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noWrap w:val="0"/>
                  <w:vAlign w:val="center"/>
                </w:tcPr>
                <w:p w14:paraId="183941DD">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建设单位</w:t>
                  </w:r>
                </w:p>
              </w:tc>
              <w:tc>
                <w:tcPr>
                  <w:tcW w:w="1950" w:type="pct"/>
                  <w:noWrap w:val="0"/>
                  <w:vAlign w:val="center"/>
                </w:tcPr>
                <w:p w14:paraId="6173E84E">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濮阳市中原锐实达石油设备有限公司</w:t>
                  </w:r>
                </w:p>
              </w:tc>
              <w:tc>
                <w:tcPr>
                  <w:tcW w:w="1985" w:type="pct"/>
                  <w:noWrap w:val="0"/>
                  <w:vAlign w:val="center"/>
                </w:tcPr>
                <w:p w14:paraId="02FB613C">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濮阳市中原锐实达石油设备有限公司</w:t>
                  </w:r>
                </w:p>
              </w:tc>
              <w:tc>
                <w:tcPr>
                  <w:tcW w:w="603" w:type="pct"/>
                  <w:noWrap w:val="0"/>
                  <w:vAlign w:val="center"/>
                </w:tcPr>
                <w:p w14:paraId="44E15560">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相符</w:t>
                  </w:r>
                </w:p>
              </w:tc>
            </w:tr>
            <w:tr w14:paraId="01AC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60" w:type="pct"/>
                  <w:noWrap w:val="0"/>
                  <w:vAlign w:val="center"/>
                </w:tcPr>
                <w:p w14:paraId="010E177C">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建设地点</w:t>
                  </w:r>
                </w:p>
              </w:tc>
              <w:tc>
                <w:tcPr>
                  <w:tcW w:w="1950" w:type="pct"/>
                  <w:noWrap w:val="0"/>
                  <w:vAlign w:val="center"/>
                </w:tcPr>
                <w:p w14:paraId="46689D76">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濮阳市清丰县先进制造业开发区规划一路东段</w:t>
                  </w:r>
                </w:p>
              </w:tc>
              <w:tc>
                <w:tcPr>
                  <w:tcW w:w="1985" w:type="pct"/>
                  <w:noWrap w:val="0"/>
                  <w:vAlign w:val="center"/>
                </w:tcPr>
                <w:p w14:paraId="3A7981C0">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濮阳市清丰县先进制造业开发区规划一路东段</w:t>
                  </w:r>
                </w:p>
              </w:tc>
              <w:tc>
                <w:tcPr>
                  <w:tcW w:w="603" w:type="pct"/>
                  <w:noWrap w:val="0"/>
                  <w:vAlign w:val="center"/>
                </w:tcPr>
                <w:p w14:paraId="12E9AC84">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相符</w:t>
                  </w:r>
                </w:p>
              </w:tc>
            </w:tr>
            <w:tr w14:paraId="4AE4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noWrap w:val="0"/>
                  <w:vAlign w:val="center"/>
                </w:tcPr>
                <w:p w14:paraId="5867F2E9">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建设性质</w:t>
                  </w:r>
                </w:p>
              </w:tc>
              <w:tc>
                <w:tcPr>
                  <w:tcW w:w="1950" w:type="pct"/>
                  <w:noWrap w:val="0"/>
                  <w:vAlign w:val="center"/>
                </w:tcPr>
                <w:p w14:paraId="7C2AE689">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u w:val="single"/>
                      <w:lang w:val="en-US" w:eastAsia="zh-CN"/>
                    </w:rPr>
                  </w:pPr>
                  <w:r>
                    <w:rPr>
                      <w:rFonts w:hint="eastAsia" w:cs="Times New Roman"/>
                      <w:b w:val="0"/>
                      <w:bCs w:val="0"/>
                      <w:color w:val="auto"/>
                      <w:kern w:val="0"/>
                      <w:sz w:val="21"/>
                      <w:szCs w:val="21"/>
                      <w:u w:val="single"/>
                      <w:lang w:val="en-US" w:eastAsia="zh-CN"/>
                    </w:rPr>
                    <w:t>新建</w:t>
                  </w:r>
                </w:p>
              </w:tc>
              <w:tc>
                <w:tcPr>
                  <w:tcW w:w="1985" w:type="pct"/>
                  <w:noWrap w:val="0"/>
                  <w:vAlign w:val="center"/>
                </w:tcPr>
                <w:p w14:paraId="145DE01B">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b w:val="0"/>
                      <w:bCs w:val="0"/>
                      <w:color w:val="auto"/>
                      <w:kern w:val="0"/>
                      <w:sz w:val="21"/>
                      <w:szCs w:val="21"/>
                      <w:u w:val="single"/>
                      <w:lang w:val="en-US" w:eastAsia="zh-CN"/>
                    </w:rPr>
                  </w:pPr>
                  <w:r>
                    <w:rPr>
                      <w:rFonts w:hint="eastAsia" w:cs="Times New Roman"/>
                      <w:b w:val="0"/>
                      <w:bCs w:val="0"/>
                      <w:color w:val="auto"/>
                      <w:kern w:val="0"/>
                      <w:sz w:val="21"/>
                      <w:szCs w:val="21"/>
                      <w:u w:val="single"/>
                      <w:lang w:val="en-US" w:eastAsia="zh-CN"/>
                    </w:rPr>
                    <w:t>新建</w:t>
                  </w:r>
                </w:p>
              </w:tc>
              <w:tc>
                <w:tcPr>
                  <w:tcW w:w="603" w:type="pct"/>
                  <w:noWrap w:val="0"/>
                  <w:vAlign w:val="center"/>
                </w:tcPr>
                <w:p w14:paraId="7FF2ECAC">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相符</w:t>
                  </w:r>
                </w:p>
              </w:tc>
            </w:tr>
            <w:tr w14:paraId="5E4B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60" w:type="pct"/>
                  <w:noWrap w:val="0"/>
                  <w:vAlign w:val="center"/>
                </w:tcPr>
                <w:p w14:paraId="74C7334D">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投资</w:t>
                  </w:r>
                </w:p>
              </w:tc>
              <w:tc>
                <w:tcPr>
                  <w:tcW w:w="1950" w:type="pct"/>
                  <w:noWrap w:val="0"/>
                  <w:vAlign w:val="center"/>
                </w:tcPr>
                <w:p w14:paraId="78F26415">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b w:val="0"/>
                      <w:bCs w:val="0"/>
                      <w:color w:val="auto"/>
                      <w:kern w:val="0"/>
                      <w:sz w:val="21"/>
                      <w:szCs w:val="21"/>
                      <w:u w:val="single"/>
                      <w:lang w:val="en-US" w:eastAsia="zh-CN"/>
                    </w:rPr>
                  </w:pPr>
                  <w:r>
                    <w:rPr>
                      <w:rFonts w:hint="eastAsia" w:cs="Times New Roman"/>
                      <w:b w:val="0"/>
                      <w:bCs w:val="0"/>
                      <w:color w:val="auto"/>
                      <w:kern w:val="0"/>
                      <w:sz w:val="21"/>
                      <w:szCs w:val="21"/>
                      <w:u w:val="single"/>
                      <w:lang w:val="en-US" w:eastAsia="zh-CN"/>
                    </w:rPr>
                    <w:t>14000万元</w:t>
                  </w:r>
                </w:p>
              </w:tc>
              <w:tc>
                <w:tcPr>
                  <w:tcW w:w="1985" w:type="pct"/>
                  <w:noWrap w:val="0"/>
                  <w:vAlign w:val="center"/>
                </w:tcPr>
                <w:p w14:paraId="34EC03B5">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jc w:val="center"/>
                    <w:textAlignment w:val="auto"/>
                    <w:rPr>
                      <w:rFonts w:hint="default" w:ascii="Times New Roman" w:hAnsi="Times New Roman" w:cs="Times New Roman"/>
                      <w:b w:val="0"/>
                      <w:bCs w:val="0"/>
                      <w:color w:val="auto"/>
                      <w:kern w:val="0"/>
                      <w:sz w:val="21"/>
                      <w:szCs w:val="21"/>
                      <w:u w:val="single"/>
                      <w:lang w:val="zh-CN"/>
                    </w:rPr>
                  </w:pPr>
                  <w:r>
                    <w:rPr>
                      <w:rFonts w:hint="eastAsia" w:cs="Times New Roman"/>
                      <w:b w:val="0"/>
                      <w:bCs w:val="0"/>
                      <w:color w:val="auto"/>
                      <w:kern w:val="0"/>
                      <w:sz w:val="21"/>
                      <w:szCs w:val="21"/>
                      <w:u w:val="single"/>
                      <w:lang w:val="en-US" w:eastAsia="zh-CN"/>
                    </w:rPr>
                    <w:t>14000万元</w:t>
                  </w:r>
                </w:p>
              </w:tc>
              <w:tc>
                <w:tcPr>
                  <w:tcW w:w="603" w:type="pct"/>
                  <w:noWrap w:val="0"/>
                  <w:vAlign w:val="center"/>
                </w:tcPr>
                <w:p w14:paraId="4D337C5D">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相符</w:t>
                  </w:r>
                </w:p>
              </w:tc>
            </w:tr>
            <w:tr w14:paraId="7430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460" w:type="pct"/>
                  <w:noWrap w:val="0"/>
                  <w:vAlign w:val="center"/>
                </w:tcPr>
                <w:p w14:paraId="4AC29470">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u w:val="single"/>
                      <w:lang w:val="zh-CN"/>
                    </w:rPr>
                  </w:pPr>
                  <w:r>
                    <w:rPr>
                      <w:rFonts w:hint="default" w:ascii="Times New Roman" w:hAnsi="Times New Roman" w:cs="Times New Roman"/>
                      <w:b w:val="0"/>
                      <w:bCs w:val="0"/>
                      <w:color w:val="auto"/>
                      <w:kern w:val="0"/>
                      <w:sz w:val="21"/>
                      <w:szCs w:val="21"/>
                      <w:u w:val="single"/>
                      <w:lang w:val="zh-CN"/>
                    </w:rPr>
                    <w:t>建设规模及内容</w:t>
                  </w:r>
                </w:p>
              </w:tc>
              <w:tc>
                <w:tcPr>
                  <w:tcW w:w="1950" w:type="pct"/>
                  <w:noWrap w:val="0"/>
                  <w:vAlign w:val="center"/>
                </w:tcPr>
                <w:p w14:paraId="5B597B65">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both"/>
                    <w:textAlignment w:val="auto"/>
                    <w:rPr>
                      <w:rFonts w:hint="default" w:ascii="Times New Roman" w:hAnsi="Times New Roman" w:eastAsia="宋体" w:cs="Times New Roman"/>
                      <w:b w:val="0"/>
                      <w:bCs w:val="0"/>
                      <w:color w:val="auto"/>
                      <w:kern w:val="0"/>
                      <w:sz w:val="21"/>
                      <w:szCs w:val="21"/>
                      <w:u w:val="single"/>
                      <w:vertAlign w:val="baseline"/>
                      <w:lang w:eastAsia="zh-CN"/>
                    </w:rPr>
                  </w:pPr>
                  <w:r>
                    <w:rPr>
                      <w:rFonts w:hint="default" w:ascii="Times New Roman" w:hAnsi="Times New Roman" w:eastAsia="宋体" w:cs="Times New Roman"/>
                      <w:b w:val="0"/>
                      <w:bCs w:val="0"/>
                      <w:color w:val="auto"/>
                      <w:kern w:val="0"/>
                      <w:sz w:val="21"/>
                      <w:szCs w:val="21"/>
                      <w:u w:val="single"/>
                      <w:vertAlign w:val="baseline"/>
                      <w:lang w:eastAsia="zh-CN"/>
                    </w:rPr>
                    <w:t>主要建设标准化厂房</w:t>
                  </w:r>
                  <w:r>
                    <w:rPr>
                      <w:rFonts w:hint="eastAsia" w:cs="Times New Roman"/>
                      <w:b w:val="0"/>
                      <w:bCs w:val="0"/>
                      <w:color w:val="auto"/>
                      <w:kern w:val="0"/>
                      <w:sz w:val="21"/>
                      <w:szCs w:val="21"/>
                      <w:u w:val="single"/>
                      <w:vertAlign w:val="baseline"/>
                      <w:lang w:val="en-US" w:eastAsia="zh-CN"/>
                    </w:rPr>
                    <w:t>2</w:t>
                  </w:r>
                  <w:r>
                    <w:rPr>
                      <w:rFonts w:hint="default" w:ascii="Times New Roman" w:hAnsi="Times New Roman" w:eastAsia="宋体" w:cs="Times New Roman"/>
                      <w:b w:val="0"/>
                      <w:bCs w:val="0"/>
                      <w:color w:val="auto"/>
                      <w:kern w:val="0"/>
                      <w:sz w:val="21"/>
                      <w:szCs w:val="21"/>
                      <w:u w:val="single"/>
                      <w:vertAlign w:val="baseline"/>
                      <w:lang w:eastAsia="zh-CN"/>
                    </w:rPr>
                    <w:t>栋、研发办公用房1栋，新上生产线4条。主要生产制造油气勘探开发固控系统、废弃物处理设备等产品。生产工艺：研发-设计-焊接-组装-防锈处理-检验-成品。主要生产设备：焊机、行吊、切割机等。</w:t>
                  </w:r>
                </w:p>
              </w:tc>
              <w:tc>
                <w:tcPr>
                  <w:tcW w:w="1985" w:type="pct"/>
                  <w:noWrap w:val="0"/>
                  <w:vAlign w:val="center"/>
                </w:tcPr>
                <w:p w14:paraId="67622E37">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left"/>
                    <w:textAlignment w:val="auto"/>
                    <w:rPr>
                      <w:rFonts w:hint="default" w:ascii="Times New Roman" w:hAnsi="Times New Roman" w:cs="Times New Roman"/>
                      <w:b w:val="0"/>
                      <w:bCs w:val="0"/>
                      <w:color w:val="auto"/>
                      <w:kern w:val="0"/>
                      <w:sz w:val="21"/>
                      <w:szCs w:val="21"/>
                      <w:u w:val="single"/>
                    </w:rPr>
                  </w:pPr>
                  <w:r>
                    <w:rPr>
                      <w:rFonts w:hint="default" w:ascii="Times New Roman" w:hAnsi="Times New Roman" w:eastAsia="宋体" w:cs="Times New Roman"/>
                      <w:b w:val="0"/>
                      <w:bCs w:val="0"/>
                      <w:color w:val="auto"/>
                      <w:kern w:val="0"/>
                      <w:sz w:val="21"/>
                      <w:szCs w:val="21"/>
                      <w:u w:val="single"/>
                      <w:vertAlign w:val="baseline"/>
                      <w:lang w:eastAsia="zh-CN"/>
                    </w:rPr>
                    <w:t>主要建设标准化厂房</w:t>
                  </w:r>
                  <w:r>
                    <w:rPr>
                      <w:rFonts w:hint="eastAsia" w:cs="Times New Roman"/>
                      <w:b w:val="0"/>
                      <w:bCs w:val="0"/>
                      <w:color w:val="auto"/>
                      <w:kern w:val="0"/>
                      <w:sz w:val="21"/>
                      <w:szCs w:val="21"/>
                      <w:u w:val="single"/>
                      <w:vertAlign w:val="baseline"/>
                      <w:lang w:val="en-US" w:eastAsia="zh-CN"/>
                    </w:rPr>
                    <w:t>2</w:t>
                  </w:r>
                  <w:r>
                    <w:rPr>
                      <w:rFonts w:hint="default" w:ascii="Times New Roman" w:hAnsi="Times New Roman" w:eastAsia="宋体" w:cs="Times New Roman"/>
                      <w:b w:val="0"/>
                      <w:bCs w:val="0"/>
                      <w:color w:val="auto"/>
                      <w:kern w:val="0"/>
                      <w:sz w:val="21"/>
                      <w:szCs w:val="21"/>
                      <w:u w:val="single"/>
                      <w:vertAlign w:val="baseline"/>
                      <w:lang w:eastAsia="zh-CN"/>
                    </w:rPr>
                    <w:t>栋、研发办公用房1栋，新上生产线4条。主要生产制造油气勘探开发固控系统、废弃物处理设备等产品。生产工艺：研发-设计-焊接-组装-防锈处理-检验-成品。主要生产设备：焊机、行吊、切割机等。</w:t>
                  </w:r>
                </w:p>
              </w:tc>
              <w:tc>
                <w:tcPr>
                  <w:tcW w:w="603" w:type="pct"/>
                  <w:noWrap w:val="0"/>
                  <w:vAlign w:val="center"/>
                </w:tcPr>
                <w:p w14:paraId="3B0B1365">
                  <w:pPr>
                    <w:keepNext w:val="0"/>
                    <w:keepLines w:val="0"/>
                    <w:pageBreakBefore w:val="0"/>
                    <w:widowControl w:val="0"/>
                    <w:kinsoku/>
                    <w:wordWrap/>
                    <w:overflowPunct/>
                    <w:topLinePunct w:val="0"/>
                    <w:autoSpaceDE w:val="0"/>
                    <w:autoSpaceDN w:val="0"/>
                    <w:bidi w:val="0"/>
                    <w:adjustRightInd w:val="0"/>
                    <w:snapToGri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u w:val="single"/>
                      <w:lang w:val="en-US" w:eastAsia="zh-CN"/>
                    </w:rPr>
                  </w:pPr>
                  <w:r>
                    <w:rPr>
                      <w:rFonts w:hint="eastAsia" w:cs="Times New Roman"/>
                      <w:b w:val="0"/>
                      <w:bCs w:val="0"/>
                      <w:color w:val="auto"/>
                      <w:kern w:val="0"/>
                      <w:sz w:val="21"/>
                      <w:szCs w:val="21"/>
                      <w:u w:val="single"/>
                      <w:lang w:val="en-US" w:eastAsia="zh-CN"/>
                    </w:rPr>
                    <w:t>相符</w:t>
                  </w:r>
                </w:p>
              </w:tc>
            </w:tr>
          </w:tbl>
          <w:p w14:paraId="41145D72">
            <w:pPr>
              <w:keepNext w:val="0"/>
              <w:keepLines w:val="0"/>
              <w:pageBreakBefore w:val="0"/>
              <w:kinsoku/>
              <w:wordWrap/>
              <w:overflowPunct/>
              <w:topLinePunct w:val="0"/>
              <w:autoSpaceDE w:val="0"/>
              <w:autoSpaceDN w:val="0"/>
              <w:bidi w:val="0"/>
              <w:adjustRightInd w:val="0"/>
              <w:snapToGrid w:val="0"/>
              <w:spacing w:line="520" w:lineRule="atLeast"/>
              <w:ind w:right="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三线一单</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符合性判定</w:t>
            </w:r>
          </w:p>
          <w:p w14:paraId="42C663E6">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jc w:val="both"/>
              <w:textAlignment w:val="baseline"/>
              <w:rPr>
                <w:rFonts w:hint="default" w:ascii="Times New Roman" w:hAnsi="Times New Roman" w:eastAsia="宋体" w:cs="Times New Roman"/>
                <w:b w:val="0"/>
                <w:bCs w:val="0"/>
                <w:color w:val="auto"/>
                <w:kern w:val="0"/>
                <w:sz w:val="24"/>
                <w:szCs w:val="24"/>
                <w:highlight w:val="none"/>
                <w:vertAlign w:val="baseline"/>
              </w:rPr>
            </w:pPr>
            <w:r>
              <w:rPr>
                <w:rFonts w:hint="default" w:ascii="Times New Roman" w:hAnsi="Times New Roman" w:eastAsia="宋体" w:cs="Times New Roman"/>
                <w:b w:val="0"/>
                <w:bCs w:val="0"/>
                <w:color w:val="auto"/>
                <w:kern w:val="0"/>
                <w:sz w:val="24"/>
                <w:szCs w:val="24"/>
                <w:highlight w:val="none"/>
                <w:vertAlign w:val="baseline"/>
                <w:lang w:eastAsia="zh-CN"/>
              </w:rPr>
              <w:t>（</w:t>
            </w:r>
            <w:r>
              <w:rPr>
                <w:rFonts w:hint="default" w:ascii="Times New Roman" w:hAnsi="Times New Roman" w:eastAsia="宋体" w:cs="Times New Roman"/>
                <w:b w:val="0"/>
                <w:bCs w:val="0"/>
                <w:color w:val="auto"/>
                <w:kern w:val="0"/>
                <w:sz w:val="24"/>
                <w:szCs w:val="24"/>
                <w:highlight w:val="none"/>
                <w:vertAlign w:val="baseline"/>
                <w:lang w:val="en-US" w:eastAsia="zh-CN"/>
              </w:rPr>
              <w:t>1</w:t>
            </w:r>
            <w:r>
              <w:rPr>
                <w:rFonts w:hint="default" w:ascii="Times New Roman" w:hAnsi="Times New Roman" w:eastAsia="宋体" w:cs="Times New Roman"/>
                <w:b w:val="0"/>
                <w:bCs w:val="0"/>
                <w:color w:val="auto"/>
                <w:kern w:val="0"/>
                <w:sz w:val="24"/>
                <w:szCs w:val="24"/>
                <w:highlight w:val="none"/>
                <w:vertAlign w:val="baseline"/>
                <w:lang w:eastAsia="zh-CN"/>
              </w:rPr>
              <w:t>）</w:t>
            </w:r>
            <w:r>
              <w:rPr>
                <w:rFonts w:hint="default" w:ascii="Times New Roman" w:hAnsi="Times New Roman" w:eastAsia="宋体" w:cs="Times New Roman"/>
                <w:b w:val="0"/>
                <w:bCs w:val="0"/>
                <w:color w:val="auto"/>
                <w:kern w:val="0"/>
                <w:sz w:val="24"/>
                <w:szCs w:val="24"/>
                <w:highlight w:val="none"/>
                <w:vertAlign w:val="baseline"/>
              </w:rPr>
              <w:t>生态保护红线</w:t>
            </w:r>
          </w:p>
          <w:p w14:paraId="731282E7">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default" w:ascii="Times New Roman" w:hAnsi="Times New Roman" w:eastAsia="宋体" w:cs="Times New Roman"/>
                <w:b w:val="0"/>
                <w:bCs w:val="0"/>
                <w:color w:val="auto"/>
                <w:kern w:val="0"/>
                <w:sz w:val="24"/>
                <w:szCs w:val="24"/>
                <w:highlight w:val="none"/>
                <w:u w:val="none"/>
                <w:vertAlign w:val="baseline"/>
              </w:rPr>
            </w:pPr>
            <w:r>
              <w:rPr>
                <w:rFonts w:hint="default" w:ascii="Times New Roman" w:hAnsi="Times New Roman" w:eastAsia="宋体" w:cs="Times New Roman"/>
                <w:b w:val="0"/>
                <w:bCs w:val="0"/>
                <w:color w:val="auto"/>
                <w:kern w:val="0"/>
                <w:sz w:val="24"/>
                <w:szCs w:val="24"/>
                <w:highlight w:val="none"/>
                <w:u w:val="none"/>
                <w:vertAlign w:val="baseline"/>
              </w:rPr>
              <w:t>本项目位于</w:t>
            </w:r>
            <w:r>
              <w:rPr>
                <w:rFonts w:hint="eastAsia" w:cs="Times New Roman"/>
                <w:color w:val="auto"/>
                <w:sz w:val="24"/>
                <w:szCs w:val="24"/>
                <w:highlight w:val="none"/>
                <w:lang w:eastAsia="zh-CN"/>
              </w:rPr>
              <w:t>濮阳市清丰县先进制造业开发区规划一路东段</w:t>
            </w:r>
            <w:r>
              <w:rPr>
                <w:rFonts w:hint="eastAsia" w:cs="Times New Roman"/>
                <w:b w:val="0"/>
                <w:bCs w:val="0"/>
                <w:color w:val="auto"/>
                <w:kern w:val="0"/>
                <w:sz w:val="24"/>
                <w:szCs w:val="24"/>
                <w:highlight w:val="none"/>
                <w:u w:val="none"/>
                <w:vertAlign w:val="baseline"/>
                <w:lang w:eastAsia="zh-CN"/>
              </w:rPr>
              <w:t>，</w:t>
            </w:r>
            <w:r>
              <w:rPr>
                <w:rFonts w:hint="eastAsia" w:cs="Times New Roman"/>
                <w:b w:val="0"/>
                <w:bCs w:val="0"/>
                <w:color w:val="auto"/>
                <w:kern w:val="0"/>
                <w:sz w:val="24"/>
                <w:szCs w:val="24"/>
                <w:highlight w:val="none"/>
                <w:u w:val="none"/>
                <w:vertAlign w:val="baseline"/>
                <w:lang w:val="en-US" w:eastAsia="zh-CN"/>
              </w:rPr>
              <w:t>根据“河南省三线一单综合信息应用平台”研判分析结果，评价项目影响范围内无自然保护区、风景名胜区、森林公园、地质公园、重要湿地等特殊生态敏感区以及重要生态敏感区，项目的建设不涉及生态保护红线、不涉及生态保护红线管控区，因此，本次规划范围与濮阳市生态保护红线不冲突</w:t>
            </w:r>
            <w:r>
              <w:rPr>
                <w:rFonts w:hint="default" w:ascii="Times New Roman" w:hAnsi="Times New Roman" w:eastAsia="宋体" w:cs="Times New Roman"/>
                <w:b w:val="0"/>
                <w:bCs w:val="0"/>
                <w:color w:val="auto"/>
                <w:kern w:val="0"/>
                <w:sz w:val="24"/>
                <w:szCs w:val="24"/>
                <w:highlight w:val="none"/>
                <w:u w:val="none"/>
                <w:vertAlign w:val="baseline"/>
              </w:rPr>
              <w:t>。</w:t>
            </w:r>
          </w:p>
          <w:p w14:paraId="046A4FBF">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default" w:ascii="Times New Roman" w:hAnsi="Times New Roman" w:eastAsia="宋体" w:cs="Times New Roman"/>
                <w:b w:val="0"/>
                <w:bCs w:val="0"/>
                <w:color w:val="auto"/>
                <w:kern w:val="0"/>
                <w:sz w:val="24"/>
                <w:szCs w:val="24"/>
                <w:highlight w:val="none"/>
                <w:u w:val="none"/>
                <w:vertAlign w:val="baseline"/>
                <w:lang w:eastAsia="zh-CN"/>
              </w:rPr>
            </w:pPr>
            <w:r>
              <w:rPr>
                <w:rFonts w:hint="default" w:ascii="Times New Roman" w:hAnsi="Times New Roman" w:eastAsia="宋体" w:cs="Times New Roman"/>
                <w:b w:val="0"/>
                <w:bCs w:val="0"/>
                <w:color w:val="auto"/>
                <w:kern w:val="0"/>
                <w:sz w:val="24"/>
                <w:szCs w:val="24"/>
                <w:highlight w:val="none"/>
                <w:u w:val="none"/>
                <w:vertAlign w:val="baseline"/>
                <w:lang w:eastAsia="zh-CN"/>
              </w:rPr>
              <w:t>（</w:t>
            </w:r>
            <w:r>
              <w:rPr>
                <w:rFonts w:hint="default" w:ascii="Times New Roman" w:hAnsi="Times New Roman" w:eastAsia="宋体" w:cs="Times New Roman"/>
                <w:b w:val="0"/>
                <w:bCs w:val="0"/>
                <w:color w:val="auto"/>
                <w:kern w:val="0"/>
                <w:sz w:val="24"/>
                <w:szCs w:val="24"/>
                <w:highlight w:val="none"/>
                <w:u w:val="none"/>
                <w:vertAlign w:val="baseline"/>
                <w:lang w:val="en-US" w:eastAsia="zh-CN"/>
              </w:rPr>
              <w:t>2</w:t>
            </w:r>
            <w:r>
              <w:rPr>
                <w:rFonts w:hint="default" w:ascii="Times New Roman" w:hAnsi="Times New Roman" w:eastAsia="宋体" w:cs="Times New Roman"/>
                <w:b w:val="0"/>
                <w:bCs w:val="0"/>
                <w:color w:val="auto"/>
                <w:kern w:val="0"/>
                <w:sz w:val="24"/>
                <w:szCs w:val="24"/>
                <w:highlight w:val="none"/>
                <w:u w:val="none"/>
                <w:vertAlign w:val="baseline"/>
                <w:lang w:eastAsia="zh-CN"/>
              </w:rPr>
              <w:t>）资源利用上线</w:t>
            </w:r>
          </w:p>
          <w:p w14:paraId="4B4300F3">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default" w:ascii="Times New Roman" w:hAnsi="Times New Roman" w:eastAsia="宋体" w:cs="Times New Roman"/>
                <w:b w:val="0"/>
                <w:bCs w:val="0"/>
                <w:color w:val="auto"/>
                <w:kern w:val="0"/>
                <w:sz w:val="24"/>
                <w:szCs w:val="24"/>
                <w:highlight w:val="none"/>
                <w:u w:val="none"/>
                <w:vertAlign w:val="baseline"/>
                <w:lang w:eastAsia="zh-CN"/>
              </w:rPr>
            </w:pPr>
            <w:r>
              <w:rPr>
                <w:rFonts w:hint="default" w:ascii="Times New Roman" w:hAnsi="Times New Roman" w:eastAsia="宋体" w:cs="Times New Roman"/>
                <w:b w:val="0"/>
                <w:bCs w:val="0"/>
                <w:color w:val="auto"/>
                <w:kern w:val="0"/>
                <w:sz w:val="24"/>
                <w:szCs w:val="24"/>
                <w:highlight w:val="none"/>
                <w:u w:val="none"/>
                <w:vertAlign w:val="baseline"/>
                <w:lang w:eastAsia="zh-CN"/>
              </w:rPr>
              <w:t>本项目采用的能源主要为水、电，项目建成运行后通过内部管理、设备选择、原辅材料的选用和管理、废物回收利用、污染治理等多方面措施，可使产生的污染物得到有效</w:t>
            </w:r>
            <w:r>
              <w:rPr>
                <w:rFonts w:hint="eastAsia" w:cs="Times New Roman"/>
                <w:b w:val="0"/>
                <w:bCs w:val="0"/>
                <w:color w:val="auto"/>
                <w:kern w:val="0"/>
                <w:sz w:val="24"/>
                <w:szCs w:val="24"/>
                <w:highlight w:val="none"/>
                <w:u w:val="none"/>
                <w:vertAlign w:val="baseline"/>
                <w:lang w:eastAsia="zh-CN"/>
              </w:rPr>
              <w:t>的</w:t>
            </w:r>
            <w:r>
              <w:rPr>
                <w:rFonts w:hint="default" w:ascii="Times New Roman" w:hAnsi="Times New Roman" w:eastAsia="宋体" w:cs="Times New Roman"/>
                <w:b w:val="0"/>
                <w:bCs w:val="0"/>
                <w:color w:val="auto"/>
                <w:kern w:val="0"/>
                <w:sz w:val="24"/>
                <w:szCs w:val="24"/>
                <w:highlight w:val="none"/>
                <w:u w:val="none"/>
                <w:vertAlign w:val="baseline"/>
                <w:lang w:eastAsia="zh-CN"/>
              </w:rPr>
              <w:t>处置，符合清洁生产相关要求。项目对资源的使用较少，利用率较高，不触及资源利用上线。</w:t>
            </w:r>
          </w:p>
          <w:p w14:paraId="1B683490">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default" w:ascii="Times New Roman" w:hAnsi="Times New Roman" w:eastAsia="宋体" w:cs="Times New Roman"/>
                <w:b w:val="0"/>
                <w:bCs w:val="0"/>
                <w:color w:val="auto"/>
                <w:kern w:val="0"/>
                <w:sz w:val="24"/>
                <w:szCs w:val="24"/>
                <w:highlight w:val="none"/>
                <w:vertAlign w:val="baseline"/>
                <w:lang w:eastAsia="zh-CN"/>
              </w:rPr>
            </w:pPr>
            <w:r>
              <w:rPr>
                <w:rFonts w:hint="default" w:ascii="Times New Roman" w:hAnsi="Times New Roman" w:eastAsia="宋体" w:cs="Times New Roman"/>
                <w:b w:val="0"/>
                <w:bCs w:val="0"/>
                <w:color w:val="auto"/>
                <w:kern w:val="0"/>
                <w:sz w:val="24"/>
                <w:szCs w:val="24"/>
                <w:highlight w:val="none"/>
                <w:vertAlign w:val="baseline"/>
                <w:lang w:eastAsia="zh-CN"/>
              </w:rPr>
              <w:t>（</w:t>
            </w:r>
            <w:r>
              <w:rPr>
                <w:rFonts w:hint="default" w:ascii="Times New Roman" w:hAnsi="Times New Roman" w:eastAsia="宋体" w:cs="Times New Roman"/>
                <w:b w:val="0"/>
                <w:bCs w:val="0"/>
                <w:color w:val="auto"/>
                <w:kern w:val="0"/>
                <w:sz w:val="24"/>
                <w:szCs w:val="24"/>
                <w:highlight w:val="none"/>
                <w:vertAlign w:val="baseline"/>
                <w:lang w:val="en-US" w:eastAsia="zh-CN"/>
              </w:rPr>
              <w:t>3</w:t>
            </w:r>
            <w:r>
              <w:rPr>
                <w:rFonts w:hint="default" w:ascii="Times New Roman" w:hAnsi="Times New Roman" w:eastAsia="宋体" w:cs="Times New Roman"/>
                <w:b w:val="0"/>
                <w:bCs w:val="0"/>
                <w:color w:val="auto"/>
                <w:kern w:val="0"/>
                <w:sz w:val="24"/>
                <w:szCs w:val="24"/>
                <w:highlight w:val="none"/>
                <w:vertAlign w:val="baseline"/>
                <w:lang w:eastAsia="zh-CN"/>
              </w:rPr>
              <w:t>）环境质量底线</w:t>
            </w:r>
          </w:p>
          <w:p w14:paraId="6C07D7E9">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default" w:ascii="Times New Roman" w:hAnsi="Times New Roman" w:eastAsia="宋体" w:cs="Times New Roman"/>
                <w:b w:val="0"/>
                <w:bCs w:val="0"/>
                <w:color w:val="auto"/>
                <w:kern w:val="0"/>
                <w:sz w:val="24"/>
                <w:szCs w:val="24"/>
                <w:highlight w:val="none"/>
                <w:u w:val="none"/>
                <w:vertAlign w:val="baseline"/>
              </w:rPr>
            </w:pPr>
            <w:r>
              <w:rPr>
                <w:rFonts w:hint="default" w:ascii="Times New Roman" w:hAnsi="Times New Roman" w:eastAsia="宋体" w:cs="Times New Roman"/>
                <w:b w:val="0"/>
                <w:bCs w:val="0"/>
                <w:color w:val="auto"/>
                <w:kern w:val="0"/>
                <w:sz w:val="24"/>
                <w:szCs w:val="24"/>
                <w:highlight w:val="none"/>
                <w:u w:val="none"/>
                <w:vertAlign w:val="baseline"/>
              </w:rPr>
              <w:t>环境空气：202</w:t>
            </w:r>
            <w:r>
              <w:rPr>
                <w:rFonts w:hint="eastAsia" w:cs="Times New Roman"/>
                <w:b w:val="0"/>
                <w:bCs w:val="0"/>
                <w:color w:val="auto"/>
                <w:kern w:val="0"/>
                <w:sz w:val="24"/>
                <w:szCs w:val="24"/>
                <w:highlight w:val="none"/>
                <w:u w:val="none"/>
                <w:vertAlign w:val="baseline"/>
                <w:lang w:val="en-US" w:eastAsia="zh-CN"/>
              </w:rPr>
              <w:t>4</w:t>
            </w:r>
            <w:r>
              <w:rPr>
                <w:rFonts w:hint="default" w:ascii="Times New Roman" w:hAnsi="Times New Roman" w:eastAsia="宋体" w:cs="Times New Roman"/>
                <w:b w:val="0"/>
                <w:bCs w:val="0"/>
                <w:color w:val="auto"/>
                <w:kern w:val="0"/>
                <w:sz w:val="24"/>
                <w:szCs w:val="24"/>
                <w:highlight w:val="none"/>
                <w:u w:val="none"/>
                <w:vertAlign w:val="baseline"/>
              </w:rPr>
              <w:t>年</w:t>
            </w:r>
            <w:r>
              <w:rPr>
                <w:rFonts w:hint="default" w:ascii="Times New Roman" w:hAnsi="Times New Roman" w:eastAsia="宋体" w:cs="Times New Roman"/>
                <w:b w:val="0"/>
                <w:bCs w:val="0"/>
                <w:color w:val="auto"/>
                <w:kern w:val="0"/>
                <w:sz w:val="24"/>
                <w:szCs w:val="24"/>
                <w:highlight w:val="none"/>
                <w:u w:val="none"/>
                <w:vertAlign w:val="baseline"/>
                <w:lang w:eastAsia="zh-CN"/>
              </w:rPr>
              <w:t>濮阳市</w:t>
            </w:r>
            <w:r>
              <w:rPr>
                <w:rFonts w:hint="default" w:ascii="Times New Roman" w:hAnsi="Times New Roman" w:eastAsia="宋体" w:cs="Times New Roman"/>
                <w:b w:val="0"/>
                <w:bCs w:val="0"/>
                <w:color w:val="auto"/>
                <w:kern w:val="0"/>
                <w:sz w:val="24"/>
                <w:szCs w:val="24"/>
                <w:highlight w:val="none"/>
                <w:u w:val="none"/>
                <w:vertAlign w:val="baseline"/>
              </w:rPr>
              <w:t>区域</w:t>
            </w:r>
            <w:r>
              <w:rPr>
                <w:rFonts w:hint="default" w:ascii="Times New Roman" w:hAnsi="Times New Roman" w:eastAsia="宋体" w:cs="Times New Roman"/>
                <w:color w:val="auto"/>
                <w:sz w:val="24"/>
                <w:highlight w:val="none"/>
                <w:u w:val="none"/>
                <w:lang w:val="en-US" w:eastAsia="zh-CN"/>
              </w:rPr>
              <w:t>PM</w:t>
            </w:r>
            <w:r>
              <w:rPr>
                <w:rFonts w:hint="default" w:ascii="Times New Roman" w:hAnsi="Times New Roman" w:eastAsia="宋体" w:cs="Times New Roman"/>
                <w:color w:val="auto"/>
                <w:sz w:val="24"/>
                <w:highlight w:val="none"/>
                <w:u w:val="none"/>
                <w:vertAlign w:val="subscript"/>
                <w:lang w:val="en-US" w:eastAsia="zh-CN"/>
              </w:rPr>
              <w:t>10</w:t>
            </w:r>
            <w:r>
              <w:rPr>
                <w:rFonts w:hint="default" w:ascii="Times New Roman" w:hAnsi="Times New Roman" w:eastAsia="宋体" w:cs="Times New Roman"/>
                <w:color w:val="auto"/>
                <w:sz w:val="24"/>
                <w:highlight w:val="none"/>
                <w:u w:val="none"/>
                <w:lang w:val="en-US" w:eastAsia="zh-CN"/>
              </w:rPr>
              <w:t>年平均浓度、PM</w:t>
            </w:r>
            <w:r>
              <w:rPr>
                <w:rFonts w:hint="default" w:ascii="Times New Roman" w:hAnsi="Times New Roman" w:eastAsia="宋体" w:cs="Times New Roman"/>
                <w:color w:val="auto"/>
                <w:sz w:val="24"/>
                <w:highlight w:val="none"/>
                <w:u w:val="none"/>
                <w:vertAlign w:val="subscript"/>
                <w:lang w:val="en-US" w:eastAsia="zh-CN"/>
              </w:rPr>
              <w:t>2.5</w:t>
            </w:r>
            <w:r>
              <w:rPr>
                <w:rFonts w:hint="default" w:ascii="Times New Roman" w:hAnsi="Times New Roman" w:eastAsia="宋体" w:cs="Times New Roman"/>
                <w:color w:val="auto"/>
                <w:sz w:val="24"/>
                <w:highlight w:val="none"/>
                <w:u w:val="none"/>
                <w:lang w:val="en-US" w:eastAsia="zh-CN"/>
              </w:rPr>
              <w:t>年平均浓度及第95百分位数日平均质量浓度及O</w:t>
            </w:r>
            <w:r>
              <w:rPr>
                <w:rFonts w:hint="default" w:ascii="Times New Roman" w:hAnsi="Times New Roman" w:eastAsia="宋体" w:cs="Times New Roman"/>
                <w:color w:val="auto"/>
                <w:sz w:val="24"/>
                <w:highlight w:val="none"/>
                <w:u w:val="none"/>
                <w:vertAlign w:val="subscript"/>
                <w:lang w:val="en-US" w:eastAsia="zh-CN"/>
              </w:rPr>
              <w:t>3</w:t>
            </w:r>
            <w:r>
              <w:rPr>
                <w:rFonts w:hint="default" w:ascii="Times New Roman" w:hAnsi="Times New Roman" w:eastAsia="宋体" w:cs="Times New Roman"/>
                <w:color w:val="auto"/>
                <w:sz w:val="24"/>
                <w:highlight w:val="none"/>
                <w:u w:val="none"/>
                <w:lang w:val="en-US" w:eastAsia="zh-CN"/>
              </w:rPr>
              <w:t>日最大8小时平均质量浓度</w:t>
            </w:r>
            <w:r>
              <w:rPr>
                <w:rFonts w:hint="default" w:ascii="Times New Roman" w:hAnsi="Times New Roman" w:eastAsia="宋体" w:cs="Times New Roman"/>
                <w:b w:val="0"/>
                <w:bCs w:val="0"/>
                <w:color w:val="auto"/>
                <w:kern w:val="0"/>
                <w:sz w:val="24"/>
                <w:szCs w:val="24"/>
                <w:highlight w:val="none"/>
                <w:u w:val="none"/>
                <w:vertAlign w:val="baseline"/>
              </w:rPr>
              <w:t>超过《环境空气质量标准》（GB3095-2012）</w:t>
            </w:r>
            <w:r>
              <w:rPr>
                <w:rFonts w:hint="eastAsia" w:cs="Times New Roman"/>
                <w:b w:val="0"/>
                <w:bCs w:val="0"/>
                <w:color w:val="auto"/>
                <w:kern w:val="0"/>
                <w:sz w:val="24"/>
                <w:szCs w:val="24"/>
                <w:highlight w:val="none"/>
                <w:u w:val="none"/>
                <w:vertAlign w:val="baseline"/>
                <w:lang w:val="en-US" w:eastAsia="zh-CN"/>
              </w:rPr>
              <w:t>及修改单</w:t>
            </w:r>
            <w:r>
              <w:rPr>
                <w:rFonts w:hint="default" w:ascii="Times New Roman" w:hAnsi="Times New Roman" w:eastAsia="宋体" w:cs="Times New Roman"/>
                <w:b w:val="0"/>
                <w:bCs w:val="0"/>
                <w:color w:val="auto"/>
                <w:kern w:val="0"/>
                <w:sz w:val="24"/>
                <w:szCs w:val="24"/>
                <w:highlight w:val="none"/>
                <w:u w:val="none"/>
                <w:vertAlign w:val="baseline"/>
              </w:rPr>
              <w:t>中二级标准限值，</w:t>
            </w:r>
            <w:r>
              <w:rPr>
                <w:rFonts w:hint="default" w:ascii="Times New Roman" w:hAnsi="Times New Roman" w:eastAsia="宋体" w:cs="Times New Roman"/>
                <w:b w:val="0"/>
                <w:bCs w:val="0"/>
                <w:color w:val="auto"/>
                <w:kern w:val="0"/>
                <w:sz w:val="24"/>
                <w:szCs w:val="24"/>
                <w:highlight w:val="none"/>
                <w:u w:val="none"/>
                <w:vertAlign w:val="baseline"/>
                <w:lang w:eastAsia="zh-CN"/>
              </w:rPr>
              <w:t>濮阳市</w:t>
            </w:r>
            <w:r>
              <w:rPr>
                <w:rFonts w:hint="default" w:ascii="Times New Roman" w:hAnsi="Times New Roman" w:eastAsia="宋体" w:cs="Times New Roman"/>
                <w:b w:val="0"/>
                <w:bCs w:val="0"/>
                <w:color w:val="auto"/>
                <w:kern w:val="0"/>
                <w:sz w:val="24"/>
                <w:szCs w:val="24"/>
                <w:highlight w:val="none"/>
                <w:u w:val="none"/>
                <w:vertAlign w:val="baseline"/>
              </w:rPr>
              <w:t>区域为环境空气不达标区。根据《</w:t>
            </w:r>
            <w:r>
              <w:rPr>
                <w:rFonts w:hint="default" w:ascii="Times New Roman" w:hAnsi="Times New Roman" w:eastAsia="宋体" w:cs="Times New Roman"/>
                <w:b w:val="0"/>
                <w:bCs w:val="0"/>
                <w:color w:val="auto"/>
                <w:kern w:val="0"/>
                <w:sz w:val="24"/>
                <w:szCs w:val="24"/>
                <w:highlight w:val="none"/>
                <w:u w:val="none"/>
                <w:vertAlign w:val="baseline"/>
                <w:lang w:eastAsia="zh-CN"/>
              </w:rPr>
              <w:t>濮阳市</w:t>
            </w:r>
            <w:r>
              <w:rPr>
                <w:rFonts w:hint="default" w:ascii="Times New Roman" w:hAnsi="Times New Roman" w:eastAsia="宋体" w:cs="Times New Roman"/>
                <w:b w:val="0"/>
                <w:bCs w:val="0"/>
                <w:color w:val="auto"/>
                <w:kern w:val="0"/>
                <w:sz w:val="24"/>
                <w:szCs w:val="24"/>
                <w:highlight w:val="none"/>
                <w:u w:val="none"/>
                <w:vertAlign w:val="baseline"/>
              </w:rPr>
              <w:t>202</w:t>
            </w:r>
            <w:r>
              <w:rPr>
                <w:rFonts w:hint="eastAsia" w:cs="Times New Roman"/>
                <w:b w:val="0"/>
                <w:bCs w:val="0"/>
                <w:color w:val="auto"/>
                <w:kern w:val="0"/>
                <w:sz w:val="24"/>
                <w:szCs w:val="24"/>
                <w:highlight w:val="none"/>
                <w:u w:val="none"/>
                <w:vertAlign w:val="baseline"/>
                <w:lang w:val="en-US" w:eastAsia="zh-CN"/>
              </w:rPr>
              <w:t>5</w:t>
            </w:r>
            <w:r>
              <w:rPr>
                <w:rFonts w:hint="default" w:ascii="Times New Roman" w:hAnsi="Times New Roman" w:eastAsia="宋体" w:cs="Times New Roman"/>
                <w:b w:val="0"/>
                <w:bCs w:val="0"/>
                <w:color w:val="auto"/>
                <w:kern w:val="0"/>
                <w:sz w:val="24"/>
                <w:szCs w:val="24"/>
                <w:highlight w:val="none"/>
                <w:u w:val="none"/>
                <w:vertAlign w:val="baseline"/>
              </w:rPr>
              <w:t>年蓝天保卫战实施方案》，</w:t>
            </w:r>
            <w:r>
              <w:rPr>
                <w:rFonts w:hint="default" w:ascii="Times New Roman" w:hAnsi="Times New Roman" w:eastAsia="宋体" w:cs="Times New Roman"/>
                <w:b w:val="0"/>
                <w:bCs w:val="0"/>
                <w:color w:val="auto"/>
                <w:kern w:val="0"/>
                <w:sz w:val="24"/>
                <w:szCs w:val="24"/>
                <w:highlight w:val="none"/>
                <w:u w:val="none"/>
                <w:vertAlign w:val="baseline"/>
                <w:lang w:eastAsia="zh-CN"/>
              </w:rPr>
              <w:t>濮阳市</w:t>
            </w:r>
            <w:r>
              <w:rPr>
                <w:rFonts w:hint="default" w:ascii="Times New Roman" w:hAnsi="Times New Roman" w:eastAsia="宋体" w:cs="Times New Roman"/>
                <w:b w:val="0"/>
                <w:bCs w:val="0"/>
                <w:color w:val="auto"/>
                <w:kern w:val="0"/>
                <w:sz w:val="24"/>
                <w:szCs w:val="24"/>
                <w:highlight w:val="none"/>
                <w:u w:val="none"/>
                <w:vertAlign w:val="baseline"/>
              </w:rPr>
              <w:t>通过采取一系列环境保护措施，大气环境治理可以得到逐步改善。</w:t>
            </w:r>
          </w:p>
          <w:p w14:paraId="195D782E">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default" w:ascii="Times New Roman" w:hAnsi="Times New Roman" w:eastAsia="宋体" w:cs="Times New Roman"/>
                <w:b w:val="0"/>
                <w:bCs w:val="0"/>
                <w:color w:val="auto"/>
                <w:sz w:val="24"/>
                <w:szCs w:val="36"/>
                <w:highlight w:val="none"/>
                <w:u w:val="none"/>
                <w:lang w:eastAsia="zh-CN"/>
              </w:rPr>
            </w:pPr>
            <w:r>
              <w:rPr>
                <w:rFonts w:hint="default" w:ascii="Times New Roman" w:hAnsi="Times New Roman" w:eastAsia="宋体" w:cs="Times New Roman"/>
                <w:b w:val="0"/>
                <w:bCs w:val="0"/>
                <w:color w:val="auto"/>
                <w:kern w:val="0"/>
                <w:sz w:val="24"/>
                <w:szCs w:val="24"/>
                <w:highlight w:val="none"/>
                <w:u w:val="none"/>
                <w:vertAlign w:val="baseline"/>
              </w:rPr>
              <w:t>地表水：</w:t>
            </w:r>
            <w:r>
              <w:rPr>
                <w:rFonts w:hint="default" w:ascii="Times New Roman" w:hAnsi="Times New Roman" w:eastAsia="宋体" w:cs="Times New Roman"/>
                <w:b w:val="0"/>
                <w:bCs w:val="0"/>
                <w:color w:val="auto"/>
                <w:sz w:val="24"/>
                <w:szCs w:val="24"/>
                <w:u w:val="none"/>
              </w:rPr>
              <w:t>马颊河南乐县水文站断面（2024年1月~2024年12月）监测数据，其中2024年2月、7月、8月高锰酸盐指数超标，其他时期高锰酸盐指数、氨氮、总磷浓度均满足《地表水环境质量标准》（GB3838-2002）III类标准要求。根据《清丰县先进制造业开发区发展规划（2022-2035）环境影响报告书》（报批版）中对区域潴泷河地表水监测：W1潴泷河排污口上游500m断面五日生化需氧量、悬浮物、总磷、总氮超出《地表水环境质量标准》（GB3838-2002）Ⅳ类标准的要求，最大超标倍数分别为0.57、0.68、0.2、2.22；W2潴泷河排污口断面悬浮物、总氮超出《地表水环境质量标准》（GB3838-2002）Ⅳ类标准的要求，最大超标倍数分别为1.78、2.16；W3潴泷河排污口下游1500m断面悬浮物、总氮超出《地表水环境质量标准》（GB3838-2002）Ⅳ类标准的要求，最大超标倍数分别为0.52、2.27</w:t>
            </w:r>
            <w:r>
              <w:rPr>
                <w:rFonts w:hint="default" w:ascii="Times New Roman" w:hAnsi="Times New Roman" w:eastAsia="宋体" w:cs="Times New Roman"/>
                <w:b w:val="0"/>
                <w:bCs w:val="0"/>
                <w:color w:val="auto"/>
                <w:sz w:val="24"/>
                <w:szCs w:val="36"/>
                <w:highlight w:val="none"/>
                <w:u w:val="none"/>
                <w:lang w:eastAsia="zh-CN"/>
              </w:rPr>
              <w:t>。</w:t>
            </w:r>
            <w:r>
              <w:rPr>
                <w:rFonts w:hint="default" w:ascii="Times New Roman" w:hAnsi="Times New Roman" w:eastAsia="宋体" w:cs="Times New Roman"/>
                <w:b w:val="0"/>
                <w:bCs w:val="0"/>
                <w:color w:val="auto"/>
                <w:kern w:val="0"/>
                <w:sz w:val="24"/>
                <w:szCs w:val="24"/>
                <w:highlight w:val="none"/>
                <w:u w:val="none"/>
                <w:vertAlign w:val="baseline"/>
              </w:rPr>
              <w:t>根据《</w:t>
            </w:r>
            <w:r>
              <w:rPr>
                <w:rFonts w:hint="default" w:ascii="Times New Roman" w:hAnsi="Times New Roman" w:eastAsia="宋体" w:cs="Times New Roman"/>
                <w:b w:val="0"/>
                <w:bCs w:val="0"/>
                <w:color w:val="auto"/>
                <w:kern w:val="0"/>
                <w:sz w:val="24"/>
                <w:szCs w:val="24"/>
                <w:highlight w:val="none"/>
                <w:u w:val="none"/>
                <w:vertAlign w:val="baseline"/>
                <w:lang w:eastAsia="zh-CN"/>
              </w:rPr>
              <w:t>濮阳市</w:t>
            </w:r>
            <w:r>
              <w:rPr>
                <w:rFonts w:hint="default" w:ascii="Times New Roman" w:hAnsi="Times New Roman" w:eastAsia="宋体" w:cs="Times New Roman"/>
                <w:b w:val="0"/>
                <w:bCs w:val="0"/>
                <w:color w:val="auto"/>
                <w:kern w:val="0"/>
                <w:sz w:val="24"/>
                <w:szCs w:val="24"/>
                <w:highlight w:val="none"/>
                <w:u w:val="none"/>
                <w:vertAlign w:val="baseline"/>
              </w:rPr>
              <w:t>202</w:t>
            </w:r>
            <w:r>
              <w:rPr>
                <w:rFonts w:hint="eastAsia" w:cs="Times New Roman"/>
                <w:b w:val="0"/>
                <w:bCs w:val="0"/>
                <w:color w:val="auto"/>
                <w:kern w:val="0"/>
                <w:sz w:val="24"/>
                <w:szCs w:val="24"/>
                <w:highlight w:val="none"/>
                <w:u w:val="none"/>
                <w:vertAlign w:val="baseline"/>
                <w:lang w:val="en-US" w:eastAsia="zh-CN"/>
              </w:rPr>
              <w:t>5</w:t>
            </w:r>
            <w:r>
              <w:rPr>
                <w:rFonts w:hint="default" w:ascii="Times New Roman" w:hAnsi="Times New Roman" w:eastAsia="宋体" w:cs="Times New Roman"/>
                <w:b w:val="0"/>
                <w:bCs w:val="0"/>
                <w:color w:val="auto"/>
                <w:kern w:val="0"/>
                <w:sz w:val="24"/>
                <w:szCs w:val="24"/>
                <w:highlight w:val="none"/>
                <w:u w:val="none"/>
                <w:vertAlign w:val="baseline"/>
              </w:rPr>
              <w:t>年</w:t>
            </w:r>
            <w:r>
              <w:rPr>
                <w:rFonts w:hint="eastAsia" w:cs="Times New Roman"/>
                <w:b w:val="0"/>
                <w:bCs w:val="0"/>
                <w:color w:val="auto"/>
                <w:kern w:val="0"/>
                <w:sz w:val="24"/>
                <w:szCs w:val="24"/>
                <w:highlight w:val="none"/>
                <w:u w:val="none"/>
                <w:vertAlign w:val="baseline"/>
                <w:lang w:val="en-US" w:eastAsia="zh-CN"/>
              </w:rPr>
              <w:t>碧水</w:t>
            </w:r>
            <w:r>
              <w:rPr>
                <w:rFonts w:hint="default" w:ascii="Times New Roman" w:hAnsi="Times New Roman" w:eastAsia="宋体" w:cs="Times New Roman"/>
                <w:b w:val="0"/>
                <w:bCs w:val="0"/>
                <w:color w:val="auto"/>
                <w:kern w:val="0"/>
                <w:sz w:val="24"/>
                <w:szCs w:val="24"/>
                <w:highlight w:val="none"/>
                <w:u w:val="none"/>
                <w:vertAlign w:val="baseline"/>
              </w:rPr>
              <w:t>保卫战实施方案》，</w:t>
            </w:r>
            <w:r>
              <w:rPr>
                <w:rFonts w:hint="default" w:ascii="Times New Roman" w:hAnsi="Times New Roman" w:eastAsia="宋体" w:cs="Times New Roman"/>
                <w:b w:val="0"/>
                <w:bCs w:val="0"/>
                <w:color w:val="auto"/>
                <w:kern w:val="0"/>
                <w:sz w:val="24"/>
                <w:szCs w:val="24"/>
                <w:highlight w:val="none"/>
                <w:u w:val="none"/>
                <w:vertAlign w:val="baseline"/>
                <w:lang w:eastAsia="zh-CN"/>
              </w:rPr>
              <w:t>濮阳市通过一系列综合整治工程，将有效改善马颊河水质</w:t>
            </w:r>
            <w:r>
              <w:rPr>
                <w:rFonts w:hint="default" w:ascii="Times New Roman" w:hAnsi="Times New Roman" w:eastAsia="宋体" w:cs="Times New Roman"/>
                <w:b w:val="0"/>
                <w:bCs w:val="0"/>
                <w:color w:val="auto"/>
                <w:kern w:val="0"/>
                <w:sz w:val="24"/>
                <w:szCs w:val="24"/>
                <w:highlight w:val="none"/>
                <w:u w:val="none"/>
                <w:vertAlign w:val="baseline"/>
              </w:rPr>
              <w:t>。</w:t>
            </w:r>
          </w:p>
          <w:p w14:paraId="2145EBDA">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default" w:ascii="Times New Roman" w:hAnsi="Times New Roman" w:eastAsia="宋体" w:cs="Times New Roman"/>
                <w:b w:val="0"/>
                <w:bCs w:val="0"/>
                <w:color w:val="auto"/>
                <w:kern w:val="0"/>
                <w:sz w:val="24"/>
                <w:szCs w:val="24"/>
                <w:highlight w:val="none"/>
                <w:u w:val="none"/>
                <w:vertAlign w:val="baseline"/>
              </w:rPr>
            </w:pPr>
            <w:r>
              <w:rPr>
                <w:rFonts w:hint="default" w:ascii="Times New Roman" w:hAnsi="Times New Roman" w:eastAsia="宋体" w:cs="Times New Roman"/>
                <w:b w:val="0"/>
                <w:bCs w:val="0"/>
                <w:color w:val="auto"/>
                <w:kern w:val="0"/>
                <w:sz w:val="24"/>
                <w:szCs w:val="24"/>
                <w:highlight w:val="none"/>
                <w:u w:val="none"/>
                <w:vertAlign w:val="baseline"/>
              </w:rPr>
              <w:t>本项目固废均得到合理处置；噪声在采取基础减振、隔声等措施后，厂界噪声满足相关标准要求；废水、废气对周边环境影响小。</w:t>
            </w:r>
          </w:p>
          <w:p w14:paraId="14F1A2B3">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default" w:ascii="Times New Roman" w:hAnsi="Times New Roman" w:eastAsia="宋体" w:cs="Times New Roman"/>
                <w:b w:val="0"/>
                <w:bCs w:val="0"/>
                <w:color w:val="auto"/>
                <w:kern w:val="0"/>
                <w:sz w:val="24"/>
                <w:szCs w:val="24"/>
                <w:highlight w:val="none"/>
                <w:u w:val="none"/>
                <w:vertAlign w:val="baseline"/>
                <w:lang w:eastAsia="zh-CN"/>
              </w:rPr>
            </w:pPr>
            <w:r>
              <w:rPr>
                <w:rFonts w:hint="default" w:ascii="Times New Roman" w:hAnsi="Times New Roman" w:eastAsia="宋体" w:cs="Times New Roman"/>
                <w:b w:val="0"/>
                <w:bCs w:val="0"/>
                <w:color w:val="auto"/>
                <w:kern w:val="0"/>
                <w:sz w:val="24"/>
                <w:szCs w:val="24"/>
                <w:highlight w:val="none"/>
                <w:u w:val="none"/>
                <w:vertAlign w:val="baseline"/>
              </w:rPr>
              <w:t>因此，本项目对所在区域环境达到区域目标要求不会产生明显不利影响，符合环境质量底线的要求。</w:t>
            </w:r>
          </w:p>
          <w:p w14:paraId="6426EB2A">
            <w:pPr>
              <w:pStyle w:val="15"/>
              <w:keepNext w:val="0"/>
              <w:keepLines w:val="0"/>
              <w:pageBreakBefore w:val="0"/>
              <w:kinsoku/>
              <w:wordWrap/>
              <w:overflowPunct/>
              <w:topLinePunct w:val="0"/>
              <w:bidi w:val="0"/>
              <w:snapToGrid w:val="0"/>
              <w:spacing w:before="0" w:after="0" w:line="520" w:lineRule="atLeast"/>
              <w:ind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）环境准入清单</w:t>
            </w:r>
          </w:p>
          <w:p w14:paraId="3D9D3386">
            <w:pPr>
              <w:pStyle w:val="15"/>
              <w:keepNext w:val="0"/>
              <w:keepLines w:val="0"/>
              <w:pageBreakBefore w:val="0"/>
              <w:kinsoku/>
              <w:wordWrap/>
              <w:overflowPunct/>
              <w:topLinePunct w:val="0"/>
              <w:bidi w:val="0"/>
              <w:snapToGrid w:val="0"/>
              <w:spacing w:before="0" w:after="0" w:line="520" w:lineRule="atLeast"/>
              <w:ind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经在河南省“三线一单”综合信息应用平台中查询结果可知，工程涉及的环境管控单元为：清丰县先进制造业开发区（ZH41092220001）。本工程涉及的管控单位的位置关系示意图见附图四，本项目与清丰县先进制造业开发区环境管控单元生态环境准入清单要求相符性分析见下表。</w:t>
            </w:r>
          </w:p>
          <w:p w14:paraId="24868E45">
            <w:pPr>
              <w:keepNext w:val="0"/>
              <w:keepLines w:val="0"/>
              <w:pageBreakBefore w:val="0"/>
              <w:widowControl w:val="0"/>
              <w:kinsoku/>
              <w:wordWrap/>
              <w:overflowPunct/>
              <w:topLinePunct w:val="0"/>
              <w:autoSpaceDE w:val="0"/>
              <w:autoSpaceDN w:val="0"/>
              <w:bidi w:val="0"/>
              <w:adjustRightInd w:val="0"/>
              <w:snapToGrid w:val="0"/>
              <w:spacing w:line="520" w:lineRule="atLeast"/>
              <w:ind w:right="0" w:right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zh-CN" w:eastAsia="zh-CN" w:bidi="ar-SA"/>
              </w:rPr>
              <w:t>表</w:t>
            </w:r>
            <w:r>
              <w:rPr>
                <w:rFonts w:hint="default" w:ascii="Times New Roman" w:hAnsi="Times New Roman" w:eastAsia="宋体" w:cs="Times New Roman"/>
                <w:b w:val="0"/>
                <w:bCs w:val="0"/>
                <w:color w:val="auto"/>
                <w:kern w:val="0"/>
                <w:sz w:val="21"/>
                <w:szCs w:val="21"/>
                <w:highlight w:val="none"/>
                <w:vertAlign w:val="baseline"/>
                <w:lang w:val="en-US" w:eastAsia="zh-CN" w:bidi="ar-SA"/>
              </w:rPr>
              <w:t>1-</w:t>
            </w:r>
            <w:r>
              <w:rPr>
                <w:rFonts w:hint="eastAsia" w:cs="Times New Roman"/>
                <w:b w:val="0"/>
                <w:bCs w:val="0"/>
                <w:color w:val="auto"/>
                <w:kern w:val="0"/>
                <w:sz w:val="21"/>
                <w:szCs w:val="21"/>
                <w:highlight w:val="none"/>
                <w:vertAlign w:val="baseline"/>
                <w:lang w:val="en-US" w:eastAsia="zh-CN" w:bidi="ar-SA"/>
              </w:rPr>
              <w:t>4</w:t>
            </w:r>
            <w:r>
              <w:rPr>
                <w:rFonts w:hint="default" w:ascii="Times New Roman" w:hAnsi="Times New Roman" w:eastAsia="宋体" w:cs="Times New Roman"/>
                <w:b w:val="0"/>
                <w:bCs w:val="0"/>
                <w:color w:val="auto"/>
                <w:kern w:val="0"/>
                <w:sz w:val="21"/>
                <w:szCs w:val="21"/>
                <w:highlight w:val="none"/>
                <w:vertAlign w:val="baseline"/>
                <w:lang w:val="en-US" w:eastAsia="zh-CN" w:bidi="ar-SA"/>
              </w:rPr>
              <w:t xml:space="preserve"> </w:t>
            </w:r>
            <w:r>
              <w:rPr>
                <w:rFonts w:hint="eastAsia" w:cs="Times New Roman"/>
                <w:b w:val="0"/>
                <w:bCs w:val="0"/>
                <w:color w:val="auto"/>
                <w:kern w:val="0"/>
                <w:sz w:val="21"/>
                <w:szCs w:val="21"/>
                <w:highlight w:val="none"/>
                <w:vertAlign w:val="baseline"/>
                <w:lang w:val="en-US" w:eastAsia="zh-CN" w:bidi="ar-SA"/>
              </w:rPr>
              <w:t xml:space="preserve">  本项目与重点管控单元相关管控要求及符合性分析一览表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1132"/>
              <w:gridCol w:w="2575"/>
              <w:gridCol w:w="1786"/>
              <w:gridCol w:w="938"/>
            </w:tblGrid>
            <w:tr w14:paraId="3E4C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pct"/>
                  <w:gridSpan w:val="2"/>
                </w:tcPr>
                <w:p w14:paraId="32E7BAE9">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环境管控单元名称</w:t>
                  </w:r>
                </w:p>
              </w:tc>
              <w:tc>
                <w:tcPr>
                  <w:tcW w:w="3507" w:type="pct"/>
                  <w:gridSpan w:val="3"/>
                </w:tcPr>
                <w:p w14:paraId="5550745E">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清丰县先进制造业开发区</w:t>
                  </w:r>
                </w:p>
              </w:tc>
            </w:tr>
            <w:tr w14:paraId="6337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pct"/>
                  <w:gridSpan w:val="2"/>
                </w:tcPr>
                <w:p w14:paraId="403667FE">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管控单元分类</w:t>
                  </w:r>
                </w:p>
              </w:tc>
              <w:tc>
                <w:tcPr>
                  <w:tcW w:w="3507" w:type="pct"/>
                  <w:gridSpan w:val="3"/>
                </w:tcPr>
                <w:p w14:paraId="250D77F2">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重点管控单元</w:t>
                  </w:r>
                </w:p>
              </w:tc>
            </w:tr>
            <w:tr w14:paraId="31E9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pct"/>
                  <w:gridSpan w:val="2"/>
                </w:tcPr>
                <w:p w14:paraId="048B456F">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环境管控单元编码</w:t>
                  </w:r>
                </w:p>
              </w:tc>
              <w:tc>
                <w:tcPr>
                  <w:tcW w:w="3507" w:type="pct"/>
                  <w:gridSpan w:val="3"/>
                </w:tcPr>
                <w:p w14:paraId="7E08BF23">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ZH41092220001</w:t>
                  </w:r>
                </w:p>
              </w:tc>
            </w:tr>
            <w:tr w14:paraId="2149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6" w:type="pct"/>
                  <w:gridSpan w:val="3"/>
                  <w:vAlign w:val="center"/>
                </w:tcPr>
                <w:p w14:paraId="0A5EBC07">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管控要求</w:t>
                  </w:r>
                </w:p>
              </w:tc>
              <w:tc>
                <w:tcPr>
                  <w:tcW w:w="1182" w:type="pct"/>
                  <w:vAlign w:val="center"/>
                </w:tcPr>
                <w:p w14:paraId="269D8F68">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本项目情况</w:t>
                  </w:r>
                </w:p>
              </w:tc>
              <w:tc>
                <w:tcPr>
                  <w:tcW w:w="620" w:type="pct"/>
                  <w:vAlign w:val="center"/>
                </w:tcPr>
                <w:p w14:paraId="037EE457">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相符性</w:t>
                  </w:r>
                </w:p>
              </w:tc>
            </w:tr>
            <w:tr w14:paraId="6803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Align w:val="center"/>
                </w:tcPr>
                <w:p w14:paraId="5B86EBC3">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空间布局约束</w:t>
                  </w:r>
                </w:p>
              </w:tc>
              <w:tc>
                <w:tcPr>
                  <w:tcW w:w="2452" w:type="pct"/>
                  <w:gridSpan w:val="2"/>
                </w:tcPr>
                <w:p w14:paraId="4599D92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kern w:val="2"/>
                      <w:sz w:val="21"/>
                      <w:szCs w:val="21"/>
                      <w:lang w:val="en-US" w:eastAsia="zh-CN" w:bidi="ar-SA"/>
                    </w:rPr>
                    <w:t>1、</w:t>
                  </w:r>
                  <w:r>
                    <w:rPr>
                      <w:rFonts w:hint="default" w:ascii="Times New Roman" w:hAnsi="Times New Roman" w:eastAsia="宋体" w:cs="Times New Roman"/>
                      <w:b w:val="0"/>
                      <w:bCs w:val="0"/>
                      <w:color w:val="auto"/>
                      <w:sz w:val="21"/>
                      <w:szCs w:val="21"/>
                      <w:highlight w:val="none"/>
                      <w:u w:val="none"/>
                      <w:lang w:val="en-US" w:eastAsia="zh-CN"/>
                    </w:rPr>
                    <w:t>入驻项目应符合园区规划或规划环评的要求，禁止发展用排水量较大或污染严重风险较大的化学原料、医药中间体等化工项目，按照用排水量控制屠宰项目。</w:t>
                  </w:r>
                </w:p>
                <w:p w14:paraId="0D722B7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2、按照当地主导风向，从南至北依次布设家具制造、食品加工、机械加工，同时考虑到区内现有居民民点的整合，布设综合服务带贯通三个产业片区。</w:t>
                  </w:r>
                </w:p>
                <w:p w14:paraId="25381E6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3、马庄桥商贸物流园区发展家具贸易和商贸物流业，六塔工业园发展节能环保产业。</w:t>
                  </w:r>
                </w:p>
              </w:tc>
              <w:tc>
                <w:tcPr>
                  <w:tcW w:w="1182" w:type="pct"/>
                  <w:vAlign w:val="center"/>
                </w:tcPr>
                <w:p w14:paraId="78E736ED">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1、项目不属于列举禁止发展项目。</w:t>
                  </w:r>
                </w:p>
                <w:p w14:paraId="08F75FF2">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2、项目属于符合布局要求。</w:t>
                  </w:r>
                </w:p>
                <w:p w14:paraId="0E14705D">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3、项目位于清丰县先进制造业开发区，不涉及马庄桥商贸物流园区和六塔工业园。</w:t>
                  </w:r>
                </w:p>
              </w:tc>
              <w:tc>
                <w:tcPr>
                  <w:tcW w:w="620" w:type="pct"/>
                  <w:vAlign w:val="center"/>
                </w:tcPr>
                <w:p w14:paraId="403CB269">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相符</w:t>
                  </w:r>
                </w:p>
              </w:tc>
            </w:tr>
            <w:tr w14:paraId="0D26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Align w:val="center"/>
                </w:tcPr>
                <w:p w14:paraId="5423EE57">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污染物排放管控</w:t>
                  </w:r>
                </w:p>
              </w:tc>
              <w:tc>
                <w:tcPr>
                  <w:tcW w:w="2452" w:type="pct"/>
                  <w:gridSpan w:val="2"/>
                </w:tcPr>
                <w:p w14:paraId="5982C82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kern w:val="2"/>
                      <w:sz w:val="21"/>
                      <w:szCs w:val="21"/>
                      <w:lang w:val="en-US" w:eastAsia="zh-CN" w:bidi="ar-SA"/>
                    </w:rPr>
                    <w:t>1、</w:t>
                  </w:r>
                  <w:r>
                    <w:rPr>
                      <w:rFonts w:hint="default" w:ascii="Times New Roman" w:hAnsi="Times New Roman" w:eastAsia="宋体" w:cs="Times New Roman"/>
                      <w:b w:val="0"/>
                      <w:bCs w:val="0"/>
                      <w:color w:val="auto"/>
                      <w:sz w:val="21"/>
                      <w:szCs w:val="21"/>
                      <w:highlight w:val="none"/>
                      <w:u w:val="none"/>
                      <w:lang w:val="en-US" w:eastAsia="zh-CN"/>
                    </w:rPr>
                    <w:t>禁止填埋场渗滤液直排或超标放。</w:t>
                  </w:r>
                </w:p>
                <w:p w14:paraId="769126A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2、大气：改善能源结构，推广使用天然气、电力等清洁能源；严格控制入区工业项目的类别；加强对工业喷涂项目挥发性有机物的治理工作，严格按照行业标准、治理方案，加强源头控制、过程控制和末端治理，提升清洁化生产水平。</w:t>
                  </w:r>
                </w:p>
                <w:p w14:paraId="3CA0390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3、水：完善雨水、污水收集系统和排放系统，污水和生产物料输送管线需保证密封；不得建设地下或半地下式储罐设施。禁止含重金属废水进入城市生活污水处理厂。</w:t>
                  </w:r>
                </w:p>
              </w:tc>
              <w:tc>
                <w:tcPr>
                  <w:tcW w:w="1182" w:type="pct"/>
                  <w:vAlign w:val="center"/>
                </w:tcPr>
                <w:p w14:paraId="1494056E">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1、本项目不涉及填埋场。</w:t>
                  </w:r>
                </w:p>
                <w:p w14:paraId="51612103">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2、本项目使用能源为电能，属于清洁能源</w:t>
                  </w:r>
                  <w:r>
                    <w:rPr>
                      <w:rFonts w:hint="eastAsia" w:cs="Times New Roman"/>
                      <w:b w:val="0"/>
                      <w:bCs w:val="0"/>
                      <w:color w:val="auto"/>
                      <w:sz w:val="21"/>
                      <w:szCs w:val="21"/>
                      <w:highlight w:val="none"/>
                      <w:u w:val="none"/>
                      <w:lang w:val="en-US" w:eastAsia="zh-CN"/>
                    </w:rPr>
                    <w:t>，</w:t>
                  </w:r>
                  <w:r>
                    <w:rPr>
                      <w:rFonts w:hint="default" w:ascii="Times New Roman" w:hAnsi="Times New Roman" w:eastAsia="宋体" w:cs="Times New Roman"/>
                      <w:b w:val="0"/>
                      <w:bCs w:val="0"/>
                      <w:color w:val="auto"/>
                      <w:sz w:val="21"/>
                      <w:szCs w:val="21"/>
                      <w:highlight w:val="none"/>
                      <w:u w:val="none"/>
                      <w:lang w:val="en-US" w:eastAsia="zh-CN"/>
                    </w:rPr>
                    <w:t>不涉及工业喷涂</w:t>
                  </w:r>
                </w:p>
                <w:p w14:paraId="17960556">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3、本项目厂区实行雨水分流。</w:t>
                  </w:r>
                </w:p>
              </w:tc>
              <w:tc>
                <w:tcPr>
                  <w:tcW w:w="620" w:type="pct"/>
                  <w:vAlign w:val="center"/>
                </w:tcPr>
                <w:p w14:paraId="7381A9BB">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相符</w:t>
                  </w:r>
                </w:p>
              </w:tc>
            </w:tr>
            <w:tr w14:paraId="24AD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Align w:val="center"/>
                </w:tcPr>
                <w:p w14:paraId="59A3AA17">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环境风险防控</w:t>
                  </w:r>
                </w:p>
              </w:tc>
              <w:tc>
                <w:tcPr>
                  <w:tcW w:w="2452" w:type="pct"/>
                  <w:gridSpan w:val="2"/>
                </w:tcPr>
                <w:p w14:paraId="1E177BA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kern w:val="2"/>
                      <w:sz w:val="21"/>
                      <w:szCs w:val="21"/>
                      <w:lang w:val="en-US" w:eastAsia="zh-CN" w:bidi="ar-SA"/>
                    </w:rPr>
                    <w:t>1</w:t>
                  </w:r>
                  <w:r>
                    <w:rPr>
                      <w:rFonts w:hint="eastAsia"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sz w:val="21"/>
                      <w:szCs w:val="21"/>
                      <w:highlight w:val="none"/>
                      <w:u w:val="none"/>
                      <w:lang w:val="en-US" w:eastAsia="zh-CN"/>
                    </w:rPr>
                    <w:t>铅酸蓄电池、石油加工、化工和危险化学品生产、储存、使用等企业在拆除生产设施设备、污染治理设施时，要事先制定企业拆除活动污染防治方案和拆除活动环境应急预案。</w:t>
                  </w:r>
                </w:p>
                <w:p w14:paraId="013716B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2</w:t>
                  </w:r>
                  <w:r>
                    <w:rPr>
                      <w:rFonts w:hint="eastAsia" w:cs="Times New Roman"/>
                      <w:b w:val="0"/>
                      <w:bCs w:val="0"/>
                      <w:color w:val="auto"/>
                      <w:sz w:val="21"/>
                      <w:szCs w:val="21"/>
                      <w:highlight w:val="none"/>
                      <w:u w:val="none"/>
                      <w:lang w:val="en-US" w:eastAsia="zh-CN"/>
                    </w:rPr>
                    <w:t>、</w:t>
                  </w:r>
                  <w:r>
                    <w:rPr>
                      <w:rFonts w:hint="default" w:ascii="Times New Roman" w:hAnsi="Times New Roman" w:eastAsia="宋体" w:cs="Times New Roman"/>
                      <w:b w:val="0"/>
                      <w:bCs w:val="0"/>
                      <w:color w:val="auto"/>
                      <w:sz w:val="21"/>
                      <w:szCs w:val="21"/>
                      <w:highlight w:val="none"/>
                      <w:u w:val="none"/>
                      <w:lang w:val="en-US" w:eastAsia="zh-CN"/>
                    </w:rPr>
                    <w:t>充分利用企业用地调查成果和注销、撤销排污许可的信息，考虑行业、生产年限等因素，确定优先监管地块，并按要求采取污染管控措施。</w:t>
                  </w:r>
                </w:p>
              </w:tc>
              <w:tc>
                <w:tcPr>
                  <w:tcW w:w="1182" w:type="pct"/>
                  <w:vAlign w:val="center"/>
                </w:tcPr>
                <w:p w14:paraId="3DBDF636">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1、</w:t>
                  </w:r>
                  <w:r>
                    <w:rPr>
                      <w:rFonts w:hint="eastAsia" w:cs="Times New Roman"/>
                      <w:b w:val="0"/>
                      <w:bCs w:val="0"/>
                      <w:color w:val="auto"/>
                      <w:sz w:val="21"/>
                      <w:szCs w:val="21"/>
                      <w:highlight w:val="none"/>
                      <w:u w:val="none"/>
                      <w:lang w:val="en-US" w:eastAsia="zh-CN"/>
                    </w:rPr>
                    <w:t>本项目不涉及</w:t>
                  </w:r>
                  <w:r>
                    <w:rPr>
                      <w:rFonts w:hint="default" w:ascii="Times New Roman" w:hAnsi="Times New Roman" w:eastAsia="宋体" w:cs="Times New Roman"/>
                      <w:b w:val="0"/>
                      <w:bCs w:val="0"/>
                      <w:color w:val="auto"/>
                      <w:sz w:val="21"/>
                      <w:szCs w:val="21"/>
                      <w:highlight w:val="none"/>
                      <w:u w:val="none"/>
                      <w:lang w:val="en-US" w:eastAsia="zh-CN"/>
                    </w:rPr>
                    <w:t>该项列举项目。</w:t>
                  </w:r>
                </w:p>
                <w:p w14:paraId="248CA31A">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2、本项目不涉及优先监管地块。</w:t>
                  </w:r>
                </w:p>
              </w:tc>
              <w:tc>
                <w:tcPr>
                  <w:tcW w:w="620" w:type="pct"/>
                  <w:vAlign w:val="center"/>
                </w:tcPr>
                <w:p w14:paraId="722391F5">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相符</w:t>
                  </w:r>
                </w:p>
              </w:tc>
            </w:tr>
            <w:tr w14:paraId="05F2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Align w:val="center"/>
                </w:tcPr>
                <w:p w14:paraId="2AD50F8B">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rPr>
                    <w:t>资源利用效率要求</w:t>
                  </w:r>
                </w:p>
              </w:tc>
              <w:tc>
                <w:tcPr>
                  <w:tcW w:w="2452" w:type="pct"/>
                  <w:gridSpan w:val="2"/>
                  <w:vAlign w:val="center"/>
                </w:tcPr>
                <w:p w14:paraId="1F1EAE54">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地下水超采地区，控制采用地下水的高耗水新建、改建、扩建项目。</w:t>
                  </w:r>
                </w:p>
              </w:tc>
              <w:tc>
                <w:tcPr>
                  <w:tcW w:w="1182" w:type="pct"/>
                  <w:vAlign w:val="center"/>
                </w:tcPr>
                <w:p w14:paraId="572FF122">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本项目不涉及</w:t>
                  </w:r>
                  <w:r>
                    <w:rPr>
                      <w:rFonts w:hint="default" w:ascii="Times New Roman" w:hAnsi="Times New Roman" w:eastAsia="宋体" w:cs="Times New Roman"/>
                      <w:b w:val="0"/>
                      <w:bCs w:val="0"/>
                      <w:color w:val="auto"/>
                      <w:sz w:val="21"/>
                      <w:szCs w:val="21"/>
                      <w:highlight w:val="none"/>
                      <w:u w:val="none"/>
                      <w:lang w:val="en-US" w:eastAsia="zh-CN"/>
                    </w:rPr>
                    <w:t>高耗水项目。</w:t>
                  </w:r>
                </w:p>
              </w:tc>
              <w:tc>
                <w:tcPr>
                  <w:tcW w:w="620" w:type="pct"/>
                  <w:vAlign w:val="center"/>
                </w:tcPr>
                <w:p w14:paraId="3E892CA4">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相符</w:t>
                  </w:r>
                </w:p>
              </w:tc>
            </w:tr>
          </w:tbl>
          <w:p w14:paraId="2ACEBDA0">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default" w:ascii="Times New Roman" w:hAnsi="Times New Roman" w:eastAsia="宋体" w:cs="Times New Roman"/>
                <w:b w:val="0"/>
                <w:bCs w:val="0"/>
                <w:color w:val="auto"/>
                <w:kern w:val="0"/>
                <w:sz w:val="24"/>
                <w:szCs w:val="24"/>
                <w:highlight w:val="none"/>
                <w:vertAlign w:val="baseline"/>
                <w:lang w:val="en-US" w:eastAsia="zh-CN"/>
              </w:rPr>
            </w:pPr>
            <w:r>
              <w:rPr>
                <w:rFonts w:hint="default" w:ascii="Times New Roman" w:hAnsi="Times New Roman" w:eastAsia="宋体" w:cs="Times New Roman"/>
                <w:b w:val="0"/>
                <w:bCs w:val="0"/>
                <w:color w:val="auto"/>
                <w:kern w:val="0"/>
                <w:sz w:val="24"/>
                <w:szCs w:val="24"/>
                <w:highlight w:val="none"/>
                <w:vertAlign w:val="baseline"/>
                <w:lang w:val="en-US" w:eastAsia="zh-CN"/>
              </w:rPr>
              <w:t>综上所述，本项目符合</w:t>
            </w:r>
            <w:r>
              <w:rPr>
                <w:rFonts w:hint="eastAsia" w:cs="Times New Roman"/>
                <w:b w:val="0"/>
                <w:bCs w:val="0"/>
                <w:color w:val="auto"/>
                <w:kern w:val="0"/>
                <w:sz w:val="24"/>
                <w:szCs w:val="24"/>
                <w:highlight w:val="none"/>
                <w:vertAlign w:val="baseline"/>
                <w:lang w:val="en-US" w:eastAsia="zh-CN"/>
              </w:rPr>
              <w:t>“</w:t>
            </w:r>
            <w:r>
              <w:rPr>
                <w:rFonts w:hint="default" w:ascii="Times New Roman" w:hAnsi="Times New Roman" w:eastAsia="宋体" w:cs="Times New Roman"/>
                <w:b w:val="0"/>
                <w:bCs w:val="0"/>
                <w:color w:val="auto"/>
                <w:kern w:val="0"/>
                <w:sz w:val="24"/>
                <w:szCs w:val="24"/>
                <w:highlight w:val="none"/>
                <w:vertAlign w:val="baseline"/>
                <w:lang w:val="en-US" w:eastAsia="zh-CN"/>
              </w:rPr>
              <w:t>三线一单</w:t>
            </w:r>
            <w:r>
              <w:rPr>
                <w:rFonts w:hint="eastAsia" w:cs="Times New Roman"/>
                <w:b w:val="0"/>
                <w:bCs w:val="0"/>
                <w:color w:val="auto"/>
                <w:kern w:val="0"/>
                <w:sz w:val="24"/>
                <w:szCs w:val="24"/>
                <w:highlight w:val="none"/>
                <w:vertAlign w:val="baseline"/>
                <w:lang w:val="en-US" w:eastAsia="zh-CN"/>
              </w:rPr>
              <w:t>”</w:t>
            </w:r>
            <w:r>
              <w:rPr>
                <w:rFonts w:hint="default" w:ascii="Times New Roman" w:hAnsi="Times New Roman" w:eastAsia="宋体" w:cs="Times New Roman"/>
                <w:b w:val="0"/>
                <w:bCs w:val="0"/>
                <w:color w:val="auto"/>
                <w:kern w:val="0"/>
                <w:sz w:val="24"/>
                <w:szCs w:val="24"/>
                <w:highlight w:val="none"/>
                <w:vertAlign w:val="baseline"/>
                <w:lang w:val="en-US" w:eastAsia="zh-CN"/>
              </w:rPr>
              <w:t>相关要求。</w:t>
            </w:r>
          </w:p>
          <w:p w14:paraId="484F9856">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0" w:firstLineChars="0"/>
              <w:jc w:val="both"/>
              <w:textAlignment w:val="baseline"/>
              <w:rPr>
                <w:rFonts w:hint="default" w:ascii="Times New Roman" w:hAnsi="Times New Roman" w:eastAsia="宋体" w:cs="Times New Roman"/>
                <w:b/>
                <w:bCs/>
                <w:color w:val="auto"/>
                <w:kern w:val="0"/>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kern w:val="0"/>
                <w:sz w:val="24"/>
                <w:szCs w:val="24"/>
                <w:highlight w:val="none"/>
                <w:vertAlign w:val="baseline"/>
                <w:lang w:val="en-US" w:eastAsia="zh-CN"/>
              </w:rPr>
              <w:t>与濮阳市生态环境保护委员会办公室关于印发《濮阳市20</w:t>
            </w:r>
            <w:r>
              <w:rPr>
                <w:rFonts w:hint="eastAsia" w:cs="Times New Roman"/>
                <w:b/>
                <w:bCs/>
                <w:color w:val="auto"/>
                <w:kern w:val="0"/>
                <w:sz w:val="24"/>
                <w:szCs w:val="24"/>
                <w:highlight w:val="none"/>
                <w:vertAlign w:val="baseline"/>
                <w:lang w:val="en-US" w:eastAsia="zh-CN"/>
              </w:rPr>
              <w:t>25</w:t>
            </w:r>
            <w:r>
              <w:rPr>
                <w:rFonts w:hint="default" w:ascii="Times New Roman" w:hAnsi="Times New Roman" w:eastAsia="宋体" w:cs="Times New Roman"/>
                <w:b/>
                <w:bCs/>
                <w:color w:val="auto"/>
                <w:kern w:val="0"/>
                <w:sz w:val="24"/>
                <w:szCs w:val="24"/>
                <w:highlight w:val="none"/>
                <w:vertAlign w:val="baseline"/>
                <w:lang w:val="en-US" w:eastAsia="zh-CN"/>
              </w:rPr>
              <w:t>年蓝天保卫战实施方案》《濮阳市202</w:t>
            </w:r>
            <w:r>
              <w:rPr>
                <w:rFonts w:hint="eastAsia" w:cs="Times New Roman"/>
                <w:b/>
                <w:bCs/>
                <w:color w:val="auto"/>
                <w:kern w:val="0"/>
                <w:sz w:val="24"/>
                <w:szCs w:val="24"/>
                <w:highlight w:val="none"/>
                <w:vertAlign w:val="baseline"/>
                <w:lang w:val="en-US" w:eastAsia="zh-CN"/>
              </w:rPr>
              <w:t>5</w:t>
            </w:r>
            <w:r>
              <w:rPr>
                <w:rFonts w:hint="default" w:ascii="Times New Roman" w:hAnsi="Times New Roman" w:eastAsia="宋体" w:cs="Times New Roman"/>
                <w:b/>
                <w:bCs/>
                <w:color w:val="auto"/>
                <w:kern w:val="0"/>
                <w:sz w:val="24"/>
                <w:szCs w:val="24"/>
                <w:highlight w:val="none"/>
                <w:vertAlign w:val="baseline"/>
                <w:lang w:val="en-US" w:eastAsia="zh-CN"/>
              </w:rPr>
              <w:t>年碧水保卫战实施方案》《濮阳市202</w:t>
            </w:r>
            <w:r>
              <w:rPr>
                <w:rFonts w:hint="eastAsia" w:cs="Times New Roman"/>
                <w:b/>
                <w:bCs/>
                <w:color w:val="auto"/>
                <w:kern w:val="0"/>
                <w:sz w:val="24"/>
                <w:szCs w:val="24"/>
                <w:highlight w:val="none"/>
                <w:vertAlign w:val="baseline"/>
                <w:lang w:val="en-US" w:eastAsia="zh-CN"/>
              </w:rPr>
              <w:t>5</w:t>
            </w:r>
            <w:r>
              <w:rPr>
                <w:rFonts w:hint="default" w:ascii="Times New Roman" w:hAnsi="Times New Roman" w:eastAsia="宋体" w:cs="Times New Roman"/>
                <w:b/>
                <w:bCs/>
                <w:color w:val="auto"/>
                <w:kern w:val="0"/>
                <w:sz w:val="24"/>
                <w:szCs w:val="24"/>
                <w:highlight w:val="none"/>
                <w:vertAlign w:val="baseline"/>
                <w:lang w:val="en-US" w:eastAsia="zh-CN"/>
              </w:rPr>
              <w:t>年净土保卫战实施方案》的通知（濮环委办〔202</w:t>
            </w:r>
            <w:r>
              <w:rPr>
                <w:rFonts w:hint="eastAsia" w:cs="Times New Roman"/>
                <w:b/>
                <w:bCs/>
                <w:color w:val="auto"/>
                <w:kern w:val="0"/>
                <w:sz w:val="24"/>
                <w:szCs w:val="24"/>
                <w:highlight w:val="none"/>
                <w:vertAlign w:val="baseline"/>
                <w:lang w:val="en-US" w:eastAsia="zh-CN"/>
              </w:rPr>
              <w:t>5</w:t>
            </w:r>
            <w:r>
              <w:rPr>
                <w:rFonts w:hint="default" w:ascii="Times New Roman" w:hAnsi="Times New Roman" w:eastAsia="宋体" w:cs="Times New Roman"/>
                <w:b/>
                <w:bCs/>
                <w:color w:val="auto"/>
                <w:kern w:val="0"/>
                <w:sz w:val="24"/>
                <w:szCs w:val="24"/>
                <w:highlight w:val="none"/>
                <w:vertAlign w:val="baseline"/>
                <w:lang w:val="en-US" w:eastAsia="zh-CN"/>
              </w:rPr>
              <w:t>〕</w:t>
            </w:r>
            <w:r>
              <w:rPr>
                <w:rFonts w:hint="eastAsia" w:cs="Times New Roman"/>
                <w:b/>
                <w:bCs/>
                <w:color w:val="auto"/>
                <w:kern w:val="0"/>
                <w:sz w:val="24"/>
                <w:szCs w:val="24"/>
                <w:highlight w:val="none"/>
                <w:vertAlign w:val="baseline"/>
                <w:lang w:val="en-US" w:eastAsia="zh-CN"/>
              </w:rPr>
              <w:t>1</w:t>
            </w:r>
            <w:r>
              <w:rPr>
                <w:rFonts w:hint="default" w:ascii="Times New Roman" w:hAnsi="Times New Roman" w:eastAsia="宋体" w:cs="Times New Roman"/>
                <w:b/>
                <w:bCs/>
                <w:color w:val="auto"/>
                <w:kern w:val="0"/>
                <w:sz w:val="24"/>
                <w:szCs w:val="24"/>
                <w:highlight w:val="none"/>
                <w:vertAlign w:val="baseline"/>
                <w:lang w:val="en-US" w:eastAsia="zh-CN"/>
              </w:rPr>
              <w:t>号）相符性分析</w:t>
            </w:r>
          </w:p>
          <w:p w14:paraId="11952AF7">
            <w:pPr>
              <w:keepNext w:val="0"/>
              <w:keepLines w:val="0"/>
              <w:pageBreakBefore w:val="0"/>
              <w:widowControl w:val="0"/>
              <w:kinsoku/>
              <w:wordWrap/>
              <w:overflowPunct/>
              <w:topLinePunct w:val="0"/>
              <w:autoSpaceDE w:val="0"/>
              <w:autoSpaceDN w:val="0"/>
              <w:bidi w:val="0"/>
              <w:adjustRightInd w:val="0"/>
              <w:snapToGrid w:val="0"/>
              <w:spacing w:line="520" w:lineRule="atLeast"/>
              <w:ind w:right="0" w:right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表1-</w:t>
            </w:r>
            <w:r>
              <w:rPr>
                <w:rFonts w:hint="eastAsia" w:cs="Times New Roman"/>
                <w:b w:val="0"/>
                <w:bCs w:val="0"/>
                <w:color w:val="auto"/>
                <w:kern w:val="0"/>
                <w:sz w:val="21"/>
                <w:szCs w:val="21"/>
                <w:highlight w:val="none"/>
                <w:vertAlign w:val="baseline"/>
                <w:lang w:val="en-US" w:eastAsia="zh-CN" w:bidi="ar-SA"/>
              </w:rPr>
              <w:t>5</w:t>
            </w:r>
            <w:r>
              <w:rPr>
                <w:rFonts w:hint="default" w:ascii="Times New Roman" w:hAnsi="Times New Roman" w:eastAsia="宋体" w:cs="Times New Roman"/>
                <w:b w:val="0"/>
                <w:bCs w:val="0"/>
                <w:color w:val="auto"/>
                <w:kern w:val="0"/>
                <w:sz w:val="21"/>
                <w:szCs w:val="21"/>
                <w:highlight w:val="none"/>
                <w:vertAlign w:val="baseline"/>
                <w:lang w:val="en-US" w:eastAsia="zh-CN" w:bidi="ar-SA"/>
              </w:rPr>
              <w:t xml:space="preserve">  与濮环委办〔2025〕1号相符性分析</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3899"/>
              <w:gridCol w:w="1863"/>
              <w:gridCol w:w="892"/>
            </w:tblGrid>
            <w:tr w14:paraId="606E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vAlign w:val="center"/>
                </w:tcPr>
                <w:p w14:paraId="2CAA0086">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类别</w:t>
                  </w:r>
                </w:p>
              </w:tc>
              <w:tc>
                <w:tcPr>
                  <w:tcW w:w="2581" w:type="pct"/>
                  <w:vAlign w:val="center"/>
                </w:tcPr>
                <w:p w14:paraId="6384A2BD">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濮环委办〔2025〕1号</w:t>
                  </w:r>
                </w:p>
              </w:tc>
              <w:tc>
                <w:tcPr>
                  <w:tcW w:w="1233" w:type="pct"/>
                  <w:vAlign w:val="center"/>
                </w:tcPr>
                <w:p w14:paraId="1D567AA7">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本项目情况</w:t>
                  </w:r>
                </w:p>
              </w:tc>
              <w:tc>
                <w:tcPr>
                  <w:tcW w:w="589" w:type="pct"/>
                  <w:vAlign w:val="center"/>
                </w:tcPr>
                <w:p w14:paraId="3E518BC7">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相符性</w:t>
                  </w:r>
                </w:p>
              </w:tc>
            </w:tr>
            <w:tr w14:paraId="55EE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4"/>
                  <w:vAlign w:val="center"/>
                </w:tcPr>
                <w:p w14:paraId="6B38EDD4">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《濮阳市202</w:t>
                  </w:r>
                  <w:r>
                    <w:rPr>
                      <w:rFonts w:hint="eastAsia" w:cs="Times New Roman"/>
                      <w:b w:val="0"/>
                      <w:bCs w:val="0"/>
                      <w:color w:val="auto"/>
                      <w:kern w:val="0"/>
                      <w:sz w:val="21"/>
                      <w:szCs w:val="21"/>
                      <w:highlight w:val="none"/>
                      <w:vertAlign w:val="baseline"/>
                      <w:lang w:val="en-US" w:eastAsia="zh-CN"/>
                    </w:rPr>
                    <w:t>5</w:t>
                  </w:r>
                  <w:r>
                    <w:rPr>
                      <w:rFonts w:hint="default" w:ascii="Times New Roman" w:hAnsi="Times New Roman" w:eastAsia="宋体" w:cs="Times New Roman"/>
                      <w:b w:val="0"/>
                      <w:bCs w:val="0"/>
                      <w:color w:val="auto"/>
                      <w:kern w:val="0"/>
                      <w:sz w:val="21"/>
                      <w:szCs w:val="21"/>
                      <w:highlight w:val="none"/>
                      <w:vertAlign w:val="baseline"/>
                      <w:lang w:val="en-US" w:eastAsia="zh-CN"/>
                    </w:rPr>
                    <w:t>年蓝天保卫战实施方案》</w:t>
                  </w:r>
                </w:p>
              </w:tc>
            </w:tr>
            <w:tr w14:paraId="4EB4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vAlign w:val="center"/>
                </w:tcPr>
                <w:p w14:paraId="03F9FD9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1、依法依规淘汰落后低效产能</w:t>
                  </w:r>
                </w:p>
              </w:tc>
              <w:tc>
                <w:tcPr>
                  <w:tcW w:w="2581" w:type="pct"/>
                  <w:vAlign w:val="center"/>
                </w:tcPr>
                <w:p w14:paraId="2AF4E4D3">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严格落实《产业结构调整指导目录</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2024年本</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》《河南省淘汰落后产能综合标准体系</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2023年本</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》《国家污染防治技术指导目录</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2024年，限制类和淘汰类</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要求，加快落后生产工艺装备和过剩产能淘汰退出，列入2025年去产能计划的生产设施9月底前停止排污。全市严禁新改扩建烧结砖瓦项目，有序退出6000万标砖/年以下和城市规划区内的烧结砖及烧结空心砌块生产线，2025年4月组织开展烧结砖瓦行业专项整治</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回头看</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，原则上对达不到B级及以上绩效水平的烧结砖瓦企业实施停产整治</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持续推动生物质小锅炉关停整合。2025年4月底前制定年度落后产能淘汰退出工作方案，排查建立淘汰退出任务台账。2025年9月底前整合淘汰现有5台2蒸吨及以下生物质锅炉。</w:t>
                  </w:r>
                </w:p>
              </w:tc>
              <w:tc>
                <w:tcPr>
                  <w:tcW w:w="1233" w:type="pct"/>
                  <w:vAlign w:val="center"/>
                </w:tcPr>
                <w:p w14:paraId="44734824">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eastAsia" w:cs="Times New Roman"/>
                      <w:b w:val="0"/>
                      <w:bCs w:val="0"/>
                      <w:color w:val="auto"/>
                      <w:sz w:val="21"/>
                      <w:szCs w:val="21"/>
                      <w:highlight w:val="none"/>
                      <w:u w:val="none"/>
                      <w:lang w:val="en-US" w:eastAsia="zh-CN"/>
                    </w:rPr>
                    <w:t>C3512石油钻采专用设备制造</w:t>
                  </w:r>
                  <w:r>
                    <w:rPr>
                      <w:rFonts w:hint="default" w:ascii="Times New Roman" w:hAnsi="Times New Roman" w:eastAsia="宋体" w:cs="Times New Roman"/>
                      <w:color w:val="auto"/>
                      <w:sz w:val="21"/>
                      <w:szCs w:val="21"/>
                      <w:highlight w:val="none"/>
                    </w:rPr>
                    <w:t>，不属于落后产能企业</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lang w:val="en-US" w:eastAsia="zh-CN"/>
                    </w:rPr>
                    <w:t>烧结砖瓦项目</w:t>
                  </w:r>
                  <w:r>
                    <w:rPr>
                      <w:rFonts w:hint="eastAsia" w:ascii="Times New Roman" w:hAnsi="Times New Roman" w:eastAsia="宋体" w:cs="Times New Roman"/>
                      <w:color w:val="auto"/>
                      <w:sz w:val="21"/>
                      <w:szCs w:val="21"/>
                      <w:highlight w:val="none"/>
                      <w:lang w:val="en-US" w:eastAsia="zh-CN"/>
                    </w:rPr>
                    <w:t>，项目不涉及</w:t>
                  </w:r>
                  <w:r>
                    <w:rPr>
                      <w:rFonts w:hint="default" w:ascii="Times New Roman" w:hAnsi="Times New Roman" w:eastAsia="宋体" w:cs="Times New Roman"/>
                      <w:color w:val="auto"/>
                      <w:sz w:val="21"/>
                      <w:szCs w:val="21"/>
                      <w:highlight w:val="none"/>
                      <w:lang w:val="en-US" w:eastAsia="zh-CN"/>
                    </w:rPr>
                    <w:t>生物质锅炉</w:t>
                  </w:r>
                  <w:r>
                    <w:rPr>
                      <w:rFonts w:hint="eastAsia" w:ascii="Times New Roman" w:hAnsi="Times New Roman" w:eastAsia="宋体" w:cs="Times New Roman"/>
                      <w:color w:val="auto"/>
                      <w:sz w:val="21"/>
                      <w:szCs w:val="21"/>
                      <w:highlight w:val="none"/>
                      <w:lang w:val="en-US" w:eastAsia="zh-CN"/>
                    </w:rPr>
                    <w:t>建设</w:t>
                  </w:r>
                  <w:r>
                    <w:rPr>
                      <w:rFonts w:hint="default" w:ascii="Times New Roman" w:hAnsi="Times New Roman" w:eastAsia="宋体" w:cs="Times New Roman"/>
                      <w:color w:val="auto"/>
                      <w:sz w:val="21"/>
                      <w:szCs w:val="21"/>
                      <w:highlight w:val="none"/>
                    </w:rPr>
                    <w:t>。</w:t>
                  </w:r>
                </w:p>
              </w:tc>
              <w:tc>
                <w:tcPr>
                  <w:tcW w:w="589" w:type="pct"/>
                  <w:vAlign w:val="center"/>
                </w:tcPr>
                <w:p w14:paraId="7695697B">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相符</w:t>
                  </w:r>
                </w:p>
              </w:tc>
            </w:tr>
            <w:tr w14:paraId="6781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vAlign w:val="center"/>
                </w:tcPr>
                <w:p w14:paraId="6B8DA98F">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6、深入开展低效失效设施排查整治</w:t>
                  </w:r>
                </w:p>
              </w:tc>
              <w:tc>
                <w:tcPr>
                  <w:tcW w:w="2581" w:type="pct"/>
                  <w:vAlign w:val="center"/>
                </w:tcPr>
                <w:p w14:paraId="6B66E27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对照《低效失效大气污染治理设施排查整治技术要点》，持续开展低效失效大气污染治理设施排查，淘汰不成熟、不适用、无法稳定达标排放的治理工艺，整治关键组件缺失、质量低劣、自动化水平低的治理设施，纳入年度重点治理任务限期完成提升改造。结合低效失效大气污染治理设施排查情况，动态管理整治问题清单，2025年10月底前至少完成49个低效失效治理问题整治工作</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未按时完成提升改造的纳入秋冬季生产调控范围。</w:t>
                  </w:r>
                </w:p>
              </w:tc>
              <w:tc>
                <w:tcPr>
                  <w:tcW w:w="1233" w:type="pct"/>
                  <w:vAlign w:val="center"/>
                </w:tcPr>
                <w:p w14:paraId="50B7D31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本项目防锈处理工序涉及VOCs，</w:t>
                  </w:r>
                  <w:r>
                    <w:rPr>
                      <w:rFonts w:hint="eastAsia" w:cs="Times New Roman"/>
                      <w:color w:val="auto"/>
                      <w:sz w:val="21"/>
                      <w:szCs w:val="21"/>
                      <w:highlight w:val="none"/>
                      <w:lang w:eastAsia="zh-CN"/>
                    </w:rPr>
                    <w:t>收集后引入活性炭+分子筛吸附装置+15m排气筒（DA002）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对照</w:t>
                  </w:r>
                  <w:r>
                    <w:rPr>
                      <w:rFonts w:hint="default" w:ascii="Times New Roman" w:hAnsi="Times New Roman" w:eastAsia="宋体" w:cs="Times New Roman"/>
                      <w:b w:val="0"/>
                      <w:bCs w:val="0"/>
                      <w:color w:val="auto"/>
                      <w:kern w:val="0"/>
                      <w:sz w:val="21"/>
                      <w:szCs w:val="21"/>
                      <w:highlight w:val="none"/>
                      <w:vertAlign w:val="baseline"/>
                      <w:lang w:val="en-US" w:eastAsia="zh-CN"/>
                    </w:rPr>
                    <w:t>《低效失效大气污染治理设施排查整治技术要点》</w:t>
                  </w:r>
                  <w:r>
                    <w:rPr>
                      <w:rFonts w:hint="default" w:ascii="Times New Roman" w:hAnsi="Times New Roman" w:eastAsia="宋体" w:cs="Times New Roman"/>
                      <w:color w:val="auto"/>
                      <w:sz w:val="21"/>
                      <w:szCs w:val="21"/>
                      <w:highlight w:val="none"/>
                    </w:rPr>
                    <w:t>不属于</w:t>
                  </w:r>
                  <w:r>
                    <w:rPr>
                      <w:rFonts w:hint="eastAsia" w:cs="Times New Roman"/>
                      <w:b w:val="0"/>
                      <w:bCs w:val="0"/>
                      <w:color w:val="auto"/>
                      <w:kern w:val="0"/>
                      <w:sz w:val="21"/>
                      <w:szCs w:val="21"/>
                      <w:highlight w:val="none"/>
                      <w:vertAlign w:val="baseline"/>
                      <w:lang w:val="en-US" w:eastAsia="zh-CN"/>
                    </w:rPr>
                    <w:t>低效失效</w:t>
                  </w:r>
                  <w:r>
                    <w:rPr>
                      <w:rFonts w:hint="default" w:ascii="Times New Roman" w:hAnsi="Times New Roman" w:eastAsia="宋体" w:cs="Times New Roman"/>
                      <w:color w:val="auto"/>
                      <w:sz w:val="21"/>
                      <w:szCs w:val="21"/>
                      <w:highlight w:val="none"/>
                    </w:rPr>
                    <w:t>环保设备。</w:t>
                  </w:r>
                </w:p>
              </w:tc>
              <w:tc>
                <w:tcPr>
                  <w:tcW w:w="589" w:type="pct"/>
                  <w:vAlign w:val="center"/>
                </w:tcPr>
                <w:p w14:paraId="301632C9">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相符</w:t>
                  </w:r>
                </w:p>
              </w:tc>
            </w:tr>
            <w:tr w14:paraId="7B93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vAlign w:val="center"/>
                </w:tcPr>
                <w:p w14:paraId="14C7FD0C">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7、实施挥发性有机物综合治理</w:t>
                  </w:r>
                </w:p>
              </w:tc>
              <w:tc>
                <w:tcPr>
                  <w:tcW w:w="2581" w:type="pct"/>
                  <w:vAlign w:val="center"/>
                </w:tcPr>
                <w:p w14:paraId="637ED5A6">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组织涉VOCs企业针对挥发性有机液体储罐、装卸、敞开液面、泄漏检测与修复</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LDAR</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、废气收集、废气旁路、治理设施、加油站、非正常工况、产品VOCs含量等10个关键环节开展VOCs治理突出问题排查整治，在汽车、机械制造、家具、汽修、塑料软包装、印铁制罐、包装印刷等领域推广使用低</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无</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VOCs含量涂料和油墨，对完成源头替代的企业纳入“白名单”管理，在重污染天气预警期间实施自主减排</w:t>
                  </w:r>
                  <w:r>
                    <w:rPr>
                      <w:rFonts w:hint="eastAsia" w:cs="Times New Roman"/>
                      <w:b w:val="0"/>
                      <w:bCs w:val="0"/>
                      <w:color w:val="auto"/>
                      <w:kern w:val="0"/>
                      <w:sz w:val="21"/>
                      <w:szCs w:val="21"/>
                      <w:highlight w:val="none"/>
                      <w:vertAlign w:val="baseline"/>
                      <w:lang w:val="en-US" w:eastAsia="zh-CN"/>
                    </w:rPr>
                    <w:t>。</w:t>
                  </w:r>
                </w:p>
              </w:tc>
              <w:tc>
                <w:tcPr>
                  <w:tcW w:w="1233" w:type="pct"/>
                  <w:vAlign w:val="center"/>
                </w:tcPr>
                <w:p w14:paraId="38E74888">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本项目不涉及含VOCs有机废水储罐、装置区集水井池等。</w:t>
                  </w:r>
                </w:p>
              </w:tc>
              <w:tc>
                <w:tcPr>
                  <w:tcW w:w="589" w:type="pct"/>
                  <w:vAlign w:val="center"/>
                </w:tcPr>
                <w:p w14:paraId="67D89947">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相符</w:t>
                  </w:r>
                </w:p>
              </w:tc>
            </w:tr>
            <w:tr w14:paraId="05C4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596" w:type="pct"/>
                  <w:vAlign w:val="center"/>
                </w:tcPr>
                <w:p w14:paraId="51F9B0D9">
                  <w:pPr>
                    <w:pStyle w:val="58"/>
                    <w:keepNext w:val="0"/>
                    <w:keepLines w:val="0"/>
                    <w:pageBreakBefore w:val="0"/>
                    <w:widowControl w:val="0"/>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2</w:t>
                  </w:r>
                  <w:r>
                    <w:rPr>
                      <w:rFonts w:hint="eastAsia" w:eastAsia="宋体" w:cs="Times New Roman"/>
                      <w:b w:val="0"/>
                      <w:bCs w:val="0"/>
                      <w:color w:val="auto"/>
                      <w:kern w:val="0"/>
                      <w:sz w:val="21"/>
                      <w:szCs w:val="21"/>
                      <w:highlight w:val="none"/>
                      <w:vertAlign w:val="baseline"/>
                      <w:lang w:val="en-US" w:eastAsia="zh-CN"/>
                    </w:rPr>
                    <w:t>1、</w:t>
                  </w:r>
                  <w:r>
                    <w:rPr>
                      <w:rFonts w:hint="default" w:ascii="Times New Roman" w:hAnsi="Times New Roman" w:eastAsia="宋体" w:cs="Times New Roman"/>
                      <w:b w:val="0"/>
                      <w:bCs w:val="0"/>
                      <w:color w:val="auto"/>
                      <w:kern w:val="0"/>
                      <w:sz w:val="21"/>
                      <w:szCs w:val="21"/>
                      <w:highlight w:val="none"/>
                      <w:vertAlign w:val="baseline"/>
                      <w:lang w:val="en-US" w:eastAsia="zh-CN"/>
                    </w:rPr>
                    <w:t>强化污染源监控能力</w:t>
                  </w:r>
                </w:p>
              </w:tc>
              <w:tc>
                <w:tcPr>
                  <w:tcW w:w="2581" w:type="pct"/>
                  <w:vAlign w:val="center"/>
                </w:tcPr>
                <w:p w14:paraId="3B0A6E66">
                  <w:pPr>
                    <w:pStyle w:val="58"/>
                    <w:keepNext w:val="0"/>
                    <w:keepLines w:val="0"/>
                    <w:pageBreakBefore w:val="0"/>
                    <w:widowControl w:val="0"/>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扩大排污单位自动监控覆盖范围，持续推进排污单位依法安装自动监控设施并与生态环境部门联网。加强可视化监控能力建设，推进重点行业企业工况监控、视频监控等设施联网。配合做好省级监控平台和市级各类监控监管平台的融合互通工作，对现有信息化平台进行梳理整合和功能衔接。加强数据互联共享，加快涉生态环境数据互联共享能力建设。</w:t>
                  </w:r>
                </w:p>
              </w:tc>
              <w:tc>
                <w:tcPr>
                  <w:tcW w:w="1233" w:type="pct"/>
                  <w:vAlign w:val="center"/>
                </w:tcPr>
                <w:p w14:paraId="3042DEA7">
                  <w:pPr>
                    <w:pStyle w:val="58"/>
                    <w:keepNext w:val="0"/>
                    <w:keepLines w:val="0"/>
                    <w:pageBreakBefore w:val="0"/>
                    <w:widowControl w:val="0"/>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eastAsia="zh-CN"/>
                    </w:rPr>
                    <w:t>本项目不涉及</w:t>
                  </w:r>
                  <w:r>
                    <w:rPr>
                      <w:rFonts w:hint="default" w:ascii="Times New Roman" w:hAnsi="Times New Roman" w:eastAsia="宋体" w:cs="Times New Roman"/>
                      <w:color w:val="auto"/>
                      <w:sz w:val="21"/>
                      <w:szCs w:val="21"/>
                      <w:highlight w:val="none"/>
                      <w:lang w:eastAsia="zh-CN"/>
                    </w:rPr>
                    <w:t>重点排污单位和重点行业。</w:t>
                  </w:r>
                </w:p>
              </w:tc>
              <w:tc>
                <w:tcPr>
                  <w:tcW w:w="589" w:type="pct"/>
                  <w:vAlign w:val="center"/>
                </w:tcPr>
                <w:p w14:paraId="244C9AB7">
                  <w:pPr>
                    <w:pStyle w:val="58"/>
                    <w:keepNext w:val="0"/>
                    <w:keepLines w:val="0"/>
                    <w:pageBreakBefore w:val="0"/>
                    <w:widowControl w:val="0"/>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1FE4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5000" w:type="pct"/>
                  <w:gridSpan w:val="4"/>
                  <w:vAlign w:val="center"/>
                </w:tcPr>
                <w:p w14:paraId="06F4E40A">
                  <w:pPr>
                    <w:pStyle w:val="58"/>
                    <w:keepNext w:val="0"/>
                    <w:keepLines w:val="0"/>
                    <w:pageBreakBefore w:val="0"/>
                    <w:widowControl w:val="0"/>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《濮阳市202</w:t>
                  </w:r>
                  <w:r>
                    <w:rPr>
                      <w:rFonts w:hint="eastAsia" w:eastAsia="宋体"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年碧水保卫战实施方案》</w:t>
                  </w:r>
                </w:p>
              </w:tc>
            </w:tr>
            <w:tr w14:paraId="68DD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596" w:type="pct"/>
                  <w:shd w:val="clear" w:color="auto" w:fill="auto"/>
                  <w:vAlign w:val="center"/>
                </w:tcPr>
                <w:p w14:paraId="4FF89045">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firstLineChars="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6</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eastAsia" w:cs="Times New Roman"/>
                      <w:b w:val="0"/>
                      <w:bCs w:val="0"/>
                      <w:color w:val="auto"/>
                      <w:kern w:val="0"/>
                      <w:sz w:val="21"/>
                      <w:szCs w:val="21"/>
                      <w:highlight w:val="none"/>
                      <w:vertAlign w:val="baseline"/>
                      <w:lang w:val="en-US" w:eastAsia="zh-CN"/>
                    </w:rPr>
                    <w:t>持续</w:t>
                  </w:r>
                  <w:r>
                    <w:rPr>
                      <w:rFonts w:hint="default" w:ascii="Times New Roman" w:hAnsi="Times New Roman" w:eastAsia="宋体" w:cs="Times New Roman"/>
                      <w:b w:val="0"/>
                      <w:bCs w:val="0"/>
                      <w:color w:val="auto"/>
                      <w:kern w:val="0"/>
                      <w:sz w:val="21"/>
                      <w:szCs w:val="21"/>
                      <w:highlight w:val="none"/>
                      <w:vertAlign w:val="baseline"/>
                      <w:lang w:val="en-US" w:eastAsia="zh-CN"/>
                    </w:rPr>
                    <w:t>推动企业绿色转型发展</w:t>
                  </w:r>
                </w:p>
              </w:tc>
              <w:tc>
                <w:tcPr>
                  <w:tcW w:w="2581" w:type="pct"/>
                  <w:shd w:val="clear" w:color="auto" w:fill="auto"/>
                  <w:vAlign w:val="center"/>
                </w:tcPr>
                <w:p w14:paraId="18F13559">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rPr>
                    <w:t>严格项目准入，坚决遏制</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两高一低</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项目盲目发展</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严格落实生态环境分区管控，加快推进工业企业绿色转型发展</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深入推进重点水污染物排放行业清洁生产审核</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培育壮大节能、节水、环保和资源综合利用产业，提高能源资源利用效率</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对有色金属、化工、石油开采、造纸、印染、农副食品加工等行业，全面推进清洁生产改造或清洁化改造。</w:t>
                  </w:r>
                </w:p>
              </w:tc>
              <w:tc>
                <w:tcPr>
                  <w:tcW w:w="1233" w:type="pct"/>
                  <w:shd w:val="clear" w:color="auto" w:fill="auto"/>
                  <w:vAlign w:val="center"/>
                </w:tcPr>
                <w:p w14:paraId="12C34ABF">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本项目</w:t>
                  </w:r>
                  <w:r>
                    <w:rPr>
                      <w:rFonts w:hint="eastAsia" w:cs="Times New Roman"/>
                      <w:color w:val="auto"/>
                      <w:sz w:val="21"/>
                      <w:szCs w:val="21"/>
                      <w:highlight w:val="none"/>
                      <w:lang w:val="en-US" w:eastAsia="zh-CN"/>
                    </w:rPr>
                    <w:t>不属于</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两高一低</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项目</w:t>
                  </w:r>
                  <w:r>
                    <w:rPr>
                      <w:rFonts w:hint="eastAsia" w:ascii="Times New Roman" w:hAnsi="Times New Roman" w:eastAsia="宋体" w:cs="Times New Roman"/>
                      <w:b w:val="0"/>
                      <w:bCs w:val="0"/>
                      <w:color w:val="auto"/>
                      <w:kern w:val="0"/>
                      <w:sz w:val="21"/>
                      <w:szCs w:val="21"/>
                      <w:highlight w:val="none"/>
                      <w:vertAlign w:val="baseline"/>
                      <w:lang w:val="en-US" w:eastAsia="zh-CN"/>
                    </w:rPr>
                    <w:t>，</w:t>
                  </w:r>
                  <w:r>
                    <w:rPr>
                      <w:rFonts w:hint="eastAsia" w:cs="Times New Roman"/>
                      <w:color w:val="auto"/>
                      <w:sz w:val="21"/>
                      <w:szCs w:val="21"/>
                      <w:highlight w:val="none"/>
                      <w:lang w:val="en-US" w:eastAsia="zh-CN"/>
                    </w:rPr>
                    <w:t>不产生生产废水，生活污水经化粪池处理后排入污水处理厂</w:t>
                  </w:r>
                  <w:r>
                    <w:rPr>
                      <w:rFonts w:hint="default" w:ascii="Times New Roman" w:hAnsi="Times New Roman" w:eastAsia="宋体" w:cs="Times New Roman"/>
                      <w:color w:val="auto"/>
                      <w:sz w:val="21"/>
                      <w:szCs w:val="21"/>
                      <w:highlight w:val="none"/>
                      <w:lang w:eastAsia="zh-CN"/>
                    </w:rPr>
                    <w:t>。</w:t>
                  </w:r>
                </w:p>
              </w:tc>
              <w:tc>
                <w:tcPr>
                  <w:tcW w:w="589" w:type="pct"/>
                  <w:vAlign w:val="center"/>
                </w:tcPr>
                <w:p w14:paraId="4E46C585">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相符</w:t>
                  </w:r>
                </w:p>
              </w:tc>
            </w:tr>
            <w:tr w14:paraId="185A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596" w:type="pct"/>
                  <w:shd w:val="clear" w:color="auto" w:fill="auto"/>
                  <w:vAlign w:val="center"/>
                </w:tcPr>
                <w:p w14:paraId="575CC956">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firstLineChars="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18、</w:t>
                  </w:r>
                  <w:r>
                    <w:rPr>
                      <w:rFonts w:hint="default" w:ascii="Times New Roman" w:hAnsi="Times New Roman" w:eastAsia="宋体" w:cs="Times New Roman"/>
                      <w:b w:val="0"/>
                      <w:bCs w:val="0"/>
                      <w:color w:val="auto"/>
                      <w:kern w:val="0"/>
                      <w:sz w:val="21"/>
                      <w:szCs w:val="21"/>
                      <w:highlight w:val="none"/>
                      <w:vertAlign w:val="baseline"/>
                      <w:lang w:val="en-US" w:eastAsia="zh-CN"/>
                    </w:rPr>
                    <w:t>严格防范水生生态环境风险。</w:t>
                  </w:r>
                </w:p>
              </w:tc>
              <w:tc>
                <w:tcPr>
                  <w:tcW w:w="2581" w:type="pct"/>
                  <w:shd w:val="clear" w:color="auto" w:fill="auto"/>
                  <w:vAlign w:val="center"/>
                </w:tcPr>
                <w:p w14:paraId="4A730745">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加强有毒有害物质环境监管，加强危险废物风险防控</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持续推动重点河流突发水污染事件环境应急</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一河一策一图</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成果应用，有序推进化工园区环境应急三级防控体系建设</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加强交通运输领域水环境风险防范，健全流域上下游突发水污染事件联防联控机制</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加强汛期水环境风险防控，强化次生环境事件风险管控。</w:t>
                  </w:r>
                </w:p>
              </w:tc>
              <w:tc>
                <w:tcPr>
                  <w:tcW w:w="1233" w:type="pct"/>
                  <w:shd w:val="clear" w:color="auto" w:fill="auto"/>
                  <w:vAlign w:val="center"/>
                </w:tcPr>
                <w:p w14:paraId="79482615">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本项目不涉及</w:t>
                  </w:r>
                  <w:r>
                    <w:rPr>
                      <w:rFonts w:hint="default" w:ascii="Times New Roman" w:hAnsi="Times New Roman" w:eastAsia="宋体" w:cs="Times New Roman"/>
                      <w:color w:val="auto"/>
                      <w:sz w:val="21"/>
                      <w:szCs w:val="21"/>
                      <w:highlight w:val="none"/>
                      <w:lang w:eastAsia="zh-CN"/>
                    </w:rPr>
                    <w:t>涉危涉重企业。</w:t>
                  </w:r>
                </w:p>
              </w:tc>
              <w:tc>
                <w:tcPr>
                  <w:tcW w:w="589" w:type="pct"/>
                  <w:vAlign w:val="center"/>
                </w:tcPr>
                <w:p w14:paraId="1BF9F5A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相符</w:t>
                  </w:r>
                </w:p>
              </w:tc>
            </w:tr>
            <w:tr w14:paraId="0984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74D56C68">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《濮阳市202</w:t>
                  </w:r>
                  <w:r>
                    <w:rPr>
                      <w:rFonts w:hint="eastAsia"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年净土保卫战实施方案》</w:t>
                  </w:r>
                </w:p>
              </w:tc>
            </w:tr>
            <w:tr w14:paraId="274B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96" w:type="pct"/>
                  <w:vAlign w:val="center"/>
                </w:tcPr>
                <w:p w14:paraId="745A252B">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7</w:t>
                  </w:r>
                  <w:r>
                    <w:rPr>
                      <w:rFonts w:hint="default" w:ascii="Times New Roman" w:hAnsi="Times New Roman" w:eastAsia="宋体" w:cs="Times New Roman"/>
                      <w:b w:val="0"/>
                      <w:bCs w:val="0"/>
                      <w:color w:val="auto"/>
                      <w:kern w:val="0"/>
                      <w:sz w:val="21"/>
                      <w:szCs w:val="21"/>
                      <w:highlight w:val="none"/>
                      <w:vertAlign w:val="baseline"/>
                      <w:lang w:val="en-US" w:eastAsia="zh-CN"/>
                    </w:rPr>
                    <w:t>.加强地下水污染风险管控</w:t>
                  </w:r>
                </w:p>
              </w:tc>
              <w:tc>
                <w:tcPr>
                  <w:tcW w:w="2581" w:type="pct"/>
                  <w:vAlign w:val="center"/>
                </w:tcPr>
                <w:p w14:paraId="3C1C5B58">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持续加强</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十四五</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国家地下水考核点位水质管理，我市有3个地下水国考水质点位，分别在工业园区滹沱村、经开区后皇甫村、经开区王助镇前漳消村，工业园区、经开区应高度关注国考点位周边环境状况，定期开展国考点位周边污染隐患排查，确保国考点位水质总体保持稳定。针对出现水质恶化或水质持续较差的点位，分析研判超标原因，因地制宜采取措施改善水质状况。有序建立并动态更新地下水污染防治重点排污单位名录。</w:t>
                  </w:r>
                </w:p>
              </w:tc>
              <w:tc>
                <w:tcPr>
                  <w:tcW w:w="1233" w:type="pct"/>
                  <w:vAlign w:val="center"/>
                </w:tcPr>
                <w:p w14:paraId="798CD896">
                  <w:pPr>
                    <w:pStyle w:val="24"/>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制定相关制度，加强厂区采取防渗措施管理，提高管理水平。</w:t>
                  </w:r>
                </w:p>
              </w:tc>
              <w:tc>
                <w:tcPr>
                  <w:tcW w:w="589" w:type="pct"/>
                  <w:vAlign w:val="center"/>
                </w:tcPr>
                <w:p w14:paraId="1F3F05AA">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相符</w:t>
                  </w:r>
                </w:p>
              </w:tc>
            </w:tr>
          </w:tbl>
          <w:p w14:paraId="511502A3">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default" w:ascii="Times New Roman" w:hAnsi="Times New Roman" w:eastAsia="宋体" w:cs="Times New Roman"/>
                <w:b w:val="0"/>
                <w:bCs w:val="0"/>
                <w:color w:val="auto"/>
                <w:kern w:val="0"/>
                <w:sz w:val="24"/>
                <w:szCs w:val="24"/>
                <w:highlight w:val="none"/>
                <w:vertAlign w:val="baseline"/>
                <w:lang w:val="en-US" w:eastAsia="zh-CN"/>
              </w:rPr>
            </w:pPr>
            <w:r>
              <w:rPr>
                <w:rFonts w:hint="default" w:ascii="Times New Roman" w:hAnsi="Times New Roman" w:eastAsia="宋体" w:cs="Times New Roman"/>
                <w:b w:val="0"/>
                <w:bCs w:val="0"/>
                <w:color w:val="auto"/>
                <w:kern w:val="0"/>
                <w:sz w:val="24"/>
                <w:szCs w:val="24"/>
                <w:highlight w:val="none"/>
                <w:vertAlign w:val="baseline"/>
                <w:lang w:val="en-US" w:eastAsia="zh-CN"/>
              </w:rPr>
              <w:t>由上表可见，本项目建设与《濮阳市2025年蓝天保卫战实施方案》《濮阳市2025年碧水保卫战实施方案》《濮阳市2025年净土保卫战实施方案》的通知（濮环委办〔2025〕1号）相符。</w:t>
            </w:r>
          </w:p>
          <w:p w14:paraId="64B4A560">
            <w:pPr>
              <w:keepNext w:val="0"/>
              <w:keepLines w:val="0"/>
              <w:pageBreakBefore w:val="0"/>
              <w:widowControl w:val="0"/>
              <w:kinsoku/>
              <w:wordWrap/>
              <w:overflowPunct/>
              <w:topLinePunct w:val="0"/>
              <w:autoSpaceDE w:val="0"/>
              <w:autoSpaceDN w:val="0"/>
              <w:bidi w:val="0"/>
              <w:adjustRightInd w:val="0"/>
              <w:snapToGrid w:val="0"/>
              <w:spacing w:line="520" w:lineRule="atLeast"/>
              <w:ind w:left="0" w:leftChars="0" w:right="0" w:rightChars="0"/>
              <w:jc w:val="both"/>
              <w:textAlignment w:val="auto"/>
              <w:rPr>
                <w:rFonts w:hint="default" w:ascii="Times New Roman" w:hAnsi="Times New Roman" w:eastAsia="宋体" w:cs="Times New Roman"/>
                <w:b/>
                <w:bCs/>
                <w:color w:val="auto"/>
                <w:kern w:val="0"/>
                <w:sz w:val="24"/>
                <w:szCs w:val="24"/>
                <w:highlight w:val="none"/>
                <w:vertAlign w:val="baseline"/>
                <w:lang w:val="en-US" w:eastAsia="zh-CN" w:bidi="ar-SA"/>
              </w:rPr>
            </w:pPr>
            <w:r>
              <w:rPr>
                <w:rFonts w:hint="eastAsia" w:cs="Times New Roman"/>
                <w:b/>
                <w:bCs/>
                <w:color w:val="auto"/>
                <w:kern w:val="0"/>
                <w:sz w:val="24"/>
                <w:szCs w:val="24"/>
                <w:highlight w:val="none"/>
                <w:vertAlign w:val="baseline"/>
                <w:lang w:val="en-US" w:eastAsia="zh-CN" w:bidi="ar-SA"/>
              </w:rPr>
              <w:t>4</w:t>
            </w:r>
            <w:r>
              <w:rPr>
                <w:rFonts w:hint="default" w:ascii="Times New Roman" w:hAnsi="Times New Roman" w:eastAsia="宋体" w:cs="Times New Roman"/>
                <w:b/>
                <w:bCs/>
                <w:color w:val="auto"/>
                <w:kern w:val="0"/>
                <w:sz w:val="24"/>
                <w:szCs w:val="24"/>
                <w:highlight w:val="none"/>
                <w:vertAlign w:val="baseline"/>
                <w:lang w:val="en-US" w:eastAsia="zh-CN" w:bidi="ar-SA"/>
              </w:rPr>
              <w:t>、与《挥发性有机物无组织排放污染控制标准》</w:t>
            </w:r>
            <w:r>
              <w:rPr>
                <w:rFonts w:hint="eastAsia" w:cs="Times New Roman"/>
                <w:b/>
                <w:bCs/>
                <w:color w:val="auto"/>
                <w:kern w:val="0"/>
                <w:sz w:val="24"/>
                <w:szCs w:val="24"/>
                <w:highlight w:val="none"/>
                <w:vertAlign w:val="baseline"/>
                <w:lang w:val="en-US" w:eastAsia="zh-CN" w:bidi="ar-SA"/>
              </w:rPr>
              <w:t>（GB 37822—2019）</w:t>
            </w:r>
            <w:r>
              <w:rPr>
                <w:rFonts w:hint="default" w:ascii="Times New Roman" w:hAnsi="Times New Roman" w:eastAsia="宋体" w:cs="Times New Roman"/>
                <w:b/>
                <w:bCs/>
                <w:color w:val="auto"/>
                <w:kern w:val="0"/>
                <w:sz w:val="24"/>
                <w:szCs w:val="24"/>
                <w:highlight w:val="none"/>
                <w:vertAlign w:val="baseline"/>
                <w:lang w:val="en-US" w:eastAsia="zh-CN" w:bidi="ar-SA"/>
              </w:rPr>
              <w:t>相符性分析</w:t>
            </w:r>
          </w:p>
          <w:p w14:paraId="4D8CA3D3">
            <w:pPr>
              <w:keepNext w:val="0"/>
              <w:keepLines w:val="0"/>
              <w:pageBreakBefore w:val="0"/>
              <w:widowControl w:val="0"/>
              <w:kinsoku/>
              <w:wordWrap/>
              <w:overflowPunct/>
              <w:topLinePunct w:val="0"/>
              <w:autoSpaceDE w:val="0"/>
              <w:autoSpaceDN w:val="0"/>
              <w:bidi w:val="0"/>
              <w:adjustRightInd w:val="0"/>
              <w:snapToGrid w:val="0"/>
              <w:spacing w:line="520" w:lineRule="atLeast"/>
              <w:ind w:right="0" w:right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表1-</w:t>
            </w:r>
            <w:r>
              <w:rPr>
                <w:rFonts w:hint="eastAsia" w:cs="Times New Roman"/>
                <w:b w:val="0"/>
                <w:bCs w:val="0"/>
                <w:color w:val="auto"/>
                <w:kern w:val="0"/>
                <w:sz w:val="21"/>
                <w:szCs w:val="21"/>
                <w:highlight w:val="none"/>
                <w:vertAlign w:val="baseline"/>
                <w:lang w:val="en-US" w:eastAsia="zh-CN" w:bidi="ar-SA"/>
              </w:rPr>
              <w:t>6</w:t>
            </w:r>
            <w:r>
              <w:rPr>
                <w:rFonts w:hint="eastAsia" w:ascii="Times New Roman" w:hAnsi="Times New Roman" w:eastAsia="宋体" w:cs="Times New Roman"/>
                <w:b w:val="0"/>
                <w:bCs w:val="0"/>
                <w:color w:val="auto"/>
                <w:kern w:val="0"/>
                <w:sz w:val="21"/>
                <w:szCs w:val="21"/>
                <w:highlight w:val="none"/>
                <w:vertAlign w:val="baseline"/>
                <w:lang w:val="en-US" w:eastAsia="zh-CN" w:bidi="ar-SA"/>
              </w:rPr>
              <w:t xml:space="preserve">   </w:t>
            </w:r>
            <w:r>
              <w:rPr>
                <w:rFonts w:hint="default" w:ascii="Times New Roman" w:hAnsi="Times New Roman" w:eastAsia="宋体" w:cs="Times New Roman"/>
                <w:b w:val="0"/>
                <w:bCs w:val="0"/>
                <w:color w:val="auto"/>
                <w:kern w:val="0"/>
                <w:sz w:val="21"/>
                <w:szCs w:val="21"/>
                <w:highlight w:val="none"/>
                <w:vertAlign w:val="baseline"/>
                <w:lang w:val="en-US" w:eastAsia="zh-CN" w:bidi="ar-SA"/>
              </w:rPr>
              <w:t>与《挥发性有机物无组织排放污染控制标准》</w:t>
            </w:r>
            <w:r>
              <w:rPr>
                <w:rFonts w:hint="eastAsia" w:cs="Times New Roman"/>
                <w:b w:val="0"/>
                <w:bCs w:val="0"/>
                <w:color w:val="auto"/>
                <w:kern w:val="0"/>
                <w:sz w:val="21"/>
                <w:szCs w:val="21"/>
                <w:highlight w:val="none"/>
                <w:vertAlign w:val="baseline"/>
                <w:lang w:val="en-US" w:eastAsia="zh-CN" w:bidi="ar-SA"/>
              </w:rPr>
              <w:t>（GB 37822—2019）</w:t>
            </w:r>
            <w:r>
              <w:rPr>
                <w:rFonts w:hint="default" w:ascii="Times New Roman" w:hAnsi="Times New Roman" w:eastAsia="宋体" w:cs="Times New Roman"/>
                <w:b w:val="0"/>
                <w:bCs w:val="0"/>
                <w:color w:val="auto"/>
                <w:kern w:val="0"/>
                <w:sz w:val="21"/>
                <w:szCs w:val="21"/>
                <w:highlight w:val="none"/>
                <w:vertAlign w:val="baseline"/>
                <w:lang w:val="en-US" w:eastAsia="zh-CN" w:bidi="ar-SA"/>
              </w:rPr>
              <w:t>相符性分析表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4663"/>
              <w:gridCol w:w="1255"/>
              <w:gridCol w:w="897"/>
            </w:tblGrid>
            <w:tr w14:paraId="65A8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19F66EB8">
                  <w:pPr>
                    <w:pStyle w:val="11"/>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类别</w:t>
                  </w:r>
                </w:p>
              </w:tc>
              <w:tc>
                <w:tcPr>
                  <w:tcW w:w="4704" w:type="dxa"/>
                  <w:vAlign w:val="center"/>
                </w:tcPr>
                <w:p w14:paraId="03016869">
                  <w:pPr>
                    <w:pStyle w:val="11"/>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要求</w:t>
                  </w:r>
                </w:p>
              </w:tc>
              <w:tc>
                <w:tcPr>
                  <w:tcW w:w="1217" w:type="dxa"/>
                  <w:vAlign w:val="center"/>
                </w:tcPr>
                <w:p w14:paraId="4D4EC38B">
                  <w:pPr>
                    <w:pStyle w:val="11"/>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本项目</w:t>
                  </w:r>
                </w:p>
              </w:tc>
              <w:tc>
                <w:tcPr>
                  <w:tcW w:w="902" w:type="dxa"/>
                  <w:vAlign w:val="center"/>
                </w:tcPr>
                <w:p w14:paraId="78DB36FE">
                  <w:pPr>
                    <w:pStyle w:val="11"/>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相符性</w:t>
                  </w:r>
                </w:p>
              </w:tc>
            </w:tr>
            <w:tr w14:paraId="7E7A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3580BAA7">
                  <w:pPr>
                    <w:pStyle w:val="11"/>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工艺过程VOCs无组织排放控制要求</w:t>
                  </w:r>
                </w:p>
              </w:tc>
              <w:tc>
                <w:tcPr>
                  <w:tcW w:w="4704" w:type="dxa"/>
                  <w:vAlign w:val="center"/>
                </w:tcPr>
                <w:p w14:paraId="14024622">
                  <w:pPr>
                    <w:pStyle w:val="11"/>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both"/>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物料投放和卸放：</w:t>
                  </w:r>
                </w:p>
                <w:p w14:paraId="0543C2E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ind w:firstLine="0" w:firstLineChars="0"/>
                    <w:jc w:val="both"/>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bidi="ar-SA"/>
                    </w:rPr>
                    <w:t>a）</w:t>
                  </w:r>
                  <w:r>
                    <w:rPr>
                      <w:rFonts w:hint="default" w:ascii="Times New Roman" w:hAnsi="Times New Roman" w:eastAsia="宋体" w:cs="Times New Roman"/>
                      <w:b w:val="0"/>
                      <w:bCs w:val="0"/>
                      <w:color w:val="auto"/>
                      <w:kern w:val="0"/>
                      <w:sz w:val="21"/>
                      <w:szCs w:val="21"/>
                      <w:highlight w:val="none"/>
                      <w:vertAlign w:val="baseline"/>
                      <w:lang w:val="en-US" w:eastAsia="zh-CN"/>
                    </w:rPr>
                    <w:t>液态VOCs物料应采用密闭管道输送方式或采用高位槽（罐）、桶泵等给料方式密闭投加。无法密闭投加的，应在密闭空间内操作，或进行局部气体收集，废气应排至VOCs废气收集处理系统；</w:t>
                  </w:r>
                </w:p>
                <w:p w14:paraId="42211C1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ind w:firstLine="0" w:firstLineChars="0"/>
                    <w:jc w:val="both"/>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b）粉状、粒状VOCs物料应采用气力输送方式或采用密闭固体投料器等给料方式密闭投加。无法密闭投加的，应在密闭空间内操作，或进行局部气体收集，废气应排至除尘设施、VOCs废气收集处理系统。</w:t>
                  </w:r>
                </w:p>
                <w:p w14:paraId="4790799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ind w:firstLine="0" w:firstLineChars="0"/>
                    <w:jc w:val="both"/>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c）</w:t>
                  </w:r>
                  <w:r>
                    <w:rPr>
                      <w:rFonts w:hint="default" w:ascii="Times New Roman" w:hAnsi="Times New Roman" w:eastAsia="宋体" w:cs="Times New Roman"/>
                      <w:b w:val="0"/>
                      <w:bCs w:val="0"/>
                      <w:color w:val="auto"/>
                      <w:kern w:val="0"/>
                      <w:sz w:val="21"/>
                      <w:szCs w:val="21"/>
                      <w:highlight w:val="none"/>
                      <w:vertAlign w:val="baseline"/>
                      <w:lang w:val="en-US" w:eastAsia="zh-CN"/>
                    </w:rPr>
                    <w:t>VOCs物料卸（出、放）料过程应密闭，卸料废气应排至VOCs废气收集处理系统；无法密闭的，应采取局部气体收集措施，废气应排至VOCs废气收集处理系统。</w:t>
                  </w:r>
                </w:p>
              </w:tc>
              <w:tc>
                <w:tcPr>
                  <w:tcW w:w="1217" w:type="dxa"/>
                  <w:vAlign w:val="center"/>
                </w:tcPr>
                <w:p w14:paraId="1F7BB637">
                  <w:pPr>
                    <w:pStyle w:val="11"/>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both"/>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本项目</w:t>
                  </w:r>
                  <w:r>
                    <w:rPr>
                      <w:rFonts w:hint="eastAsia" w:cs="Times New Roman"/>
                      <w:b w:val="0"/>
                      <w:bCs w:val="0"/>
                      <w:color w:val="auto"/>
                      <w:sz w:val="21"/>
                      <w:szCs w:val="21"/>
                      <w:highlight w:val="none"/>
                      <w:u w:val="none"/>
                      <w:lang w:val="en-US" w:eastAsia="zh-CN"/>
                    </w:rPr>
                    <w:t>VOCs收集后引入活性炭+分子筛吸附装置+15m排气筒（DA002）排放。</w:t>
                  </w:r>
                </w:p>
              </w:tc>
              <w:tc>
                <w:tcPr>
                  <w:tcW w:w="902" w:type="dxa"/>
                  <w:vAlign w:val="center"/>
                </w:tcPr>
                <w:p w14:paraId="3BDCD13D">
                  <w:pPr>
                    <w:pStyle w:val="11"/>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相符</w:t>
                  </w:r>
                </w:p>
              </w:tc>
            </w:tr>
          </w:tbl>
          <w:p w14:paraId="559106B8">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0" w:firstLineChars="0"/>
              <w:jc w:val="both"/>
              <w:textAlignment w:val="baseline"/>
              <w:rPr>
                <w:rFonts w:hint="default" w:ascii="Times New Roman" w:hAnsi="Times New Roman" w:eastAsia="宋体" w:cs="Times New Roman"/>
                <w:b/>
                <w:bCs/>
                <w:color w:val="auto"/>
                <w:kern w:val="0"/>
                <w:sz w:val="24"/>
                <w:szCs w:val="24"/>
                <w:highlight w:val="none"/>
                <w:vertAlign w:val="baseline"/>
                <w:lang w:val="en-US" w:eastAsia="zh-CN"/>
              </w:rPr>
            </w:pPr>
            <w:r>
              <w:rPr>
                <w:rFonts w:hint="eastAsia" w:ascii="Times New Roman" w:hAnsi="Times New Roman" w:eastAsia="宋体" w:cs="Times New Roman"/>
                <w:b/>
                <w:bCs/>
                <w:color w:val="auto"/>
                <w:kern w:val="0"/>
                <w:sz w:val="24"/>
                <w:szCs w:val="24"/>
                <w:highlight w:val="none"/>
                <w:vertAlign w:val="baseline"/>
                <w:lang w:val="en-US" w:eastAsia="zh-CN"/>
              </w:rPr>
              <w:t>5、与《河南省重污染天气通用行业应急减排措施制定技术指南（2024年修订版）》相符性分析</w:t>
            </w:r>
          </w:p>
          <w:p w14:paraId="4220AA2E">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eastAsia" w:ascii="Times New Roman" w:hAnsi="Times New Roman" w:eastAsia="宋体" w:cs="Times New Roman"/>
                <w:b w:val="0"/>
                <w:bCs w:val="0"/>
                <w:color w:val="auto"/>
                <w:kern w:val="0"/>
                <w:sz w:val="24"/>
                <w:szCs w:val="24"/>
                <w:highlight w:val="none"/>
                <w:u w:val="single"/>
                <w:vertAlign w:val="baseline"/>
                <w:lang w:val="en-US" w:eastAsia="zh-CN"/>
              </w:rPr>
            </w:pPr>
            <w:r>
              <w:rPr>
                <w:rFonts w:hint="default" w:ascii="Times New Roman" w:hAnsi="Times New Roman" w:eastAsia="宋体" w:cs="Times New Roman"/>
                <w:b w:val="0"/>
                <w:bCs w:val="0"/>
                <w:color w:val="auto"/>
                <w:kern w:val="0"/>
                <w:sz w:val="24"/>
                <w:szCs w:val="24"/>
                <w:highlight w:val="none"/>
                <w:u w:val="single"/>
                <w:vertAlign w:val="baseline"/>
                <w:lang w:val="en-US" w:eastAsia="zh-CN"/>
              </w:rPr>
              <w:t>根据《</w:t>
            </w:r>
            <w:r>
              <w:rPr>
                <w:rFonts w:hint="eastAsia" w:cs="Times New Roman"/>
                <w:b w:val="0"/>
                <w:bCs w:val="0"/>
                <w:color w:val="auto"/>
                <w:kern w:val="0"/>
                <w:sz w:val="24"/>
                <w:szCs w:val="24"/>
                <w:highlight w:val="none"/>
                <w:u w:val="single"/>
                <w:vertAlign w:val="baseline"/>
                <w:lang w:val="en-US" w:eastAsia="zh-CN"/>
              </w:rPr>
              <w:t>河南省重污染天气通用行业应急减排措施制定技术指南</w:t>
            </w:r>
            <w:r>
              <w:rPr>
                <w:rFonts w:hint="default" w:ascii="Times New Roman" w:hAnsi="Times New Roman" w:eastAsia="宋体" w:cs="Times New Roman"/>
                <w:b w:val="0"/>
                <w:bCs w:val="0"/>
                <w:color w:val="auto"/>
                <w:kern w:val="0"/>
                <w:sz w:val="24"/>
                <w:szCs w:val="24"/>
                <w:highlight w:val="none"/>
                <w:u w:val="single"/>
                <w:vertAlign w:val="baseline"/>
                <w:lang w:val="en-US" w:eastAsia="zh-CN"/>
              </w:rPr>
              <w:t>（2024年修订版）》，本项目为</w:t>
            </w:r>
            <w:r>
              <w:rPr>
                <w:rFonts w:hint="eastAsia" w:cs="Times New Roman"/>
                <w:b w:val="0"/>
                <w:bCs w:val="0"/>
                <w:color w:val="auto"/>
                <w:kern w:val="0"/>
                <w:sz w:val="24"/>
                <w:szCs w:val="24"/>
                <w:highlight w:val="none"/>
                <w:u w:val="single"/>
                <w:vertAlign w:val="baseline"/>
                <w:lang w:val="en-US" w:eastAsia="zh-CN"/>
              </w:rPr>
              <w:t>C3512石油钻采专用设备制造</w:t>
            </w:r>
            <w:r>
              <w:rPr>
                <w:rFonts w:hint="eastAsia" w:ascii="Times New Roman" w:hAnsi="Times New Roman" w:eastAsia="宋体" w:cs="Times New Roman"/>
                <w:b w:val="0"/>
                <w:bCs w:val="0"/>
                <w:color w:val="auto"/>
                <w:kern w:val="0"/>
                <w:sz w:val="24"/>
                <w:szCs w:val="24"/>
                <w:highlight w:val="none"/>
                <w:u w:val="single"/>
                <w:vertAlign w:val="baseline"/>
                <w:lang w:val="en-US" w:eastAsia="zh-CN"/>
              </w:rPr>
              <w:t>，参照附件2河南省重污染天气通用行业应急减排措施制定技术指南中通用涉VOCs企业绩效引领性指标进行建设。</w:t>
            </w:r>
          </w:p>
          <w:p w14:paraId="2B6833B1">
            <w:pPr>
              <w:keepNext w:val="0"/>
              <w:keepLines w:val="0"/>
              <w:pageBreakBefore w:val="0"/>
              <w:widowControl w:val="0"/>
              <w:kinsoku/>
              <w:wordWrap/>
              <w:overflowPunct/>
              <w:topLinePunct w:val="0"/>
              <w:autoSpaceDE w:val="0"/>
              <w:autoSpaceDN w:val="0"/>
              <w:bidi w:val="0"/>
              <w:adjustRightInd w:val="0"/>
              <w:snapToGrid w:val="0"/>
              <w:spacing w:line="520" w:lineRule="atLeast"/>
              <w:ind w:right="0" w:rightChars="0"/>
              <w:jc w:val="center"/>
              <w:textAlignment w:val="auto"/>
              <w:rPr>
                <w:rFonts w:hint="default" w:ascii="Times New Roman" w:hAnsi="Times New Roman" w:eastAsia="宋体" w:cs="Times New Roman"/>
                <w:b w:val="0"/>
                <w:bCs w:val="0"/>
                <w:color w:val="auto"/>
                <w:kern w:val="0"/>
                <w:sz w:val="21"/>
                <w:szCs w:val="21"/>
                <w:highlight w:val="none"/>
                <w:u w:val="single"/>
                <w:vertAlign w:val="baseline"/>
                <w:lang w:val="en-US" w:eastAsia="zh-CN" w:bidi="ar-SA"/>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bidi="ar-SA"/>
              </w:rPr>
              <w:t>表1-</w:t>
            </w:r>
            <w:r>
              <w:rPr>
                <w:rFonts w:hint="eastAsia" w:cs="Times New Roman"/>
                <w:b w:val="0"/>
                <w:bCs w:val="0"/>
                <w:color w:val="auto"/>
                <w:kern w:val="0"/>
                <w:sz w:val="21"/>
                <w:szCs w:val="21"/>
                <w:highlight w:val="none"/>
                <w:u w:val="single"/>
                <w:vertAlign w:val="baseline"/>
                <w:lang w:val="en-US" w:eastAsia="zh-CN" w:bidi="ar-SA"/>
              </w:rPr>
              <w:t>7</w:t>
            </w:r>
            <w:r>
              <w:rPr>
                <w:rFonts w:hint="eastAsia" w:ascii="Times New Roman" w:hAnsi="Times New Roman" w:eastAsia="宋体" w:cs="Times New Roman"/>
                <w:b w:val="0"/>
                <w:bCs w:val="0"/>
                <w:color w:val="auto"/>
                <w:kern w:val="0"/>
                <w:sz w:val="21"/>
                <w:szCs w:val="21"/>
                <w:highlight w:val="none"/>
                <w:u w:val="single"/>
                <w:vertAlign w:val="baseline"/>
                <w:lang w:val="en-US" w:eastAsia="zh-CN" w:bidi="ar-SA"/>
              </w:rPr>
              <w:t xml:space="preserve">   项目与通用企业绩效引领性指标相符性分析</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3831"/>
              <w:gridCol w:w="1951"/>
              <w:gridCol w:w="700"/>
            </w:tblGrid>
            <w:tr w14:paraId="2B47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78AB78E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引领性  指标</w:t>
                  </w:r>
                </w:p>
              </w:tc>
              <w:tc>
                <w:tcPr>
                  <w:tcW w:w="3836" w:type="dxa"/>
                  <w:vAlign w:val="center"/>
                </w:tcPr>
                <w:p w14:paraId="376EE7E5">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val="0"/>
                      <w:color w:val="auto"/>
                      <w:kern w:val="0"/>
                      <w:sz w:val="21"/>
                      <w:szCs w:val="21"/>
                      <w:highlight w:val="none"/>
                      <w:u w:val="single"/>
                      <w:vertAlign w:val="baseline"/>
                      <w:lang w:val="en-US" w:eastAsia="zh-CN"/>
                    </w:rPr>
                    <w:t>通用企业</w:t>
                  </w:r>
                </w:p>
              </w:tc>
              <w:tc>
                <w:tcPr>
                  <w:tcW w:w="1952" w:type="dxa"/>
                  <w:vAlign w:val="center"/>
                </w:tcPr>
                <w:p w14:paraId="6F6E58E3">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本项目</w:t>
                  </w:r>
                </w:p>
              </w:tc>
              <w:tc>
                <w:tcPr>
                  <w:tcW w:w="701" w:type="dxa"/>
                  <w:vAlign w:val="center"/>
                </w:tcPr>
                <w:p w14:paraId="27C5A89F">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相符性</w:t>
                  </w:r>
                </w:p>
              </w:tc>
            </w:tr>
            <w:tr w14:paraId="535E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5" w:type="dxa"/>
                  <w:gridSpan w:val="4"/>
                  <w:vAlign w:val="center"/>
                </w:tcPr>
                <w:p w14:paraId="78C2A0B8">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cs="Times New Roman"/>
                      <w:b w:val="0"/>
                      <w:bCs w:val="0"/>
                      <w:color w:val="auto"/>
                      <w:kern w:val="0"/>
                      <w:sz w:val="21"/>
                      <w:szCs w:val="21"/>
                      <w:highlight w:val="none"/>
                      <w:u w:val="single"/>
                      <w:vertAlign w:val="baseline"/>
                      <w:lang w:val="en-US" w:eastAsia="zh-CN"/>
                    </w:rPr>
                    <w:t>涉VOCs企业</w:t>
                  </w:r>
                </w:p>
              </w:tc>
            </w:tr>
            <w:tr w14:paraId="4094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5720C39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val="0"/>
                      <w:color w:val="auto"/>
                      <w:kern w:val="0"/>
                      <w:sz w:val="21"/>
                      <w:szCs w:val="21"/>
                      <w:highlight w:val="none"/>
                      <w:u w:val="single"/>
                      <w:vertAlign w:val="baseline"/>
                      <w:lang w:val="en-US" w:eastAsia="zh-CN"/>
                    </w:rPr>
                    <w:t>生产工艺和装备</w:t>
                  </w:r>
                </w:p>
              </w:tc>
              <w:tc>
                <w:tcPr>
                  <w:tcW w:w="3836" w:type="dxa"/>
                  <w:vAlign w:val="center"/>
                </w:tcPr>
                <w:p w14:paraId="17D3BDE4">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val="0"/>
                      <w:color w:val="auto"/>
                      <w:kern w:val="0"/>
                      <w:sz w:val="21"/>
                      <w:szCs w:val="21"/>
                      <w:highlight w:val="none"/>
                      <w:u w:val="single"/>
                      <w:vertAlign w:val="baseline"/>
                      <w:lang w:val="en-US" w:eastAsia="zh-CN"/>
                    </w:rPr>
                    <w:t>不属于《产业结构调整指导目录</w:t>
                  </w:r>
                  <w:r>
                    <w:rPr>
                      <w:rFonts w:hint="eastAsia" w:cs="Times New Roman"/>
                      <w:b w:val="0"/>
                      <w:bCs w:val="0"/>
                      <w:color w:val="auto"/>
                      <w:kern w:val="0"/>
                      <w:sz w:val="21"/>
                      <w:szCs w:val="21"/>
                      <w:highlight w:val="none"/>
                      <w:u w:val="single"/>
                      <w:vertAlign w:val="baseline"/>
                      <w:lang w:val="en-US" w:eastAsia="zh-CN"/>
                    </w:rPr>
                    <w:t>（</w:t>
                  </w:r>
                  <w:r>
                    <w:rPr>
                      <w:rFonts w:hint="default" w:ascii="Times New Roman" w:hAnsi="Times New Roman" w:eastAsia="宋体" w:cs="Times New Roman"/>
                      <w:b w:val="0"/>
                      <w:bCs w:val="0"/>
                      <w:color w:val="auto"/>
                      <w:kern w:val="0"/>
                      <w:sz w:val="21"/>
                      <w:szCs w:val="21"/>
                      <w:highlight w:val="none"/>
                      <w:u w:val="single"/>
                      <w:vertAlign w:val="baseline"/>
                      <w:lang w:val="en-US" w:eastAsia="zh-CN"/>
                    </w:rPr>
                    <w:t>2024年版</w:t>
                  </w:r>
                  <w:r>
                    <w:rPr>
                      <w:rFonts w:hint="eastAsia" w:cs="Times New Roman"/>
                      <w:b w:val="0"/>
                      <w:bCs w:val="0"/>
                      <w:color w:val="auto"/>
                      <w:kern w:val="0"/>
                      <w:sz w:val="21"/>
                      <w:szCs w:val="21"/>
                      <w:highlight w:val="none"/>
                      <w:u w:val="single"/>
                      <w:vertAlign w:val="baseline"/>
                      <w:lang w:val="en-US" w:eastAsia="zh-CN"/>
                    </w:rPr>
                    <w:t>）</w:t>
                  </w:r>
                  <w:r>
                    <w:rPr>
                      <w:rFonts w:hint="default" w:ascii="Times New Roman" w:hAnsi="Times New Roman" w:eastAsia="宋体" w:cs="Times New Roman"/>
                      <w:b w:val="0"/>
                      <w:bCs w:val="0"/>
                      <w:color w:val="auto"/>
                      <w:kern w:val="0"/>
                      <w:sz w:val="21"/>
                      <w:szCs w:val="21"/>
                      <w:highlight w:val="none"/>
                      <w:u w:val="single"/>
                      <w:vertAlign w:val="baseline"/>
                      <w:lang w:val="en-US" w:eastAsia="zh-CN"/>
                    </w:rPr>
                    <w:t>》淘汰类，不属于省级和市级政府部门明确列入已经限期淘汰类项目。</w:t>
                  </w:r>
                </w:p>
              </w:tc>
              <w:tc>
                <w:tcPr>
                  <w:tcW w:w="1952" w:type="dxa"/>
                  <w:vAlign w:val="center"/>
                </w:tcPr>
                <w:p w14:paraId="5FC283DA">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项目不属《产业结构调整指导目录（2024年本）》中鼓励类、限制类和淘汰类，为允许类项目。</w:t>
                  </w:r>
                </w:p>
              </w:tc>
              <w:tc>
                <w:tcPr>
                  <w:tcW w:w="701" w:type="dxa"/>
                  <w:vAlign w:val="center"/>
                </w:tcPr>
                <w:p w14:paraId="24994AB2">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4C97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73BFC020">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val="0"/>
                      <w:color w:val="auto"/>
                      <w:kern w:val="0"/>
                      <w:sz w:val="21"/>
                      <w:szCs w:val="21"/>
                      <w:highlight w:val="none"/>
                      <w:u w:val="single"/>
                      <w:vertAlign w:val="baseline"/>
                      <w:lang w:val="en-US" w:eastAsia="zh-CN"/>
                    </w:rPr>
                    <w:t>物料储存</w:t>
                  </w:r>
                </w:p>
              </w:tc>
              <w:tc>
                <w:tcPr>
                  <w:tcW w:w="3836" w:type="dxa"/>
                  <w:vAlign w:val="center"/>
                </w:tcPr>
                <w:p w14:paraId="5A3B0F95">
                  <w:pPr>
                    <w:keepNext w:val="0"/>
                    <w:keepLines w:val="0"/>
                    <w:pageBreakBefore w:val="0"/>
                    <w:widowControl w:val="0"/>
                    <w:numPr>
                      <w:ilvl w:val="0"/>
                      <w:numId w:val="0"/>
                    </w:numPr>
                    <w:kinsoku/>
                    <w:wordWrap/>
                    <w:overflowPunct/>
                    <w:topLinePunct w:val="0"/>
                    <w:bidi w:val="0"/>
                    <w:spacing w:before="48" w:beforeLines="15" w:after="48" w:afterLines="15"/>
                    <w:rPr>
                      <w:rFonts w:hint="eastAsia"/>
                      <w:color w:val="auto"/>
                      <w:u w:val="single"/>
                      <w:lang w:val="en-US" w:eastAsia="zh-CN"/>
                    </w:rPr>
                  </w:pPr>
                  <w:r>
                    <w:rPr>
                      <w:rFonts w:hint="eastAsia"/>
                      <w:color w:val="auto"/>
                      <w:u w:val="single"/>
                      <w:lang w:val="en-US" w:eastAsia="zh-CN"/>
                    </w:rPr>
                    <w:t>1.涂料、稀释剂、清洗剂等原辅材料密闭存储；</w:t>
                  </w:r>
                </w:p>
                <w:p w14:paraId="095EE4ED">
                  <w:pPr>
                    <w:keepNext w:val="0"/>
                    <w:keepLines w:val="0"/>
                    <w:pageBreakBefore w:val="0"/>
                    <w:widowControl w:val="0"/>
                    <w:numPr>
                      <w:ilvl w:val="0"/>
                      <w:numId w:val="0"/>
                    </w:numPr>
                    <w:kinsoku/>
                    <w:wordWrap/>
                    <w:overflowPunct/>
                    <w:topLinePunct w:val="0"/>
                    <w:bidi w:val="0"/>
                    <w:spacing w:before="48" w:beforeLines="15" w:after="48" w:afterLines="15"/>
                    <w:rPr>
                      <w:rFonts w:hint="eastAsia"/>
                      <w:color w:val="auto"/>
                      <w:u w:val="single"/>
                      <w:lang w:val="en-US" w:eastAsia="zh-CN"/>
                    </w:rPr>
                  </w:pPr>
                  <w:r>
                    <w:rPr>
                      <w:rFonts w:hint="eastAsia"/>
                      <w:color w:val="auto"/>
                      <w:u w:val="single"/>
                      <w:lang w:val="en-US" w:eastAsia="zh-CN"/>
                    </w:rPr>
                    <w:t>2.盛装过VOCs物料的包装容器、含VOCs废料（渣、液）、废吸附剂等通过加盖、封装等方式密闭储存；</w:t>
                  </w:r>
                </w:p>
                <w:p w14:paraId="3152E321">
                  <w:pPr>
                    <w:keepNext w:val="0"/>
                    <w:keepLines w:val="0"/>
                    <w:pageBreakBefore w:val="0"/>
                    <w:widowControl w:val="0"/>
                    <w:numPr>
                      <w:ilvl w:val="0"/>
                      <w:numId w:val="0"/>
                    </w:numPr>
                    <w:kinsoku/>
                    <w:wordWrap/>
                    <w:overflowPunct/>
                    <w:topLinePunct w:val="0"/>
                    <w:bidi w:val="0"/>
                    <w:spacing w:before="48" w:beforeLines="15" w:after="48" w:afterLines="15"/>
                    <w:rPr>
                      <w:rFonts w:hint="eastAsia"/>
                      <w:color w:val="auto"/>
                      <w:u w:val="single"/>
                      <w:lang w:val="en-US" w:eastAsia="zh-CN"/>
                    </w:rPr>
                  </w:pPr>
                  <w:r>
                    <w:rPr>
                      <w:rFonts w:hint="eastAsia"/>
                      <w:color w:val="auto"/>
                      <w:u w:val="single"/>
                      <w:lang w:val="en-US" w:eastAsia="zh-CN"/>
                    </w:rPr>
                    <w:t>3.生产车间内涉VOCs物料应密闭储存。</w:t>
                  </w:r>
                </w:p>
              </w:tc>
              <w:tc>
                <w:tcPr>
                  <w:tcW w:w="1952" w:type="dxa"/>
                  <w:vAlign w:val="center"/>
                </w:tcPr>
                <w:p w14:paraId="7C684A1B">
                  <w:pPr>
                    <w:keepNext w:val="0"/>
                    <w:keepLines w:val="0"/>
                    <w:pageBreakBefore w:val="0"/>
                    <w:widowControl w:val="0"/>
                    <w:numPr>
                      <w:ilvl w:val="0"/>
                      <w:numId w:val="0"/>
                    </w:numPr>
                    <w:kinsoku/>
                    <w:wordWrap/>
                    <w:overflowPunct/>
                    <w:topLinePunct w:val="0"/>
                    <w:bidi w:val="0"/>
                    <w:spacing w:before="48" w:beforeLines="15" w:after="48" w:afterLines="15"/>
                    <w:rPr>
                      <w:rFonts w:hint="default"/>
                      <w:color w:val="auto"/>
                      <w:u w:val="single"/>
                      <w:lang w:val="en-US" w:eastAsia="zh-CN"/>
                    </w:rPr>
                  </w:pPr>
                  <w:r>
                    <w:rPr>
                      <w:rFonts w:hint="default"/>
                      <w:color w:val="auto"/>
                      <w:u w:val="single"/>
                      <w:lang w:val="en-US" w:eastAsia="zh-CN"/>
                    </w:rPr>
                    <w:t>1.项目不涉及涂料、稀释剂、清洗剂等；</w:t>
                  </w:r>
                </w:p>
                <w:p w14:paraId="551AE6BE">
                  <w:pPr>
                    <w:keepNext w:val="0"/>
                    <w:keepLines w:val="0"/>
                    <w:pageBreakBefore w:val="0"/>
                    <w:widowControl w:val="0"/>
                    <w:numPr>
                      <w:ilvl w:val="0"/>
                      <w:numId w:val="0"/>
                    </w:numPr>
                    <w:kinsoku/>
                    <w:wordWrap/>
                    <w:overflowPunct/>
                    <w:topLinePunct w:val="0"/>
                    <w:bidi w:val="0"/>
                    <w:spacing w:before="48" w:beforeLines="15" w:after="48" w:afterLines="15"/>
                    <w:rPr>
                      <w:rFonts w:hint="default"/>
                      <w:color w:val="auto"/>
                      <w:u w:val="single"/>
                      <w:lang w:val="en-US" w:eastAsia="zh-CN"/>
                    </w:rPr>
                  </w:pPr>
                  <w:r>
                    <w:rPr>
                      <w:rFonts w:hint="default"/>
                      <w:color w:val="auto"/>
                      <w:u w:val="single"/>
                      <w:lang w:val="en-US" w:eastAsia="zh-CN"/>
                    </w:rPr>
                    <w:t>2.盛装过防锈油的包装桶加盖密闭储存；</w:t>
                  </w:r>
                </w:p>
                <w:p w14:paraId="60AAAA98">
                  <w:pPr>
                    <w:keepNext w:val="0"/>
                    <w:keepLines w:val="0"/>
                    <w:pageBreakBefore w:val="0"/>
                    <w:widowControl w:val="0"/>
                    <w:numPr>
                      <w:ilvl w:val="0"/>
                      <w:numId w:val="0"/>
                    </w:numPr>
                    <w:kinsoku/>
                    <w:wordWrap/>
                    <w:overflowPunct/>
                    <w:topLinePunct w:val="0"/>
                    <w:bidi w:val="0"/>
                    <w:spacing w:before="48" w:beforeLines="15" w:after="48" w:afterLines="15"/>
                    <w:rPr>
                      <w:rFonts w:hint="default"/>
                      <w:color w:val="auto"/>
                      <w:u w:val="single"/>
                      <w:lang w:val="en-US" w:eastAsia="zh-CN"/>
                    </w:rPr>
                  </w:pPr>
                  <w:r>
                    <w:rPr>
                      <w:rFonts w:hint="default"/>
                      <w:color w:val="auto"/>
                      <w:u w:val="single"/>
                      <w:lang w:val="en-US" w:eastAsia="zh-CN"/>
                    </w:rPr>
                    <w:t>3.防锈油密闭储存；</w:t>
                  </w:r>
                </w:p>
              </w:tc>
              <w:tc>
                <w:tcPr>
                  <w:tcW w:w="701" w:type="dxa"/>
                  <w:vAlign w:val="center"/>
                </w:tcPr>
                <w:p w14:paraId="7F7603F9">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7B53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5182B378">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val="0"/>
                      <w:color w:val="auto"/>
                      <w:kern w:val="0"/>
                      <w:sz w:val="21"/>
                      <w:szCs w:val="21"/>
                      <w:highlight w:val="none"/>
                      <w:u w:val="single"/>
                      <w:vertAlign w:val="baseline"/>
                      <w:lang w:val="en-US" w:eastAsia="zh-CN"/>
                    </w:rPr>
                    <w:t>物料转移和输送</w:t>
                  </w:r>
                </w:p>
              </w:tc>
              <w:tc>
                <w:tcPr>
                  <w:tcW w:w="3836" w:type="dxa"/>
                  <w:vAlign w:val="center"/>
                </w:tcPr>
                <w:p w14:paraId="659DFC05">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val="0"/>
                      <w:color w:val="auto"/>
                      <w:kern w:val="0"/>
                      <w:sz w:val="21"/>
                      <w:szCs w:val="21"/>
                      <w:highlight w:val="none"/>
                      <w:u w:val="single"/>
                      <w:vertAlign w:val="baseline"/>
                      <w:lang w:val="en-US" w:eastAsia="zh-CN"/>
                    </w:rPr>
                    <w:t>涉VOCs物料采用密闭管道或密闭容器等输送。</w:t>
                  </w:r>
                </w:p>
              </w:tc>
              <w:tc>
                <w:tcPr>
                  <w:tcW w:w="1952" w:type="dxa"/>
                  <w:vAlign w:val="center"/>
                </w:tcPr>
                <w:p w14:paraId="770BD757">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val="0"/>
                      <w:color w:val="auto"/>
                      <w:kern w:val="0"/>
                      <w:sz w:val="21"/>
                      <w:szCs w:val="21"/>
                      <w:highlight w:val="none"/>
                      <w:u w:val="single"/>
                      <w:vertAlign w:val="baseline"/>
                      <w:lang w:val="en-US" w:eastAsia="zh-CN"/>
                    </w:rPr>
                    <w:t>防锈油密闭桶装存放，工艺过程</w:t>
                  </w:r>
                  <w:r>
                    <w:rPr>
                      <w:rFonts w:hint="eastAsia" w:cs="Times New Roman"/>
                      <w:b w:val="0"/>
                      <w:bCs w:val="0"/>
                      <w:color w:val="auto"/>
                      <w:kern w:val="0"/>
                      <w:sz w:val="21"/>
                      <w:szCs w:val="21"/>
                      <w:highlight w:val="none"/>
                      <w:u w:val="single"/>
                      <w:vertAlign w:val="baseline"/>
                      <w:lang w:val="en-US" w:eastAsia="zh-CN"/>
                    </w:rPr>
                    <w:t>采用人工涂刷防锈油，</w:t>
                  </w:r>
                  <w:r>
                    <w:rPr>
                      <w:rFonts w:hint="default" w:ascii="Times New Roman" w:hAnsi="Times New Roman" w:eastAsia="宋体" w:cs="Times New Roman"/>
                      <w:b w:val="0"/>
                      <w:bCs w:val="0"/>
                      <w:color w:val="auto"/>
                      <w:kern w:val="0"/>
                      <w:sz w:val="21"/>
                      <w:szCs w:val="21"/>
                      <w:highlight w:val="none"/>
                      <w:u w:val="single"/>
                      <w:vertAlign w:val="baseline"/>
                      <w:lang w:val="en-US" w:eastAsia="zh-CN"/>
                    </w:rPr>
                    <w:t>不</w:t>
                  </w:r>
                  <w:r>
                    <w:rPr>
                      <w:rFonts w:hint="eastAsia" w:cs="Times New Roman"/>
                      <w:b w:val="0"/>
                      <w:bCs w:val="0"/>
                      <w:color w:val="auto"/>
                      <w:kern w:val="0"/>
                      <w:sz w:val="21"/>
                      <w:szCs w:val="21"/>
                      <w:highlight w:val="none"/>
                      <w:u w:val="single"/>
                      <w:vertAlign w:val="baseline"/>
                      <w:lang w:val="en-US" w:eastAsia="zh-CN"/>
                    </w:rPr>
                    <w:t>涉及</w:t>
                  </w:r>
                  <w:r>
                    <w:rPr>
                      <w:rFonts w:hint="default" w:ascii="Times New Roman" w:hAnsi="Times New Roman" w:eastAsia="宋体" w:cs="Times New Roman"/>
                      <w:b w:val="0"/>
                      <w:bCs w:val="0"/>
                      <w:color w:val="auto"/>
                      <w:kern w:val="0"/>
                      <w:sz w:val="21"/>
                      <w:szCs w:val="21"/>
                      <w:highlight w:val="none"/>
                      <w:u w:val="single"/>
                      <w:vertAlign w:val="baseline"/>
                      <w:lang w:val="en-US" w:eastAsia="zh-CN"/>
                    </w:rPr>
                    <w:t>输送环节</w:t>
                  </w:r>
                </w:p>
              </w:tc>
              <w:tc>
                <w:tcPr>
                  <w:tcW w:w="701" w:type="dxa"/>
                  <w:vAlign w:val="center"/>
                </w:tcPr>
                <w:p w14:paraId="110EB43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3228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415451C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color w:val="auto"/>
                      <w:kern w:val="0"/>
                      <w:sz w:val="21"/>
                      <w:szCs w:val="21"/>
                      <w:u w:val="single"/>
                      <w:lang w:val="en-US" w:eastAsia="zh-CN" w:bidi="ar"/>
                    </w:rPr>
                    <w:t>工艺过程</w:t>
                  </w:r>
                </w:p>
              </w:tc>
              <w:tc>
                <w:tcPr>
                  <w:tcW w:w="3836" w:type="dxa"/>
                  <w:vAlign w:val="center"/>
                </w:tcPr>
                <w:p w14:paraId="423CEEE4">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1.原辅材料调配、使用</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施胶、喷涂、干燥等</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、回收等过程采用密闭设备或在密闭空间内操作</w:t>
                  </w:r>
                  <w:r>
                    <w:rPr>
                      <w:rFonts w:hint="eastAsia" w:cs="Times New Roman"/>
                      <w:b w:val="0"/>
                      <w:bCs w:val="0"/>
                      <w:color w:val="auto"/>
                      <w:kern w:val="0"/>
                      <w:sz w:val="21"/>
                      <w:szCs w:val="21"/>
                      <w:highlight w:val="none"/>
                      <w:u w:val="single"/>
                      <w:vertAlign w:val="baseline"/>
                      <w:lang w:val="en-US" w:eastAsia="zh-CN"/>
                    </w:rPr>
                    <w:t>；</w:t>
                  </w:r>
                </w:p>
                <w:p w14:paraId="5C4A0408">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2.涉VOCs原料装卸、储存、转移和输送、工艺过程等环节的废气全部收集引至VOCs处理系统。</w:t>
                  </w:r>
                </w:p>
              </w:tc>
              <w:tc>
                <w:tcPr>
                  <w:tcW w:w="1952" w:type="dxa"/>
                  <w:vAlign w:val="center"/>
                </w:tcPr>
                <w:p w14:paraId="343F0DC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1.不涉及调配过程。</w:t>
                  </w:r>
                </w:p>
                <w:p w14:paraId="3ACFF6D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2.原料存储于密闭包装桶，使用过程挥发废气引至</w:t>
                  </w:r>
                  <w:r>
                    <w:rPr>
                      <w:rFonts w:hint="eastAsia" w:cs="Times New Roman"/>
                      <w:b w:val="0"/>
                      <w:bCs w:val="0"/>
                      <w:color w:val="auto"/>
                      <w:kern w:val="0"/>
                      <w:sz w:val="21"/>
                      <w:szCs w:val="21"/>
                      <w:highlight w:val="none"/>
                      <w:u w:val="single"/>
                      <w:vertAlign w:val="baseline"/>
                      <w:lang w:val="en-US" w:eastAsia="zh-CN"/>
                    </w:rPr>
                    <w:t>活性炭+分子筛吸附</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处理系统</w:t>
                  </w:r>
                </w:p>
              </w:tc>
              <w:tc>
                <w:tcPr>
                  <w:tcW w:w="701" w:type="dxa"/>
                  <w:vAlign w:val="center"/>
                </w:tcPr>
                <w:p w14:paraId="2EACD170">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5A69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2EF7029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color w:val="auto"/>
                      <w:kern w:val="0"/>
                      <w:sz w:val="21"/>
                      <w:szCs w:val="21"/>
                      <w:u w:val="single"/>
                      <w:lang w:val="en-US" w:eastAsia="zh-CN" w:bidi="ar"/>
                    </w:rPr>
                    <w:t>排放限值</w:t>
                  </w:r>
                </w:p>
              </w:tc>
              <w:tc>
                <w:tcPr>
                  <w:tcW w:w="3836" w:type="dxa"/>
                  <w:vAlign w:val="center"/>
                </w:tcPr>
                <w:p w14:paraId="3A9783D7">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NMHC排放限值不高于30mg/m</w:t>
                  </w:r>
                  <w:r>
                    <w:rPr>
                      <w:rFonts w:hint="eastAsia" w:ascii="Times New Roman" w:hAnsi="Times New Roman" w:eastAsia="宋体" w:cs="Times New Roman"/>
                      <w:b w:val="0"/>
                      <w:bCs w:val="0"/>
                      <w:color w:val="auto"/>
                      <w:kern w:val="0"/>
                      <w:sz w:val="21"/>
                      <w:szCs w:val="21"/>
                      <w:highlight w:val="none"/>
                      <w:u w:val="single"/>
                      <w:vertAlign w:val="superscript"/>
                      <w:lang w:val="en-US" w:eastAsia="zh-CN"/>
                    </w:rPr>
                    <w:t>3</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；其他污染物排放浓度达到相关污染物排放标准。</w:t>
                  </w:r>
                </w:p>
              </w:tc>
              <w:tc>
                <w:tcPr>
                  <w:tcW w:w="1952" w:type="dxa"/>
                  <w:vAlign w:val="center"/>
                </w:tcPr>
                <w:p w14:paraId="1CFF548A">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cs="Times New Roman"/>
                      <w:b w:val="0"/>
                      <w:bCs/>
                      <w:color w:val="auto"/>
                      <w:sz w:val="21"/>
                      <w:u w:val="single"/>
                      <w:lang w:val="en-US" w:eastAsia="zh-CN"/>
                    </w:rPr>
                    <w:t>根据项目源强核算，</w:t>
                  </w:r>
                  <w:r>
                    <w:rPr>
                      <w:rFonts w:hint="default" w:ascii="Times New Roman" w:hAnsi="Times New Roman" w:eastAsia="宋体" w:cs="Times New Roman"/>
                      <w:b w:val="0"/>
                      <w:bCs/>
                      <w:color w:val="auto"/>
                      <w:sz w:val="21"/>
                      <w:u w:val="single"/>
                      <w:lang w:eastAsia="zh-CN"/>
                    </w:rPr>
                    <w:t>NMHC排放限值不高于30mg/m</w:t>
                  </w:r>
                  <w:r>
                    <w:rPr>
                      <w:rFonts w:hint="eastAsia" w:ascii="Times New Roman" w:hAnsi="Times New Roman" w:eastAsia="宋体" w:cs="Times New Roman"/>
                      <w:b w:val="0"/>
                      <w:bCs/>
                      <w:color w:val="auto"/>
                      <w:sz w:val="21"/>
                      <w:u w:val="single"/>
                      <w:vertAlign w:val="superscript"/>
                      <w:lang w:val="en-US" w:eastAsia="zh-CN"/>
                    </w:rPr>
                    <w:t>3</w:t>
                  </w:r>
                </w:p>
              </w:tc>
              <w:tc>
                <w:tcPr>
                  <w:tcW w:w="701" w:type="dxa"/>
                  <w:vAlign w:val="center"/>
                </w:tcPr>
                <w:p w14:paraId="6FC7BA5A">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40ED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1CD0ABEC">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color w:val="auto"/>
                      <w:kern w:val="0"/>
                      <w:sz w:val="21"/>
                      <w:szCs w:val="21"/>
                      <w:u w:val="single"/>
                      <w:lang w:bidi="ar"/>
                    </w:rPr>
                    <w:t>监测监控水平</w:t>
                  </w:r>
                </w:p>
              </w:tc>
              <w:tc>
                <w:tcPr>
                  <w:tcW w:w="3836" w:type="dxa"/>
                  <w:vAlign w:val="center"/>
                </w:tcPr>
                <w:p w14:paraId="5CB848A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u w:val="single"/>
                      <w:vertAlign w:val="baseline"/>
                      <w:lang w:val="en-US" w:eastAsia="zh-CN" w:bidi="ar-SA"/>
                    </w:rPr>
                    <w:t>1.</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有组织排放口按排污许可、环境影响评价或环境现状评估等要求安装烟气排放自动监控设施</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CEMS</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，并按要求与省厅联网；重点排污单位风量大于10000m</w:t>
                  </w:r>
                  <w:r>
                    <w:rPr>
                      <w:rFonts w:hint="eastAsia" w:ascii="Times New Roman" w:hAnsi="Times New Roman" w:eastAsia="宋体" w:cs="Times New Roman"/>
                      <w:b w:val="0"/>
                      <w:bCs w:val="0"/>
                      <w:color w:val="auto"/>
                      <w:kern w:val="0"/>
                      <w:sz w:val="21"/>
                      <w:szCs w:val="21"/>
                      <w:highlight w:val="none"/>
                      <w:u w:val="single"/>
                      <w:vertAlign w:val="superscript"/>
                      <w:lang w:val="en-US" w:eastAsia="zh-CN"/>
                    </w:rPr>
                    <w:t>3</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/h的主要排放口安装NMHC在线监测设施</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FID检测器</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并按要求与省厅联网；其他企业NMHC初始排放速率大于2kg/h且排放口风量大于20000m</w:t>
                  </w:r>
                  <w:r>
                    <w:rPr>
                      <w:rFonts w:hint="eastAsia" w:ascii="Times New Roman" w:hAnsi="Times New Roman" w:eastAsia="宋体" w:cs="Times New Roman"/>
                      <w:b w:val="0"/>
                      <w:bCs w:val="0"/>
                      <w:color w:val="auto"/>
                      <w:kern w:val="0"/>
                      <w:sz w:val="21"/>
                      <w:szCs w:val="21"/>
                      <w:highlight w:val="none"/>
                      <w:u w:val="single"/>
                      <w:vertAlign w:val="superscript"/>
                      <w:lang w:val="en-US" w:eastAsia="zh-CN"/>
                    </w:rPr>
                    <w:t>3</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/h的废气排放口安装NMHC在线监测设施</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FID检测器</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，并按要求与省厅联网；在线监测数据至少保存最近12个月的1分钟均值、36个月的1小时均值及60个月的日均值和月均值。</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投产或安装时间不满一年以上的企业，以现有数据为准</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w:t>
                  </w:r>
                </w:p>
                <w:p w14:paraId="18EAEB9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2.按生态环境部门要求规范设置废气排放口标志牌、二维码标识和采样平台、采样孔；各废气排放口按照排污许可要求开展自行监测；</w:t>
                  </w:r>
                </w:p>
                <w:p w14:paraId="018C835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3.未安装自动在线监控的企业，应在主要生产设备</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投料口、卸料口等位置</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安装视频监控设施，相关数据保存6个月以上。</w:t>
                  </w:r>
                </w:p>
              </w:tc>
              <w:tc>
                <w:tcPr>
                  <w:tcW w:w="1952" w:type="dxa"/>
                  <w:vAlign w:val="center"/>
                </w:tcPr>
                <w:p w14:paraId="577825E4">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1.按排污许可、环境影响评价要求</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本项目废气排放口NMHC初始排放速率小于2kg/h且排放口风量小于20000m</w:t>
                  </w:r>
                  <w:r>
                    <w:rPr>
                      <w:rFonts w:hint="eastAsia" w:ascii="Times New Roman" w:hAnsi="Times New Roman" w:eastAsia="宋体" w:cs="Times New Roman"/>
                      <w:b w:val="0"/>
                      <w:bCs w:val="0"/>
                      <w:color w:val="auto"/>
                      <w:kern w:val="0"/>
                      <w:sz w:val="21"/>
                      <w:szCs w:val="21"/>
                      <w:highlight w:val="none"/>
                      <w:u w:val="single"/>
                      <w:vertAlign w:val="superscript"/>
                      <w:lang w:val="en-US" w:eastAsia="zh-CN"/>
                    </w:rPr>
                    <w:t>3</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/h，无需安装在线监测设施，本项目按照排污许可规范要求制定监测计划；</w:t>
                  </w:r>
                </w:p>
                <w:p w14:paraId="249ACF5D">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2</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废气排放口按生态环境部门要求规范设置废气排放口标志牌、二维码标识和采样平台、采样孔；各废气排放口按照排污许可要求开展自行监测。</w:t>
                  </w:r>
                </w:p>
                <w:p w14:paraId="46DE1505">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3</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主要生产设备</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投料口、卸料口等位置</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安装视频监控设施，相关数据保存6个月以上。</w:t>
                  </w:r>
                </w:p>
              </w:tc>
              <w:tc>
                <w:tcPr>
                  <w:tcW w:w="701" w:type="dxa"/>
                  <w:vAlign w:val="center"/>
                </w:tcPr>
                <w:p w14:paraId="381BBBF9">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1898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5" w:type="dxa"/>
                  <w:gridSpan w:val="4"/>
                  <w:vAlign w:val="center"/>
                </w:tcPr>
                <w:p w14:paraId="0BE3C60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cs="Times New Roman"/>
                      <w:b w:val="0"/>
                      <w:bCs w:val="0"/>
                      <w:color w:val="auto"/>
                      <w:kern w:val="0"/>
                      <w:sz w:val="21"/>
                      <w:szCs w:val="21"/>
                      <w:highlight w:val="none"/>
                      <w:u w:val="single"/>
                      <w:vertAlign w:val="baseline"/>
                      <w:lang w:val="en-US" w:eastAsia="zh-CN"/>
                    </w:rPr>
                    <w:t>涉PM企业</w:t>
                  </w:r>
                </w:p>
              </w:tc>
            </w:tr>
            <w:tr w14:paraId="6B68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35322259">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color w:val="auto"/>
                      <w:kern w:val="0"/>
                      <w:sz w:val="21"/>
                      <w:szCs w:val="21"/>
                      <w:u w:val="single"/>
                      <w:lang w:bidi="ar"/>
                    </w:rPr>
                  </w:pPr>
                  <w:r>
                    <w:rPr>
                      <w:rFonts w:hint="default" w:ascii="Times New Roman" w:hAnsi="Times New Roman" w:eastAsia="宋体" w:cs="Times New Roman"/>
                      <w:b w:val="0"/>
                      <w:bCs/>
                      <w:color w:val="auto"/>
                      <w:kern w:val="0"/>
                      <w:sz w:val="21"/>
                      <w:szCs w:val="21"/>
                      <w:u w:val="single"/>
                      <w:lang w:bidi="ar"/>
                    </w:rPr>
                    <w:t>生产工艺和装备</w:t>
                  </w:r>
                </w:p>
              </w:tc>
              <w:tc>
                <w:tcPr>
                  <w:tcW w:w="3836" w:type="dxa"/>
                  <w:vAlign w:val="center"/>
                </w:tcPr>
                <w:p w14:paraId="526C7842">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不属于《产业结构调整指导目录（2024年版）》淘汰类，不属于省级和市级政府部门明确列入已经限期淘汰类项目。</w:t>
                  </w:r>
                </w:p>
              </w:tc>
              <w:tc>
                <w:tcPr>
                  <w:tcW w:w="1952" w:type="dxa"/>
                  <w:vAlign w:val="center"/>
                </w:tcPr>
                <w:p w14:paraId="06F8F066">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本项目属于《产业结构调整指导目录（2024年版）》</w:t>
                  </w:r>
                  <w:r>
                    <w:rPr>
                      <w:rFonts w:hint="eastAsia" w:cs="Times New Roman"/>
                      <w:b w:val="0"/>
                      <w:bCs w:val="0"/>
                      <w:color w:val="auto"/>
                      <w:kern w:val="0"/>
                      <w:sz w:val="21"/>
                      <w:szCs w:val="21"/>
                      <w:highlight w:val="none"/>
                      <w:u w:val="single"/>
                      <w:vertAlign w:val="baseline"/>
                      <w:lang w:val="en-US" w:eastAsia="zh-CN"/>
                    </w:rPr>
                    <w:t>允许</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类项目</w:t>
                  </w:r>
                </w:p>
              </w:tc>
              <w:tc>
                <w:tcPr>
                  <w:tcW w:w="701" w:type="dxa"/>
                  <w:vAlign w:val="center"/>
                </w:tcPr>
                <w:p w14:paraId="7874CF18">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62C2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63986332">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color w:val="auto"/>
                      <w:kern w:val="0"/>
                      <w:sz w:val="21"/>
                      <w:szCs w:val="21"/>
                      <w:u w:val="single"/>
                      <w:lang w:bidi="ar"/>
                    </w:rPr>
                  </w:pPr>
                  <w:r>
                    <w:rPr>
                      <w:rFonts w:hint="eastAsia" w:ascii="Times New Roman" w:hAnsi="Times New Roman" w:eastAsia="宋体" w:cs="Times New Roman"/>
                      <w:b w:val="0"/>
                      <w:bCs/>
                      <w:color w:val="auto"/>
                      <w:kern w:val="0"/>
                      <w:sz w:val="21"/>
                      <w:szCs w:val="21"/>
                      <w:u w:val="single"/>
                      <w:lang w:val="en-US" w:eastAsia="zh-CN" w:bidi="ar"/>
                    </w:rPr>
                    <w:t>物料装卸</w:t>
                  </w:r>
                </w:p>
              </w:tc>
              <w:tc>
                <w:tcPr>
                  <w:tcW w:w="3836" w:type="dxa"/>
                  <w:vAlign w:val="center"/>
                </w:tcPr>
                <w:p w14:paraId="471752C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1.车辆运输的物料应采取封闭措施。粉状、粒状、块状散装物料在封闭料场内装卸，装卸过程中产尘点应设置集气除尘装置，料堆应采取有效抑尘措施；</w:t>
                  </w:r>
                </w:p>
                <w:p w14:paraId="3068E47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2.不易产尘的袋装物料宜在料棚中装卸，如需露天装卸应采取防止破袋及粉尘外逸措施。</w:t>
                  </w:r>
                </w:p>
              </w:tc>
              <w:tc>
                <w:tcPr>
                  <w:tcW w:w="1952" w:type="dxa"/>
                  <w:vAlign w:val="center"/>
                </w:tcPr>
                <w:p w14:paraId="033E5C45">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cs="Times New Roman"/>
                      <w:b w:val="0"/>
                      <w:bCs w:val="0"/>
                      <w:color w:val="auto"/>
                      <w:kern w:val="0"/>
                      <w:sz w:val="21"/>
                      <w:szCs w:val="21"/>
                      <w:highlight w:val="none"/>
                      <w:u w:val="single"/>
                      <w:vertAlign w:val="baseline"/>
                      <w:lang w:val="en-US" w:eastAsia="zh-CN"/>
                    </w:rPr>
                    <w:t>1.</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本项目车辆运输的物料应采取封闭措施。本项目</w:t>
                  </w:r>
                  <w:r>
                    <w:rPr>
                      <w:rFonts w:hint="eastAsia" w:cs="Times New Roman"/>
                      <w:b w:val="0"/>
                      <w:bCs w:val="0"/>
                      <w:color w:val="auto"/>
                      <w:kern w:val="0"/>
                      <w:sz w:val="21"/>
                      <w:szCs w:val="21"/>
                      <w:highlight w:val="none"/>
                      <w:u w:val="single"/>
                      <w:vertAlign w:val="baseline"/>
                      <w:lang w:val="en-US" w:eastAsia="zh-CN"/>
                    </w:rPr>
                    <w:t>原料为型材、板材</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，不产尘，储存于封闭式车间内</w:t>
                  </w:r>
                </w:p>
                <w:p w14:paraId="3E443A89">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cs="Times New Roman"/>
                      <w:b w:val="0"/>
                      <w:bCs w:val="0"/>
                      <w:color w:val="auto"/>
                      <w:kern w:val="0"/>
                      <w:sz w:val="21"/>
                      <w:szCs w:val="21"/>
                      <w:highlight w:val="none"/>
                      <w:u w:val="single"/>
                      <w:vertAlign w:val="baseline"/>
                      <w:lang w:val="en-US" w:eastAsia="zh-CN"/>
                    </w:rPr>
                    <w:t>2.</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本项目</w:t>
                  </w:r>
                  <w:r>
                    <w:rPr>
                      <w:rFonts w:hint="eastAsia" w:cs="Times New Roman"/>
                      <w:b w:val="0"/>
                      <w:bCs w:val="0"/>
                      <w:color w:val="auto"/>
                      <w:kern w:val="0"/>
                      <w:sz w:val="21"/>
                      <w:szCs w:val="21"/>
                      <w:highlight w:val="none"/>
                      <w:u w:val="single"/>
                      <w:vertAlign w:val="baseline"/>
                      <w:lang w:val="en-US" w:eastAsia="zh-CN"/>
                    </w:rPr>
                    <w:t>原料</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在料棚中装卸</w:t>
                  </w:r>
                </w:p>
              </w:tc>
              <w:tc>
                <w:tcPr>
                  <w:tcW w:w="701" w:type="dxa"/>
                  <w:vAlign w:val="center"/>
                </w:tcPr>
                <w:p w14:paraId="4A714B29">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3927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2B54E491">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color w:val="auto"/>
                      <w:kern w:val="0"/>
                      <w:sz w:val="21"/>
                      <w:szCs w:val="21"/>
                      <w:u w:val="single"/>
                      <w:lang w:val="en-US" w:eastAsia="zh-CN" w:bidi="ar"/>
                    </w:rPr>
                  </w:pPr>
                  <w:r>
                    <w:rPr>
                      <w:rFonts w:hint="eastAsia" w:ascii="Times New Roman" w:hAnsi="Times New Roman" w:eastAsia="宋体" w:cs="Times New Roman"/>
                      <w:b w:val="0"/>
                      <w:bCs/>
                      <w:color w:val="auto"/>
                      <w:kern w:val="0"/>
                      <w:sz w:val="21"/>
                      <w:szCs w:val="21"/>
                      <w:u w:val="single"/>
                      <w:lang w:val="en-US" w:eastAsia="zh-CN" w:bidi="ar"/>
                    </w:rPr>
                    <w:t>物料储存</w:t>
                  </w:r>
                </w:p>
              </w:tc>
              <w:tc>
                <w:tcPr>
                  <w:tcW w:w="3836" w:type="dxa"/>
                  <w:vAlign w:val="center"/>
                </w:tcPr>
                <w:p w14:paraId="1EA7CEF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1.一般物料。粉状物料应储存于密闭/封闭料仓中；粒状、块状物料应储存于封闭料场中，并采取喷淋、清扫或其他有效抑尘措施；袋装物料应储存于封闭/半封闭料场中。封闭料场顶棚和四周围墙完整，料场内地面全部硬化，料场货物进出大门为硬质材料门或自动感应门，在确保安全的情况下，所有门窗保持常闭状态。不产尘物料（如钢材、管件）及产品如露天储存应在规定的存储区域码放整齐；</w:t>
                  </w:r>
                </w:p>
                <w:p w14:paraId="157373B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2.危险废物。应有符合规范要求的危险废物储存间，危险废物储存间门口应张贴标准规范的危险废物标识和危废信息板，建立台账并挂于危废间内，危险废物管理台账和危险废物转移情况信息表保存5 年以上。危废间内禁止存放除危险废物和应急工具外的其他物品。涉大气污染物排放的，应设置对应污染治理设施。</w:t>
                  </w:r>
                </w:p>
              </w:tc>
              <w:tc>
                <w:tcPr>
                  <w:tcW w:w="1952" w:type="dxa"/>
                  <w:vAlign w:val="center"/>
                </w:tcPr>
                <w:p w14:paraId="2AB72B93">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cs="Times New Roman"/>
                      <w:b w:val="0"/>
                      <w:bCs w:val="0"/>
                      <w:color w:val="auto"/>
                      <w:kern w:val="0"/>
                      <w:sz w:val="21"/>
                      <w:szCs w:val="21"/>
                      <w:highlight w:val="none"/>
                      <w:u w:val="single"/>
                      <w:vertAlign w:val="baseline"/>
                      <w:lang w:val="en-US" w:eastAsia="zh-CN"/>
                    </w:rPr>
                    <w:t>1.</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本项目为</w:t>
                  </w:r>
                  <w:r>
                    <w:rPr>
                      <w:rFonts w:hint="eastAsia" w:cs="Times New Roman"/>
                      <w:b w:val="0"/>
                      <w:bCs w:val="0"/>
                      <w:color w:val="auto"/>
                      <w:kern w:val="0"/>
                      <w:sz w:val="21"/>
                      <w:szCs w:val="21"/>
                      <w:highlight w:val="none"/>
                      <w:u w:val="single"/>
                      <w:vertAlign w:val="baseline"/>
                      <w:lang w:val="en-US" w:eastAsia="zh-CN"/>
                    </w:rPr>
                    <w:t>机械加工</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w:t>
                  </w:r>
                  <w:r>
                    <w:rPr>
                      <w:rFonts w:hint="eastAsia" w:cs="Times New Roman"/>
                      <w:b w:val="0"/>
                      <w:bCs w:val="0"/>
                      <w:color w:val="auto"/>
                      <w:kern w:val="0"/>
                      <w:sz w:val="21"/>
                      <w:szCs w:val="21"/>
                      <w:highlight w:val="none"/>
                      <w:u w:val="single"/>
                      <w:vertAlign w:val="baseline"/>
                      <w:lang w:val="en-US" w:eastAsia="zh-CN"/>
                    </w:rPr>
                    <w:t>产品为大件机加工设备</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，储存于封闭</w:t>
                  </w:r>
                  <w:r>
                    <w:rPr>
                      <w:rFonts w:hint="eastAsia" w:cs="Times New Roman"/>
                      <w:b w:val="0"/>
                      <w:bCs w:val="0"/>
                      <w:color w:val="auto"/>
                      <w:kern w:val="0"/>
                      <w:sz w:val="21"/>
                      <w:szCs w:val="21"/>
                      <w:highlight w:val="none"/>
                      <w:u w:val="single"/>
                      <w:vertAlign w:val="baseline"/>
                      <w:lang w:val="en-US" w:eastAsia="zh-CN"/>
                    </w:rPr>
                    <w:t>车间</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内。项目封闭式生产车间内地面全部硬化，大门为硬质材料门。最终产品暂存生产车间内，不露天储存</w:t>
                  </w:r>
                </w:p>
                <w:p w14:paraId="5A28B7A6">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cs="Times New Roman"/>
                      <w:b w:val="0"/>
                      <w:bCs w:val="0"/>
                      <w:color w:val="auto"/>
                      <w:kern w:val="0"/>
                      <w:sz w:val="21"/>
                      <w:szCs w:val="21"/>
                      <w:highlight w:val="none"/>
                      <w:u w:val="single"/>
                      <w:vertAlign w:val="baseline"/>
                      <w:lang w:val="en-US" w:eastAsia="zh-CN"/>
                    </w:rPr>
                    <w:t>2.本项目设置1座危废暂存间，危废间建设</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符合规范要求</w:t>
                  </w:r>
                  <w:r>
                    <w:rPr>
                      <w:rFonts w:hint="eastAsia" w:cs="Times New Roman"/>
                      <w:b w:val="0"/>
                      <w:bCs w:val="0"/>
                      <w:color w:val="auto"/>
                      <w:kern w:val="0"/>
                      <w:sz w:val="21"/>
                      <w:szCs w:val="21"/>
                      <w:highlight w:val="none"/>
                      <w:u w:val="single"/>
                      <w:vertAlign w:val="baseline"/>
                      <w:lang w:val="en-US" w:eastAsia="zh-CN"/>
                    </w:rPr>
                    <w:t>，</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危险废物储存间门口张贴标准规范的危险废物标识和危废信息板，建立台账并挂于危废间内，危险废物管理台账和危险废物转移情况信息表保存5年以上。危废间内禁止存放除危险废物和应急工具外的其他物品。</w:t>
                  </w:r>
                </w:p>
              </w:tc>
              <w:tc>
                <w:tcPr>
                  <w:tcW w:w="701" w:type="dxa"/>
                  <w:vAlign w:val="center"/>
                </w:tcPr>
                <w:p w14:paraId="423EA2D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2705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6B9AA2FB">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color w:val="auto"/>
                      <w:kern w:val="0"/>
                      <w:sz w:val="21"/>
                      <w:szCs w:val="21"/>
                      <w:u w:val="single"/>
                      <w:lang w:val="en-US" w:eastAsia="zh-CN" w:bidi="ar"/>
                    </w:rPr>
                  </w:pPr>
                  <w:r>
                    <w:rPr>
                      <w:rFonts w:hint="eastAsia" w:ascii="Times New Roman" w:hAnsi="Times New Roman" w:eastAsia="宋体" w:cs="Times New Roman"/>
                      <w:b w:val="0"/>
                      <w:bCs/>
                      <w:color w:val="auto"/>
                      <w:kern w:val="0"/>
                      <w:sz w:val="21"/>
                      <w:szCs w:val="21"/>
                      <w:u w:val="single"/>
                      <w:lang w:val="en-US" w:eastAsia="zh-CN" w:bidi="ar"/>
                    </w:rPr>
                    <w:t>物料转移和输送</w:t>
                  </w:r>
                </w:p>
              </w:tc>
              <w:tc>
                <w:tcPr>
                  <w:tcW w:w="3836" w:type="dxa"/>
                  <w:vAlign w:val="center"/>
                </w:tcPr>
                <w:p w14:paraId="0046D37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1.粉状、粒状等易产尘物料厂内转移、输送过程应采用气力输送、密闭输送，块状和粘湿粉状物料采用封闭输送；</w:t>
                  </w:r>
                </w:p>
                <w:p w14:paraId="7CC7E74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2.无法封闭的产尘点（物料转载、下料口等）应采取集气除尘措施，或有效抑尘措施。</w:t>
                  </w:r>
                </w:p>
              </w:tc>
              <w:tc>
                <w:tcPr>
                  <w:tcW w:w="1952" w:type="dxa"/>
                  <w:vAlign w:val="center"/>
                </w:tcPr>
                <w:p w14:paraId="6F4FB207">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本项目</w:t>
                  </w:r>
                  <w:r>
                    <w:rPr>
                      <w:rFonts w:hint="eastAsia" w:cs="Times New Roman"/>
                      <w:b w:val="0"/>
                      <w:bCs w:val="0"/>
                      <w:color w:val="auto"/>
                      <w:kern w:val="0"/>
                      <w:sz w:val="21"/>
                      <w:szCs w:val="21"/>
                      <w:highlight w:val="none"/>
                      <w:u w:val="single"/>
                      <w:vertAlign w:val="baseline"/>
                      <w:lang w:val="en-US" w:eastAsia="zh-CN"/>
                    </w:rPr>
                    <w:t>原料为型材、板材</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w:t>
                  </w:r>
                  <w:r>
                    <w:rPr>
                      <w:rFonts w:hint="eastAsia" w:cs="Times New Roman"/>
                      <w:b w:val="0"/>
                      <w:bCs w:val="0"/>
                      <w:color w:val="auto"/>
                      <w:kern w:val="0"/>
                      <w:sz w:val="21"/>
                      <w:szCs w:val="21"/>
                      <w:highlight w:val="none"/>
                      <w:u w:val="single"/>
                      <w:vertAlign w:val="baseline"/>
                      <w:lang w:val="en-US" w:eastAsia="zh-CN"/>
                    </w:rPr>
                    <w:t>物料转移和输送环节</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不产尘</w:t>
                  </w:r>
                </w:p>
              </w:tc>
              <w:tc>
                <w:tcPr>
                  <w:tcW w:w="701" w:type="dxa"/>
                  <w:vAlign w:val="center"/>
                </w:tcPr>
                <w:p w14:paraId="5E0714E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6087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568115EA">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color w:val="auto"/>
                      <w:kern w:val="0"/>
                      <w:sz w:val="21"/>
                      <w:szCs w:val="21"/>
                      <w:u w:val="single"/>
                      <w:lang w:val="en-US" w:eastAsia="zh-CN" w:bidi="ar"/>
                    </w:rPr>
                  </w:pPr>
                  <w:r>
                    <w:rPr>
                      <w:rFonts w:hint="eastAsia" w:ascii="Times New Roman" w:hAnsi="Times New Roman" w:eastAsia="宋体" w:cs="Times New Roman"/>
                      <w:b w:val="0"/>
                      <w:bCs/>
                      <w:color w:val="auto"/>
                      <w:kern w:val="0"/>
                      <w:sz w:val="21"/>
                      <w:szCs w:val="21"/>
                      <w:u w:val="single"/>
                      <w:lang w:val="en-US" w:eastAsia="zh-CN" w:bidi="ar"/>
                    </w:rPr>
                    <w:t>工艺过程</w:t>
                  </w:r>
                </w:p>
              </w:tc>
              <w:tc>
                <w:tcPr>
                  <w:tcW w:w="3836" w:type="dxa"/>
                  <w:vAlign w:val="center"/>
                </w:tcPr>
                <w:p w14:paraId="158DEBF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1.各种物料破碎、筛分、配料、混料等过程应在封闭厂房内进行，并采取收尘/抑尘措施；</w:t>
                  </w:r>
                </w:p>
                <w:p w14:paraId="16077B62">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2.破碎筛分设备在进、出料口和配料混料过程等产尘点应设置集气除尘设施。</w:t>
                  </w:r>
                </w:p>
              </w:tc>
              <w:tc>
                <w:tcPr>
                  <w:tcW w:w="1952" w:type="dxa"/>
                  <w:vAlign w:val="center"/>
                </w:tcPr>
                <w:p w14:paraId="05A6F84D">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cs="Times New Roman"/>
                      <w:b w:val="0"/>
                      <w:bCs w:val="0"/>
                      <w:color w:val="auto"/>
                      <w:kern w:val="0"/>
                      <w:sz w:val="21"/>
                      <w:szCs w:val="21"/>
                      <w:highlight w:val="none"/>
                      <w:u w:val="single"/>
                      <w:vertAlign w:val="baseline"/>
                      <w:lang w:val="en-US" w:eastAsia="zh-CN"/>
                    </w:rPr>
                    <w:t>本项目不涉及</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破碎、筛分、配料、混料等工序</w:t>
                  </w:r>
                  <w:r>
                    <w:rPr>
                      <w:rFonts w:hint="eastAsia" w:cs="Times New Roman"/>
                      <w:b w:val="0"/>
                      <w:bCs w:val="0"/>
                      <w:color w:val="auto"/>
                      <w:kern w:val="0"/>
                      <w:sz w:val="21"/>
                      <w:szCs w:val="21"/>
                      <w:highlight w:val="none"/>
                      <w:u w:val="single"/>
                      <w:vertAlign w:val="baseline"/>
                      <w:lang w:val="en-US" w:eastAsia="zh-CN"/>
                    </w:rPr>
                    <w:t>。切割、焊接工序颗粒物采用袋式除尘器+15m排气筒（DA001）处理</w:t>
                  </w:r>
                </w:p>
              </w:tc>
              <w:tc>
                <w:tcPr>
                  <w:tcW w:w="701" w:type="dxa"/>
                  <w:vAlign w:val="center"/>
                </w:tcPr>
                <w:p w14:paraId="7413F2C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599C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5A95CDEF">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color w:val="auto"/>
                      <w:kern w:val="0"/>
                      <w:sz w:val="21"/>
                      <w:szCs w:val="21"/>
                      <w:u w:val="single"/>
                      <w:lang w:val="en-US" w:eastAsia="zh-CN" w:bidi="ar"/>
                    </w:rPr>
                  </w:pPr>
                  <w:r>
                    <w:rPr>
                      <w:rFonts w:hint="eastAsia" w:ascii="Times New Roman" w:hAnsi="Times New Roman" w:eastAsia="宋体" w:cs="Times New Roman"/>
                      <w:b w:val="0"/>
                      <w:bCs/>
                      <w:color w:val="auto"/>
                      <w:kern w:val="0"/>
                      <w:sz w:val="21"/>
                      <w:szCs w:val="21"/>
                      <w:u w:val="single"/>
                      <w:lang w:val="en-US" w:eastAsia="zh-CN" w:bidi="ar"/>
                    </w:rPr>
                    <w:t>成品包装</w:t>
                  </w:r>
                </w:p>
              </w:tc>
              <w:tc>
                <w:tcPr>
                  <w:tcW w:w="3836" w:type="dxa"/>
                  <w:vAlign w:val="center"/>
                </w:tcPr>
                <w:p w14:paraId="6EA3D00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1.粉状、粒状产品包装卸料口应完全封闭，如不能封闭应采取局部集气除尘措施。卸料口地面应及时清扫，地面无明显积尘；</w:t>
                  </w:r>
                </w:p>
                <w:p w14:paraId="0E4F598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2.各生产工序的车间地面干净，无积料、积灰现象；</w:t>
                  </w:r>
                </w:p>
                <w:p w14:paraId="404C54B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3.生产车间不得有可见烟（粉）尘外逸。</w:t>
                  </w:r>
                </w:p>
              </w:tc>
              <w:tc>
                <w:tcPr>
                  <w:tcW w:w="1952" w:type="dxa"/>
                  <w:vAlign w:val="center"/>
                </w:tcPr>
                <w:p w14:paraId="6F0E7C8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cs="Times New Roman"/>
                      <w:b w:val="0"/>
                      <w:bCs w:val="0"/>
                      <w:color w:val="auto"/>
                      <w:kern w:val="0"/>
                      <w:sz w:val="21"/>
                      <w:szCs w:val="21"/>
                      <w:highlight w:val="none"/>
                      <w:u w:val="single"/>
                      <w:vertAlign w:val="baseline"/>
                      <w:lang w:val="en-US" w:eastAsia="zh-CN"/>
                    </w:rPr>
                    <w:t>1.</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本项目</w:t>
                  </w:r>
                  <w:r>
                    <w:rPr>
                      <w:rFonts w:hint="eastAsia" w:cs="Times New Roman"/>
                      <w:b w:val="0"/>
                      <w:bCs w:val="0"/>
                      <w:color w:val="auto"/>
                      <w:kern w:val="0"/>
                      <w:sz w:val="21"/>
                      <w:szCs w:val="21"/>
                      <w:highlight w:val="none"/>
                      <w:u w:val="single"/>
                      <w:vertAlign w:val="baseline"/>
                      <w:lang w:val="en-US" w:eastAsia="zh-CN"/>
                    </w:rPr>
                    <w:t>成品为大件机加工设备，不产生粉尘</w:t>
                  </w:r>
                </w:p>
                <w:p w14:paraId="1510365C">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cs="Times New Roman"/>
                      <w:b w:val="0"/>
                      <w:bCs w:val="0"/>
                      <w:color w:val="auto"/>
                      <w:kern w:val="0"/>
                      <w:sz w:val="21"/>
                      <w:szCs w:val="21"/>
                      <w:highlight w:val="none"/>
                      <w:u w:val="single"/>
                      <w:vertAlign w:val="baseline"/>
                      <w:lang w:val="en-US" w:eastAsia="zh-CN"/>
                    </w:rPr>
                    <w:t>2.</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车间内地面及时清扫、地面无明显积尘、无可见烟（粉）尘外逸</w:t>
                  </w:r>
                </w:p>
                <w:p w14:paraId="5D105480">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cs="Times New Roman"/>
                      <w:b w:val="0"/>
                      <w:bCs w:val="0"/>
                      <w:color w:val="auto"/>
                      <w:kern w:val="0"/>
                      <w:sz w:val="21"/>
                      <w:szCs w:val="21"/>
                      <w:highlight w:val="none"/>
                      <w:u w:val="single"/>
                      <w:vertAlign w:val="baseline"/>
                      <w:lang w:val="en-US" w:eastAsia="zh-CN"/>
                    </w:rPr>
                    <w:t>3.</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车间内区域划分明显，生产区无积料、积灰</w:t>
                  </w:r>
                </w:p>
              </w:tc>
              <w:tc>
                <w:tcPr>
                  <w:tcW w:w="701" w:type="dxa"/>
                  <w:vAlign w:val="center"/>
                </w:tcPr>
                <w:p w14:paraId="137F52DA">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2DBC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53D6AD64">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color w:val="auto"/>
                      <w:kern w:val="0"/>
                      <w:sz w:val="21"/>
                      <w:szCs w:val="21"/>
                      <w:u w:val="single"/>
                      <w:lang w:val="en-US" w:eastAsia="zh-CN" w:bidi="ar"/>
                    </w:rPr>
                  </w:pPr>
                  <w:r>
                    <w:rPr>
                      <w:rFonts w:hint="eastAsia" w:ascii="Times New Roman" w:hAnsi="Times New Roman" w:eastAsia="宋体" w:cs="Times New Roman"/>
                      <w:b w:val="0"/>
                      <w:bCs/>
                      <w:color w:val="auto"/>
                      <w:kern w:val="0"/>
                      <w:sz w:val="21"/>
                      <w:szCs w:val="21"/>
                      <w:u w:val="single"/>
                      <w:lang w:val="en-US" w:eastAsia="zh-CN" w:bidi="ar"/>
                    </w:rPr>
                    <w:t>排放限值</w:t>
                  </w:r>
                </w:p>
              </w:tc>
              <w:tc>
                <w:tcPr>
                  <w:tcW w:w="3836" w:type="dxa"/>
                  <w:vAlign w:val="center"/>
                </w:tcPr>
                <w:p w14:paraId="40EB797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PM排放限值不高于10mg/m</w:t>
                  </w:r>
                  <w:r>
                    <w:rPr>
                      <w:rFonts w:hint="eastAsia" w:cs="Times New Roman"/>
                      <w:b w:val="0"/>
                      <w:bCs w:val="0"/>
                      <w:color w:val="auto"/>
                      <w:kern w:val="0"/>
                      <w:sz w:val="21"/>
                      <w:szCs w:val="21"/>
                      <w:highlight w:val="none"/>
                      <w:u w:val="single"/>
                      <w:vertAlign w:val="superscript"/>
                      <w:lang w:val="en-US" w:eastAsia="zh-CN"/>
                    </w:rPr>
                    <w:t>3</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；其他污染物排放浓度达到相关污染物排放标准。</w:t>
                  </w:r>
                </w:p>
              </w:tc>
              <w:tc>
                <w:tcPr>
                  <w:tcW w:w="1952" w:type="dxa"/>
                  <w:vAlign w:val="center"/>
                </w:tcPr>
                <w:p w14:paraId="7A74E911">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项目颗粒物排放浓度低于10mg/m</w:t>
                  </w:r>
                  <w:r>
                    <w:rPr>
                      <w:rFonts w:hint="eastAsia" w:cs="Times New Roman"/>
                      <w:b w:val="0"/>
                      <w:bCs w:val="0"/>
                      <w:color w:val="auto"/>
                      <w:kern w:val="0"/>
                      <w:sz w:val="21"/>
                      <w:szCs w:val="21"/>
                      <w:highlight w:val="none"/>
                      <w:u w:val="single"/>
                      <w:vertAlign w:val="superscript"/>
                      <w:lang w:val="en-US" w:eastAsia="zh-CN"/>
                    </w:rPr>
                    <w:t>3</w:t>
                  </w:r>
                </w:p>
              </w:tc>
              <w:tc>
                <w:tcPr>
                  <w:tcW w:w="701" w:type="dxa"/>
                  <w:vAlign w:val="center"/>
                </w:tcPr>
                <w:p w14:paraId="3B82B0E3">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2AED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076" w:type="dxa"/>
                  <w:vMerge w:val="restart"/>
                  <w:vAlign w:val="center"/>
                </w:tcPr>
                <w:p w14:paraId="0C782F7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color w:val="auto"/>
                      <w:kern w:val="0"/>
                      <w:sz w:val="21"/>
                      <w:szCs w:val="21"/>
                      <w:u w:val="single"/>
                      <w:lang w:val="en-US" w:eastAsia="zh-CN" w:bidi="ar"/>
                    </w:rPr>
                  </w:pPr>
                  <w:r>
                    <w:rPr>
                      <w:rFonts w:hint="eastAsia" w:ascii="Times New Roman" w:hAnsi="Times New Roman" w:eastAsia="宋体" w:cs="Times New Roman"/>
                      <w:b w:val="0"/>
                      <w:bCs/>
                      <w:color w:val="auto"/>
                      <w:kern w:val="0"/>
                      <w:sz w:val="21"/>
                      <w:szCs w:val="21"/>
                      <w:u w:val="single"/>
                      <w:lang w:val="en-US" w:eastAsia="zh-CN" w:bidi="ar"/>
                    </w:rPr>
                    <w:t>无组织管控</w:t>
                  </w:r>
                </w:p>
              </w:tc>
              <w:tc>
                <w:tcPr>
                  <w:tcW w:w="3836" w:type="dxa"/>
                  <w:shd w:val="clear" w:color="auto" w:fill="auto"/>
                  <w:vAlign w:val="center"/>
                </w:tcPr>
                <w:p w14:paraId="29A6D7D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1.除尘器应设置密闭灰仓并及时卸灰，除尘灰应通过气力输送、罐车、吨包袋等封闭方式卸灰，不得直接卸落到地面；</w:t>
                  </w:r>
                </w:p>
              </w:tc>
              <w:tc>
                <w:tcPr>
                  <w:tcW w:w="1952" w:type="dxa"/>
                  <w:shd w:val="clear" w:color="auto" w:fill="auto"/>
                  <w:vAlign w:val="center"/>
                </w:tcPr>
                <w:p w14:paraId="25F136B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除尘器设密闭灰仓并及时卸灰，除尘器卸灰时采用吨包袋封闭方式，不直接卸落到地面</w:t>
                  </w:r>
                </w:p>
              </w:tc>
              <w:tc>
                <w:tcPr>
                  <w:tcW w:w="701" w:type="dxa"/>
                  <w:vAlign w:val="center"/>
                </w:tcPr>
                <w:p w14:paraId="359E6F0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0110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076" w:type="dxa"/>
                  <w:vMerge w:val="continue"/>
                  <w:vAlign w:val="center"/>
                </w:tcPr>
                <w:p w14:paraId="29B2B3A6">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color w:val="auto"/>
                      <w:kern w:val="0"/>
                      <w:sz w:val="21"/>
                      <w:szCs w:val="21"/>
                      <w:u w:val="single"/>
                      <w:lang w:val="en-US" w:eastAsia="zh-CN" w:bidi="ar"/>
                    </w:rPr>
                  </w:pPr>
                </w:p>
              </w:tc>
              <w:tc>
                <w:tcPr>
                  <w:tcW w:w="3836" w:type="dxa"/>
                  <w:shd w:val="clear" w:color="auto" w:fill="auto"/>
                  <w:vAlign w:val="center"/>
                </w:tcPr>
                <w:p w14:paraId="636AB3A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2.除尘灰如果转运应采用气力输送、封闭传送带方式，如果直接外运应采用罐车或袋装后运输，并在装车过程中采取抑尘措施，除尘灰在厂区内应密闭/封闭储存；</w:t>
                  </w:r>
                </w:p>
              </w:tc>
              <w:tc>
                <w:tcPr>
                  <w:tcW w:w="1952" w:type="dxa"/>
                  <w:shd w:val="clear" w:color="auto" w:fill="auto"/>
                  <w:vAlign w:val="center"/>
                </w:tcPr>
                <w:p w14:paraId="1A80D0D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除尘灰装带外运，装车过程采用防尘罩覆盖抑尘措施，无法及时外运时，暂存于封闭式一般固废间</w:t>
                  </w:r>
                </w:p>
              </w:tc>
              <w:tc>
                <w:tcPr>
                  <w:tcW w:w="701" w:type="dxa"/>
                  <w:vAlign w:val="center"/>
                </w:tcPr>
                <w:p w14:paraId="4762227B">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2F23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076" w:type="dxa"/>
                  <w:vMerge w:val="continue"/>
                  <w:vAlign w:val="center"/>
                </w:tcPr>
                <w:p w14:paraId="52AE9EBC">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color w:val="auto"/>
                      <w:kern w:val="0"/>
                      <w:sz w:val="21"/>
                      <w:szCs w:val="21"/>
                      <w:u w:val="single"/>
                      <w:lang w:val="en-US" w:eastAsia="zh-CN" w:bidi="ar"/>
                    </w:rPr>
                  </w:pPr>
                </w:p>
              </w:tc>
              <w:tc>
                <w:tcPr>
                  <w:tcW w:w="3836" w:type="dxa"/>
                  <w:shd w:val="clear" w:color="auto" w:fill="auto"/>
                  <w:vAlign w:val="center"/>
                </w:tcPr>
                <w:p w14:paraId="4465DB9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3.脱硫石膏和脱硫废渣等固体废物在厂区内应封闭储存，在转运过程中应采取封闭抑尘措施并应封闭储存。</w:t>
                  </w:r>
                </w:p>
              </w:tc>
              <w:tc>
                <w:tcPr>
                  <w:tcW w:w="1952" w:type="dxa"/>
                  <w:shd w:val="clear" w:color="auto" w:fill="auto"/>
                  <w:vAlign w:val="center"/>
                </w:tcPr>
                <w:p w14:paraId="76DADC4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本项目不涉及脱硫石膏和脱硫废渣，本项目固体废物均分类封闭储存</w:t>
                  </w:r>
                </w:p>
              </w:tc>
              <w:tc>
                <w:tcPr>
                  <w:tcW w:w="701" w:type="dxa"/>
                  <w:vAlign w:val="center"/>
                </w:tcPr>
                <w:p w14:paraId="3357CC5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2805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shd w:val="clear" w:color="auto" w:fill="auto"/>
                  <w:vAlign w:val="center"/>
                </w:tcPr>
                <w:p w14:paraId="4F6B11D0">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bCs/>
                      <w:color w:val="auto"/>
                      <w:kern w:val="2"/>
                      <w:sz w:val="21"/>
                      <w:szCs w:val="21"/>
                      <w:highlight w:val="none"/>
                      <w:u w:val="single"/>
                      <w:lang w:val="en-US" w:eastAsia="zh-CN" w:bidi="ar-SA"/>
                    </w:rPr>
                  </w:pPr>
                  <w:r>
                    <w:rPr>
                      <w:rFonts w:hint="default" w:ascii="Times New Roman" w:hAnsi="Times New Roman" w:eastAsia="宋体" w:cs="Times New Roman"/>
                      <w:b w:val="0"/>
                      <w:bCs/>
                      <w:color w:val="auto"/>
                      <w:kern w:val="0"/>
                      <w:sz w:val="21"/>
                      <w:szCs w:val="21"/>
                      <w:u w:val="single"/>
                      <w:lang w:val="en-US" w:eastAsia="zh-CN" w:bidi="ar"/>
                    </w:rPr>
                    <w:t>视频监管</w:t>
                  </w:r>
                </w:p>
              </w:tc>
              <w:tc>
                <w:tcPr>
                  <w:tcW w:w="3836" w:type="dxa"/>
                  <w:shd w:val="clear" w:color="auto" w:fill="auto"/>
                  <w:vAlign w:val="center"/>
                </w:tcPr>
                <w:p w14:paraId="71306D62">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val="0"/>
                      <w:color w:val="auto"/>
                      <w:kern w:val="0"/>
                      <w:sz w:val="21"/>
                      <w:szCs w:val="21"/>
                      <w:highlight w:val="none"/>
                      <w:u w:val="single"/>
                      <w:vertAlign w:val="baseline"/>
                      <w:lang w:val="en-US" w:eastAsia="zh-CN"/>
                    </w:rPr>
                    <w:t>未安装自动在线监控的企业，应在主要生产设备（投料口、卸料口等位置）安装视频监控设施，相关数据保存6个月以上。</w:t>
                  </w:r>
                </w:p>
              </w:tc>
              <w:tc>
                <w:tcPr>
                  <w:tcW w:w="1952" w:type="dxa"/>
                  <w:vAlign w:val="center"/>
                </w:tcPr>
                <w:p w14:paraId="3FBD4A74">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本项目按要求在主要生产设备等安装高清视频监控系统，数据可保存六个月以上</w:t>
                  </w:r>
                </w:p>
              </w:tc>
              <w:tc>
                <w:tcPr>
                  <w:tcW w:w="701" w:type="dxa"/>
                  <w:vAlign w:val="center"/>
                </w:tcPr>
                <w:p w14:paraId="3350BCDA">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627A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05ED50BE">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color w:val="auto"/>
                      <w:kern w:val="0"/>
                      <w:sz w:val="21"/>
                      <w:szCs w:val="21"/>
                      <w:u w:val="single"/>
                      <w:lang w:bidi="ar"/>
                    </w:rPr>
                    <w:t>厂容厂貌</w:t>
                  </w:r>
                </w:p>
              </w:tc>
              <w:tc>
                <w:tcPr>
                  <w:tcW w:w="3836" w:type="dxa"/>
                  <w:vAlign w:val="center"/>
                </w:tcPr>
                <w:p w14:paraId="5866003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u w:val="single"/>
                      <w:vertAlign w:val="baseline"/>
                      <w:lang w:val="en-US" w:eastAsia="zh-CN" w:bidi="ar-SA"/>
                    </w:rPr>
                    <w:t>1.</w:t>
                  </w:r>
                  <w:r>
                    <w:rPr>
                      <w:rFonts w:hint="eastAsia" w:ascii="Times New Roman" w:hAnsi="Times New Roman" w:eastAsia="宋体" w:cs="Times New Roman"/>
                      <w:b w:val="0"/>
                      <w:bCs w:val="0"/>
                      <w:color w:val="auto"/>
                      <w:kern w:val="0"/>
                      <w:sz w:val="21"/>
                      <w:szCs w:val="21"/>
                      <w:highlight w:val="none"/>
                      <w:u w:val="single"/>
                      <w:vertAlign w:val="baseline"/>
                      <w:lang w:val="en-US" w:eastAsia="zh-CN"/>
                    </w:rPr>
                    <w:t>厂区内道路、原辅材料和燃料堆场等路面应硬化</w:t>
                  </w:r>
                </w:p>
                <w:p w14:paraId="1D38282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2.厂区内道路采取定期清扫、酒水等措施，保持清洁，路面无明显可见积尘</w:t>
                  </w:r>
                  <w:r>
                    <w:rPr>
                      <w:rFonts w:hint="eastAsia" w:cs="Times New Roman"/>
                      <w:b w:val="0"/>
                      <w:bCs w:val="0"/>
                      <w:color w:val="auto"/>
                      <w:kern w:val="0"/>
                      <w:sz w:val="21"/>
                      <w:szCs w:val="21"/>
                      <w:highlight w:val="none"/>
                      <w:u w:val="single"/>
                      <w:vertAlign w:val="baseline"/>
                      <w:lang w:val="en-US" w:eastAsia="zh-CN"/>
                    </w:rPr>
                    <w:t>；</w:t>
                  </w:r>
                </w:p>
                <w:p w14:paraId="486DCB9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3.其他未利用地优先绿化，或进行硬化，无成片裸露土地。</w:t>
                  </w:r>
                </w:p>
              </w:tc>
              <w:tc>
                <w:tcPr>
                  <w:tcW w:w="1952" w:type="dxa"/>
                  <w:vAlign w:val="center"/>
                </w:tcPr>
                <w:p w14:paraId="4644DB52">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按要求落实路面硬化或绿化措施</w:t>
                  </w:r>
                </w:p>
              </w:tc>
              <w:tc>
                <w:tcPr>
                  <w:tcW w:w="701" w:type="dxa"/>
                  <w:vAlign w:val="center"/>
                </w:tcPr>
                <w:p w14:paraId="7A3DDE99">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3ABD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Merge w:val="restart"/>
                  <w:vAlign w:val="center"/>
                </w:tcPr>
                <w:p w14:paraId="128E7933">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color w:val="auto"/>
                      <w:kern w:val="0"/>
                      <w:sz w:val="21"/>
                      <w:szCs w:val="21"/>
                      <w:u w:val="single"/>
                      <w:lang w:bidi="ar"/>
                    </w:rPr>
                  </w:pPr>
                  <w:r>
                    <w:rPr>
                      <w:rFonts w:hint="default" w:ascii="Times New Roman" w:hAnsi="Times New Roman" w:eastAsia="宋体" w:cs="Times New Roman"/>
                      <w:b w:val="0"/>
                      <w:bCs/>
                      <w:color w:val="auto"/>
                      <w:kern w:val="0"/>
                      <w:sz w:val="21"/>
                      <w:szCs w:val="21"/>
                      <w:u w:val="single"/>
                      <w:lang w:bidi="ar"/>
                    </w:rPr>
                    <w:t>环境管理水平</w:t>
                  </w:r>
                </w:p>
              </w:tc>
              <w:tc>
                <w:tcPr>
                  <w:tcW w:w="3836" w:type="dxa"/>
                  <w:vAlign w:val="center"/>
                </w:tcPr>
                <w:p w14:paraId="245F1154">
                  <w:pPr>
                    <w:keepNext w:val="0"/>
                    <w:keepLines w:val="0"/>
                    <w:pageBreakBefore w:val="0"/>
                    <w:widowControl/>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left"/>
                    <w:textAlignment w:val="auto"/>
                    <w:rPr>
                      <w:rFonts w:hint="eastAsia" w:ascii="Times New Roman" w:hAnsi="Times New Roman" w:eastAsia="宋体" w:cs="Times New Roman"/>
                      <w:b w:val="0"/>
                      <w:bCs/>
                      <w:color w:val="auto"/>
                      <w:sz w:val="21"/>
                      <w:szCs w:val="21"/>
                      <w:u w:val="single"/>
                      <w:lang w:eastAsia="zh-CN"/>
                    </w:rPr>
                  </w:pPr>
                  <w:r>
                    <w:rPr>
                      <w:rFonts w:hint="default" w:ascii="Times New Roman" w:hAnsi="Times New Roman" w:eastAsia="宋体" w:cs="Times New Roman"/>
                      <w:b w:val="0"/>
                      <w:bCs/>
                      <w:color w:val="auto"/>
                      <w:sz w:val="21"/>
                      <w:szCs w:val="21"/>
                      <w:u w:val="single"/>
                    </w:rPr>
                    <w:t>环保档案</w:t>
                  </w:r>
                  <w:r>
                    <w:rPr>
                      <w:rFonts w:hint="default" w:ascii="Times New Roman" w:hAnsi="Times New Roman" w:eastAsia="宋体" w:cs="Times New Roman"/>
                      <w:b w:val="0"/>
                      <w:bCs/>
                      <w:color w:val="auto"/>
                      <w:sz w:val="21"/>
                      <w:szCs w:val="21"/>
                      <w:u w:val="single"/>
                      <w:lang w:eastAsia="zh-CN"/>
                    </w:rPr>
                    <w:t>：</w:t>
                  </w:r>
                  <w:r>
                    <w:rPr>
                      <w:rFonts w:hint="default" w:ascii="Times New Roman" w:hAnsi="Times New Roman" w:eastAsia="宋体" w:cs="Times New Roman"/>
                      <w:b w:val="0"/>
                      <w:bCs/>
                      <w:color w:val="auto"/>
                      <w:sz w:val="21"/>
                      <w:szCs w:val="21"/>
                      <w:u w:val="single"/>
                    </w:rPr>
                    <w:t>1.环评批复文件和竣工验收文件/现状评估文件</w:t>
                  </w:r>
                  <w:r>
                    <w:rPr>
                      <w:rFonts w:hint="eastAsia" w:ascii="Times New Roman" w:hAnsi="Times New Roman" w:eastAsia="宋体" w:cs="Times New Roman"/>
                      <w:b w:val="0"/>
                      <w:bCs/>
                      <w:color w:val="auto"/>
                      <w:sz w:val="21"/>
                      <w:szCs w:val="21"/>
                      <w:u w:val="single"/>
                      <w:lang w:eastAsia="zh-CN"/>
                    </w:rPr>
                    <w:t>；</w:t>
                  </w:r>
                </w:p>
                <w:p w14:paraId="1043C2CC">
                  <w:pPr>
                    <w:keepNext w:val="0"/>
                    <w:keepLines w:val="0"/>
                    <w:pageBreakBefore w:val="0"/>
                    <w:widowControl/>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left"/>
                    <w:textAlignment w:val="auto"/>
                    <w:rPr>
                      <w:rFonts w:hint="eastAsia" w:ascii="Times New Roman" w:hAnsi="Times New Roman" w:eastAsia="宋体" w:cs="Times New Roman"/>
                      <w:b w:val="0"/>
                      <w:bCs/>
                      <w:color w:val="auto"/>
                      <w:sz w:val="21"/>
                      <w:szCs w:val="21"/>
                      <w:u w:val="single"/>
                      <w:lang w:eastAsia="zh-CN"/>
                    </w:rPr>
                  </w:pPr>
                  <w:r>
                    <w:rPr>
                      <w:rFonts w:hint="default" w:ascii="Times New Roman" w:hAnsi="Times New Roman" w:eastAsia="宋体" w:cs="Times New Roman"/>
                      <w:b w:val="0"/>
                      <w:bCs/>
                      <w:color w:val="auto"/>
                      <w:sz w:val="21"/>
                      <w:szCs w:val="21"/>
                      <w:u w:val="single"/>
                    </w:rPr>
                    <w:t>2.废气治理设施运行管理规程</w:t>
                  </w:r>
                  <w:r>
                    <w:rPr>
                      <w:rFonts w:hint="eastAsia" w:ascii="Times New Roman" w:hAnsi="Times New Roman" w:eastAsia="宋体" w:cs="Times New Roman"/>
                      <w:b w:val="0"/>
                      <w:bCs/>
                      <w:color w:val="auto"/>
                      <w:sz w:val="21"/>
                      <w:szCs w:val="21"/>
                      <w:u w:val="single"/>
                      <w:lang w:eastAsia="zh-CN"/>
                    </w:rPr>
                    <w:t>；</w:t>
                  </w:r>
                </w:p>
                <w:p w14:paraId="2A57D8E7">
                  <w:pPr>
                    <w:keepNext w:val="0"/>
                    <w:keepLines w:val="0"/>
                    <w:pageBreakBefore w:val="0"/>
                    <w:widowControl/>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left"/>
                    <w:textAlignment w:val="auto"/>
                    <w:rPr>
                      <w:rFonts w:hint="eastAsia" w:ascii="Times New Roman" w:hAnsi="Times New Roman" w:eastAsia="宋体" w:cs="Times New Roman"/>
                      <w:b w:val="0"/>
                      <w:bCs/>
                      <w:color w:val="auto"/>
                      <w:sz w:val="21"/>
                      <w:szCs w:val="21"/>
                      <w:u w:val="single"/>
                      <w:lang w:eastAsia="zh-CN"/>
                    </w:rPr>
                  </w:pPr>
                  <w:r>
                    <w:rPr>
                      <w:rFonts w:hint="default" w:ascii="Times New Roman" w:hAnsi="Times New Roman" w:eastAsia="宋体" w:cs="Times New Roman"/>
                      <w:b w:val="0"/>
                      <w:bCs/>
                      <w:color w:val="auto"/>
                      <w:sz w:val="21"/>
                      <w:szCs w:val="21"/>
                      <w:u w:val="single"/>
                    </w:rPr>
                    <w:t>3.一年内废气监测报告</w:t>
                  </w:r>
                  <w:r>
                    <w:rPr>
                      <w:rFonts w:hint="eastAsia" w:ascii="Times New Roman" w:hAnsi="Times New Roman" w:eastAsia="宋体" w:cs="Times New Roman"/>
                      <w:b w:val="0"/>
                      <w:bCs/>
                      <w:color w:val="auto"/>
                      <w:sz w:val="21"/>
                      <w:szCs w:val="21"/>
                      <w:u w:val="single"/>
                      <w:lang w:eastAsia="zh-CN"/>
                    </w:rPr>
                    <w:t>；</w:t>
                  </w:r>
                </w:p>
                <w:p w14:paraId="5BDCD87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u w:val="single"/>
                    </w:rPr>
                    <w:t>4.国家版排污许可证，并按要求开展自行监测和信息披露，规范设置废气排放口标志牌、二维码标识和采样平台、采样孔。</w:t>
                  </w:r>
                </w:p>
              </w:tc>
              <w:tc>
                <w:tcPr>
                  <w:tcW w:w="1952" w:type="dxa"/>
                  <w:vMerge w:val="restart"/>
                  <w:vAlign w:val="center"/>
                </w:tcPr>
                <w:p w14:paraId="50BDD245">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项目运营后配备环保人员，负责环保档案、环境管理、危废等台账记录等</w:t>
                  </w:r>
                </w:p>
              </w:tc>
              <w:tc>
                <w:tcPr>
                  <w:tcW w:w="701" w:type="dxa"/>
                  <w:vMerge w:val="restart"/>
                  <w:vAlign w:val="center"/>
                </w:tcPr>
                <w:p w14:paraId="1B8C2411">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3B8F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Merge w:val="continue"/>
                  <w:vAlign w:val="center"/>
                </w:tcPr>
                <w:p w14:paraId="610B12D9">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color w:val="auto"/>
                      <w:kern w:val="0"/>
                      <w:sz w:val="21"/>
                      <w:szCs w:val="21"/>
                      <w:u w:val="single"/>
                      <w:lang w:bidi="ar"/>
                    </w:rPr>
                  </w:pPr>
                </w:p>
              </w:tc>
              <w:tc>
                <w:tcPr>
                  <w:tcW w:w="3836" w:type="dxa"/>
                  <w:vAlign w:val="center"/>
                </w:tcPr>
                <w:p w14:paraId="73222327">
                  <w:pPr>
                    <w:keepNext w:val="0"/>
                    <w:keepLines w:val="0"/>
                    <w:pageBreakBefore w:val="0"/>
                    <w:widowControl/>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left"/>
                    <w:textAlignment w:val="auto"/>
                    <w:rPr>
                      <w:rFonts w:hint="eastAsia" w:cs="Times New Roman"/>
                      <w:b w:val="0"/>
                      <w:bCs/>
                      <w:color w:val="auto"/>
                      <w:sz w:val="21"/>
                      <w:szCs w:val="21"/>
                      <w:u w:val="single"/>
                      <w:lang w:eastAsia="zh-CN"/>
                    </w:rPr>
                  </w:pPr>
                  <w:r>
                    <w:rPr>
                      <w:rFonts w:hint="default" w:ascii="Times New Roman" w:hAnsi="Times New Roman" w:eastAsia="宋体" w:cs="Times New Roman"/>
                      <w:b w:val="0"/>
                      <w:bCs/>
                      <w:color w:val="auto"/>
                      <w:sz w:val="21"/>
                      <w:szCs w:val="21"/>
                      <w:u w:val="single"/>
                    </w:rPr>
                    <w:t>台账记录</w:t>
                  </w:r>
                  <w:r>
                    <w:rPr>
                      <w:rFonts w:hint="default" w:ascii="Times New Roman" w:hAnsi="Times New Roman" w:eastAsia="宋体" w:cs="Times New Roman"/>
                      <w:b w:val="0"/>
                      <w:bCs/>
                      <w:color w:val="auto"/>
                      <w:sz w:val="21"/>
                      <w:szCs w:val="21"/>
                      <w:u w:val="single"/>
                      <w:lang w:eastAsia="zh-CN"/>
                    </w:rPr>
                    <w:t>：</w:t>
                  </w:r>
                  <w:r>
                    <w:rPr>
                      <w:rFonts w:hint="default" w:ascii="Times New Roman" w:hAnsi="Times New Roman" w:eastAsia="宋体" w:cs="Times New Roman"/>
                      <w:b w:val="0"/>
                      <w:bCs/>
                      <w:color w:val="auto"/>
                      <w:sz w:val="21"/>
                      <w:szCs w:val="21"/>
                      <w:u w:val="single"/>
                    </w:rPr>
                    <w:t>1.生产设施运行管理信息</w:t>
                  </w:r>
                  <w:r>
                    <w:rPr>
                      <w:rFonts w:hint="eastAsia" w:cs="Times New Roman"/>
                      <w:b w:val="0"/>
                      <w:bCs/>
                      <w:color w:val="auto"/>
                      <w:sz w:val="21"/>
                      <w:szCs w:val="21"/>
                      <w:u w:val="single"/>
                      <w:lang w:eastAsia="zh-CN"/>
                    </w:rPr>
                    <w:t>（</w:t>
                  </w:r>
                  <w:r>
                    <w:rPr>
                      <w:rFonts w:hint="default" w:ascii="Times New Roman" w:hAnsi="Times New Roman" w:eastAsia="宋体" w:cs="Times New Roman"/>
                      <w:b w:val="0"/>
                      <w:bCs/>
                      <w:color w:val="auto"/>
                      <w:sz w:val="21"/>
                      <w:szCs w:val="21"/>
                      <w:u w:val="single"/>
                    </w:rPr>
                    <w:t>生产时间、运行负荷、产品产量等</w:t>
                  </w:r>
                  <w:r>
                    <w:rPr>
                      <w:rFonts w:hint="eastAsia" w:cs="Times New Roman"/>
                      <w:b w:val="0"/>
                      <w:bCs/>
                      <w:color w:val="auto"/>
                      <w:sz w:val="21"/>
                      <w:szCs w:val="21"/>
                      <w:u w:val="single"/>
                      <w:lang w:eastAsia="zh-CN"/>
                    </w:rPr>
                    <w:t>）；</w:t>
                  </w:r>
                </w:p>
                <w:p w14:paraId="41461F71">
                  <w:pPr>
                    <w:keepNext w:val="0"/>
                    <w:keepLines w:val="0"/>
                    <w:pageBreakBefore w:val="0"/>
                    <w:widowControl/>
                    <w:numPr>
                      <w:ilvl w:val="0"/>
                      <w:numId w:val="0"/>
                    </w:numPr>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left"/>
                    <w:textAlignment w:val="auto"/>
                    <w:rPr>
                      <w:rFonts w:hint="eastAsia" w:cs="Times New Roman"/>
                      <w:b w:val="0"/>
                      <w:bCs/>
                      <w:color w:val="auto"/>
                      <w:sz w:val="21"/>
                      <w:szCs w:val="21"/>
                      <w:u w:val="single"/>
                      <w:lang w:eastAsia="zh-CN"/>
                    </w:rPr>
                  </w:pPr>
                  <w:r>
                    <w:rPr>
                      <w:rFonts w:hint="eastAsia" w:ascii="Times New Roman" w:hAnsi="Times New Roman" w:eastAsia="宋体" w:cs="Times New Roman"/>
                      <w:b w:val="0"/>
                      <w:bCs/>
                      <w:color w:val="auto"/>
                      <w:kern w:val="2"/>
                      <w:sz w:val="21"/>
                      <w:szCs w:val="21"/>
                      <w:u w:val="single"/>
                      <w:lang w:val="en-US" w:eastAsia="zh-CN" w:bidi="ar-SA"/>
                    </w:rPr>
                    <w:t>2.</w:t>
                  </w:r>
                  <w:r>
                    <w:rPr>
                      <w:rFonts w:hint="default" w:ascii="Times New Roman" w:hAnsi="Times New Roman" w:eastAsia="宋体" w:cs="Times New Roman"/>
                      <w:b w:val="0"/>
                      <w:bCs/>
                      <w:color w:val="auto"/>
                      <w:sz w:val="21"/>
                      <w:szCs w:val="21"/>
                      <w:u w:val="single"/>
                    </w:rPr>
                    <w:t>废气污染治理设施运行管理信息</w:t>
                  </w:r>
                  <w:r>
                    <w:rPr>
                      <w:rFonts w:hint="eastAsia" w:cs="Times New Roman"/>
                      <w:b w:val="0"/>
                      <w:bCs/>
                      <w:color w:val="auto"/>
                      <w:sz w:val="21"/>
                      <w:szCs w:val="21"/>
                      <w:u w:val="single"/>
                      <w:lang w:eastAsia="zh-CN"/>
                    </w:rPr>
                    <w:t>（</w:t>
                  </w:r>
                  <w:r>
                    <w:rPr>
                      <w:rFonts w:hint="default" w:ascii="Times New Roman" w:hAnsi="Times New Roman" w:eastAsia="宋体" w:cs="Times New Roman"/>
                      <w:b w:val="0"/>
                      <w:bCs/>
                      <w:color w:val="auto"/>
                      <w:sz w:val="21"/>
                      <w:szCs w:val="21"/>
                      <w:u w:val="single"/>
                    </w:rPr>
                    <w:t>除尘滤料、活性炭等更换量和时间</w:t>
                  </w:r>
                  <w:r>
                    <w:rPr>
                      <w:rFonts w:hint="eastAsia" w:cs="Times New Roman"/>
                      <w:b w:val="0"/>
                      <w:bCs/>
                      <w:color w:val="auto"/>
                      <w:sz w:val="21"/>
                      <w:szCs w:val="21"/>
                      <w:u w:val="single"/>
                      <w:lang w:eastAsia="zh-CN"/>
                    </w:rPr>
                    <w:t>）；</w:t>
                  </w:r>
                </w:p>
                <w:p w14:paraId="55928C05">
                  <w:pPr>
                    <w:keepNext w:val="0"/>
                    <w:keepLines w:val="0"/>
                    <w:pageBreakBefore w:val="0"/>
                    <w:widowControl/>
                    <w:numPr>
                      <w:ilvl w:val="0"/>
                      <w:numId w:val="0"/>
                    </w:numPr>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left"/>
                    <w:textAlignment w:val="auto"/>
                    <w:rPr>
                      <w:rFonts w:hint="default" w:ascii="Times New Roman" w:hAnsi="Times New Roman" w:eastAsia="宋体" w:cs="Times New Roman"/>
                      <w:b w:val="0"/>
                      <w:bCs/>
                      <w:color w:val="auto"/>
                      <w:sz w:val="21"/>
                      <w:szCs w:val="21"/>
                      <w:u w:val="single"/>
                    </w:rPr>
                  </w:pPr>
                  <w:r>
                    <w:rPr>
                      <w:rFonts w:hint="default" w:ascii="Times New Roman" w:hAnsi="Times New Roman" w:eastAsia="宋体" w:cs="Times New Roman"/>
                      <w:b w:val="0"/>
                      <w:bCs/>
                      <w:color w:val="auto"/>
                      <w:sz w:val="21"/>
                      <w:szCs w:val="21"/>
                      <w:u w:val="single"/>
                    </w:rPr>
                    <w:t>3.监测记录信息</w:t>
                  </w:r>
                  <w:r>
                    <w:rPr>
                      <w:rFonts w:hint="eastAsia" w:cs="Times New Roman"/>
                      <w:b w:val="0"/>
                      <w:bCs/>
                      <w:color w:val="auto"/>
                      <w:sz w:val="21"/>
                      <w:szCs w:val="21"/>
                      <w:u w:val="single"/>
                      <w:lang w:eastAsia="zh-CN"/>
                    </w:rPr>
                    <w:t>（</w:t>
                  </w:r>
                  <w:r>
                    <w:rPr>
                      <w:rFonts w:hint="default" w:ascii="Times New Roman" w:hAnsi="Times New Roman" w:eastAsia="宋体" w:cs="Times New Roman"/>
                      <w:b w:val="0"/>
                      <w:bCs/>
                      <w:color w:val="auto"/>
                      <w:sz w:val="21"/>
                      <w:szCs w:val="21"/>
                      <w:u w:val="single"/>
                    </w:rPr>
                    <w:t>主要污染排放口废气排放记录</w:t>
                  </w:r>
                  <w:r>
                    <w:rPr>
                      <w:rFonts w:hint="eastAsia" w:cs="Times New Roman"/>
                      <w:b w:val="0"/>
                      <w:bCs/>
                      <w:color w:val="auto"/>
                      <w:sz w:val="21"/>
                      <w:szCs w:val="21"/>
                      <w:u w:val="single"/>
                      <w:lang w:eastAsia="zh-CN"/>
                    </w:rPr>
                    <w:t>（</w:t>
                  </w:r>
                  <w:r>
                    <w:rPr>
                      <w:rFonts w:hint="default" w:ascii="Times New Roman" w:hAnsi="Times New Roman" w:eastAsia="宋体" w:cs="Times New Roman"/>
                      <w:b w:val="0"/>
                      <w:bCs/>
                      <w:color w:val="auto"/>
                      <w:sz w:val="21"/>
                      <w:szCs w:val="21"/>
                      <w:u w:val="single"/>
                    </w:rPr>
                    <w:t>手工监测和在线监测</w:t>
                  </w:r>
                  <w:r>
                    <w:rPr>
                      <w:rFonts w:hint="eastAsia" w:cs="Times New Roman"/>
                      <w:b w:val="0"/>
                      <w:bCs/>
                      <w:color w:val="auto"/>
                      <w:sz w:val="21"/>
                      <w:szCs w:val="21"/>
                      <w:u w:val="single"/>
                      <w:lang w:eastAsia="zh-CN"/>
                    </w:rPr>
                    <w:t>）</w:t>
                  </w:r>
                  <w:r>
                    <w:rPr>
                      <w:rFonts w:hint="default" w:ascii="Times New Roman" w:hAnsi="Times New Roman" w:eastAsia="宋体" w:cs="Times New Roman"/>
                      <w:b w:val="0"/>
                      <w:bCs/>
                      <w:color w:val="auto"/>
                      <w:sz w:val="21"/>
                      <w:szCs w:val="21"/>
                      <w:u w:val="single"/>
                    </w:rPr>
                    <w:t>等</w:t>
                  </w:r>
                  <w:r>
                    <w:rPr>
                      <w:rFonts w:hint="eastAsia" w:cs="Times New Roman"/>
                      <w:b w:val="0"/>
                      <w:bCs/>
                      <w:color w:val="auto"/>
                      <w:sz w:val="21"/>
                      <w:szCs w:val="21"/>
                      <w:u w:val="single"/>
                      <w:lang w:eastAsia="zh-CN"/>
                    </w:rPr>
                    <w:t>）；</w:t>
                  </w:r>
                </w:p>
                <w:p w14:paraId="192130A9">
                  <w:pPr>
                    <w:keepNext w:val="0"/>
                    <w:keepLines w:val="0"/>
                    <w:pageBreakBefore w:val="0"/>
                    <w:widowControl/>
                    <w:numPr>
                      <w:ilvl w:val="0"/>
                      <w:numId w:val="0"/>
                    </w:numPr>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left"/>
                    <w:textAlignment w:val="auto"/>
                    <w:rPr>
                      <w:rFonts w:hint="eastAsia" w:ascii="Times New Roman" w:hAnsi="Times New Roman" w:eastAsia="宋体" w:cs="Times New Roman"/>
                      <w:b w:val="0"/>
                      <w:bCs/>
                      <w:color w:val="auto"/>
                      <w:sz w:val="21"/>
                      <w:szCs w:val="21"/>
                      <w:u w:val="single"/>
                      <w:lang w:eastAsia="zh-CN"/>
                    </w:rPr>
                  </w:pPr>
                  <w:r>
                    <w:rPr>
                      <w:rFonts w:hint="default" w:ascii="Times New Roman" w:hAnsi="Times New Roman" w:eastAsia="宋体" w:cs="Times New Roman"/>
                      <w:b w:val="0"/>
                      <w:bCs/>
                      <w:color w:val="auto"/>
                      <w:sz w:val="21"/>
                      <w:szCs w:val="21"/>
                      <w:u w:val="single"/>
                    </w:rPr>
                    <w:t>4.主要原辅材料、燃料消耗记录</w:t>
                  </w:r>
                  <w:r>
                    <w:rPr>
                      <w:rFonts w:hint="eastAsia" w:cs="Times New Roman"/>
                      <w:b w:val="0"/>
                      <w:bCs/>
                      <w:color w:val="auto"/>
                      <w:sz w:val="21"/>
                      <w:szCs w:val="21"/>
                      <w:u w:val="single"/>
                      <w:lang w:eastAsia="zh-CN"/>
                    </w:rPr>
                    <w:t>；</w:t>
                  </w:r>
                </w:p>
                <w:p w14:paraId="1DDB6B1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default" w:ascii="Times New Roman" w:hAnsi="Times New Roman" w:eastAsia="宋体" w:cs="Times New Roman"/>
                      <w:b w:val="0"/>
                      <w:bCs/>
                      <w:color w:val="auto"/>
                      <w:sz w:val="21"/>
                      <w:szCs w:val="21"/>
                      <w:u w:val="single"/>
                    </w:rPr>
                  </w:pPr>
                  <w:r>
                    <w:rPr>
                      <w:rFonts w:hint="default" w:ascii="Times New Roman" w:hAnsi="Times New Roman" w:eastAsia="宋体" w:cs="Times New Roman"/>
                      <w:b w:val="0"/>
                      <w:bCs/>
                      <w:color w:val="auto"/>
                      <w:sz w:val="21"/>
                      <w:szCs w:val="21"/>
                      <w:u w:val="single"/>
                    </w:rPr>
                    <w:t>5.电消耗记录。</w:t>
                  </w:r>
                </w:p>
              </w:tc>
              <w:tc>
                <w:tcPr>
                  <w:tcW w:w="1952" w:type="dxa"/>
                  <w:vMerge w:val="continue"/>
                  <w:vAlign w:val="center"/>
                </w:tcPr>
                <w:p w14:paraId="22A61E42">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p>
              </w:tc>
              <w:tc>
                <w:tcPr>
                  <w:tcW w:w="701" w:type="dxa"/>
                  <w:vMerge w:val="continue"/>
                  <w:vAlign w:val="center"/>
                </w:tcPr>
                <w:p w14:paraId="378D72C2">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p>
              </w:tc>
            </w:tr>
            <w:tr w14:paraId="2D8C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1E529008">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color w:val="auto"/>
                      <w:kern w:val="0"/>
                      <w:sz w:val="21"/>
                      <w:szCs w:val="21"/>
                      <w:u w:val="single"/>
                      <w:lang w:bidi="ar"/>
                    </w:rPr>
                  </w:pPr>
                  <w:r>
                    <w:rPr>
                      <w:rFonts w:hint="default" w:ascii="Times New Roman" w:hAnsi="Times New Roman" w:eastAsia="宋体" w:cs="Times New Roman"/>
                      <w:b w:val="0"/>
                      <w:bCs/>
                      <w:color w:val="auto"/>
                      <w:sz w:val="21"/>
                      <w:szCs w:val="21"/>
                      <w:u w:val="single"/>
                    </w:rPr>
                    <w:t>运输方式</w:t>
                  </w:r>
                </w:p>
              </w:tc>
              <w:tc>
                <w:tcPr>
                  <w:tcW w:w="3836" w:type="dxa"/>
                  <w:vAlign w:val="center"/>
                </w:tcPr>
                <w:p w14:paraId="43A1E3C9">
                  <w:pPr>
                    <w:keepNext w:val="0"/>
                    <w:keepLines w:val="0"/>
                    <w:pageBreakBefore w:val="0"/>
                    <w:widowControl/>
                    <w:suppressLineNumbers w:val="0"/>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left"/>
                    <w:textAlignment w:val="auto"/>
                    <w:rPr>
                      <w:rFonts w:hint="default" w:ascii="Times New Roman" w:hAnsi="Times New Roman" w:eastAsia="宋体" w:cs="Times New Roman"/>
                      <w:b w:val="0"/>
                      <w:bCs/>
                      <w:color w:val="auto"/>
                      <w:kern w:val="0"/>
                      <w:sz w:val="21"/>
                      <w:szCs w:val="21"/>
                      <w:u w:val="single"/>
                      <w:lang w:val="en-US" w:eastAsia="zh-CN" w:bidi="ar"/>
                    </w:rPr>
                  </w:pPr>
                  <w:r>
                    <w:rPr>
                      <w:rFonts w:hint="default" w:ascii="Times New Roman" w:hAnsi="Times New Roman" w:eastAsia="宋体" w:cs="Times New Roman"/>
                      <w:b w:val="0"/>
                      <w:bCs/>
                      <w:color w:val="auto"/>
                      <w:kern w:val="0"/>
                      <w:sz w:val="21"/>
                      <w:szCs w:val="21"/>
                      <w:u w:val="single"/>
                      <w:lang w:val="en-US" w:eastAsia="zh-CN" w:bidi="ar"/>
                    </w:rPr>
                    <w:t>1.物料、产品等公路运输全部使用国五及以上排放标准重型载货车辆</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重型燃气车辆达到国六排放标准</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或新能源车辆</w:t>
                  </w:r>
                  <w:r>
                    <w:rPr>
                      <w:rFonts w:hint="eastAsia" w:cs="Times New Roman"/>
                      <w:b w:val="0"/>
                      <w:bCs/>
                      <w:color w:val="auto"/>
                      <w:kern w:val="0"/>
                      <w:sz w:val="21"/>
                      <w:szCs w:val="21"/>
                      <w:u w:val="single"/>
                      <w:lang w:val="en-US" w:eastAsia="zh-CN" w:bidi="ar"/>
                    </w:rPr>
                    <w:t>；</w:t>
                  </w:r>
                </w:p>
                <w:p w14:paraId="79C1A4B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cs="Times New Roman"/>
                      <w:b w:val="0"/>
                      <w:bCs/>
                      <w:color w:val="auto"/>
                      <w:kern w:val="0"/>
                      <w:sz w:val="21"/>
                      <w:szCs w:val="21"/>
                      <w:u w:val="single"/>
                      <w:lang w:val="en-US" w:eastAsia="zh-CN" w:bidi="ar"/>
                    </w:rPr>
                  </w:pPr>
                  <w:r>
                    <w:rPr>
                      <w:rFonts w:hint="default" w:ascii="Times New Roman" w:hAnsi="Times New Roman" w:eastAsia="宋体" w:cs="Times New Roman"/>
                      <w:b w:val="0"/>
                      <w:bCs/>
                      <w:color w:val="auto"/>
                      <w:kern w:val="0"/>
                      <w:sz w:val="21"/>
                      <w:szCs w:val="21"/>
                      <w:u w:val="single"/>
                      <w:lang w:val="en-US" w:eastAsia="zh-CN" w:bidi="ar"/>
                    </w:rPr>
                    <w:t>2.厂内运输全部使用国五及以上排放标准</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重型燃气车辆达到国六排放标准</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或使用新能源车辆</w:t>
                  </w:r>
                  <w:r>
                    <w:rPr>
                      <w:rFonts w:hint="eastAsia" w:cs="Times New Roman"/>
                      <w:b w:val="0"/>
                      <w:bCs/>
                      <w:color w:val="auto"/>
                      <w:kern w:val="0"/>
                      <w:sz w:val="21"/>
                      <w:szCs w:val="21"/>
                      <w:u w:val="single"/>
                      <w:lang w:val="en-US" w:eastAsia="zh-CN" w:bidi="ar"/>
                    </w:rPr>
                    <w:t>；</w:t>
                  </w:r>
                </w:p>
                <w:p w14:paraId="42D69B7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eastAsia" w:cs="Times New Roman"/>
                      <w:b w:val="0"/>
                      <w:bCs/>
                      <w:color w:val="auto"/>
                      <w:kern w:val="0"/>
                      <w:sz w:val="21"/>
                      <w:szCs w:val="21"/>
                      <w:u w:val="single"/>
                      <w:lang w:val="en-US" w:eastAsia="zh-CN" w:bidi="ar"/>
                    </w:rPr>
                  </w:pPr>
                  <w:r>
                    <w:rPr>
                      <w:rFonts w:hint="default" w:ascii="Times New Roman" w:hAnsi="Times New Roman" w:eastAsia="宋体" w:cs="Times New Roman"/>
                      <w:b w:val="0"/>
                      <w:bCs/>
                      <w:color w:val="auto"/>
                      <w:kern w:val="0"/>
                      <w:sz w:val="21"/>
                      <w:szCs w:val="21"/>
                      <w:u w:val="single"/>
                      <w:lang w:val="en-US" w:eastAsia="zh-CN" w:bidi="ar"/>
                    </w:rPr>
                    <w:t>3.危险品及危废运输全部使用国五及以上排放标准</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重型燃气车辆达到国六排放标准</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或新能源车辆</w:t>
                  </w:r>
                  <w:r>
                    <w:rPr>
                      <w:rFonts w:hint="eastAsia" w:cs="Times New Roman"/>
                      <w:b w:val="0"/>
                      <w:bCs/>
                      <w:color w:val="auto"/>
                      <w:kern w:val="0"/>
                      <w:sz w:val="21"/>
                      <w:szCs w:val="21"/>
                      <w:u w:val="single"/>
                      <w:lang w:val="en-US" w:eastAsia="zh-CN" w:bidi="ar"/>
                    </w:rPr>
                    <w:t>；</w:t>
                  </w:r>
                </w:p>
                <w:p w14:paraId="0D50C8F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default" w:ascii="Times New Roman" w:hAnsi="Times New Roman" w:eastAsia="宋体" w:cs="Times New Roman"/>
                      <w:b w:val="0"/>
                      <w:bCs/>
                      <w:color w:val="auto"/>
                      <w:sz w:val="21"/>
                      <w:szCs w:val="21"/>
                      <w:u w:val="single"/>
                    </w:rPr>
                  </w:pPr>
                  <w:r>
                    <w:rPr>
                      <w:rFonts w:hint="default" w:ascii="Times New Roman" w:hAnsi="Times New Roman" w:eastAsia="宋体" w:cs="Times New Roman"/>
                      <w:b w:val="0"/>
                      <w:bCs/>
                      <w:color w:val="auto"/>
                      <w:kern w:val="0"/>
                      <w:sz w:val="21"/>
                      <w:szCs w:val="21"/>
                      <w:u w:val="single"/>
                      <w:lang w:val="en-US" w:eastAsia="zh-CN" w:bidi="ar"/>
                    </w:rPr>
                    <w:t>4.厂内非道路移动机械全部使用国三及以上排放标准或使用新能源</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电动、氢能</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机械。</w:t>
                  </w:r>
                </w:p>
              </w:tc>
              <w:tc>
                <w:tcPr>
                  <w:tcW w:w="1952" w:type="dxa"/>
                  <w:vAlign w:val="center"/>
                </w:tcPr>
                <w:p w14:paraId="03907284">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项目运营后，物料公路运输、厂区运输车辆、厂内非道路移动机械均使用满足所列车辆排放标准要求的车辆机械。</w:t>
                  </w:r>
                </w:p>
              </w:tc>
              <w:tc>
                <w:tcPr>
                  <w:tcW w:w="701" w:type="dxa"/>
                  <w:vAlign w:val="center"/>
                </w:tcPr>
                <w:p w14:paraId="3EECE0AD">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r w14:paraId="37BE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vAlign w:val="center"/>
                </w:tcPr>
                <w:p w14:paraId="144869C4">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default" w:ascii="Times New Roman" w:hAnsi="Times New Roman" w:eastAsia="宋体" w:cs="Times New Roman"/>
                      <w:b w:val="0"/>
                      <w:bCs/>
                      <w:color w:val="auto"/>
                      <w:sz w:val="21"/>
                      <w:szCs w:val="21"/>
                      <w:u w:val="single"/>
                    </w:rPr>
                  </w:pPr>
                  <w:r>
                    <w:rPr>
                      <w:rFonts w:hint="default" w:ascii="Times New Roman" w:hAnsi="Times New Roman" w:eastAsia="宋体" w:cs="Times New Roman"/>
                      <w:b w:val="0"/>
                      <w:bCs/>
                      <w:color w:val="auto"/>
                      <w:kern w:val="0"/>
                      <w:sz w:val="21"/>
                      <w:szCs w:val="21"/>
                      <w:u w:val="single"/>
                      <w:lang w:bidi="ar"/>
                    </w:rPr>
                    <w:t>运输监管</w:t>
                  </w:r>
                </w:p>
              </w:tc>
              <w:tc>
                <w:tcPr>
                  <w:tcW w:w="3836" w:type="dxa"/>
                  <w:vAlign w:val="center"/>
                </w:tcPr>
                <w:p w14:paraId="0CA0811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firstLine="0" w:firstLineChars="0"/>
                    <w:jc w:val="both"/>
                    <w:textAlignment w:val="baseline"/>
                    <w:rPr>
                      <w:rFonts w:hint="default" w:ascii="Times New Roman" w:hAnsi="Times New Roman" w:eastAsia="宋体" w:cs="Times New Roman"/>
                      <w:b w:val="0"/>
                      <w:bCs/>
                      <w:color w:val="auto"/>
                      <w:kern w:val="0"/>
                      <w:sz w:val="21"/>
                      <w:szCs w:val="21"/>
                      <w:u w:val="single"/>
                      <w:lang w:val="en-US" w:eastAsia="zh-CN" w:bidi="ar"/>
                    </w:rPr>
                  </w:pPr>
                  <w:r>
                    <w:rPr>
                      <w:rFonts w:hint="default" w:ascii="Times New Roman" w:hAnsi="Times New Roman" w:eastAsia="宋体" w:cs="Times New Roman"/>
                      <w:b w:val="0"/>
                      <w:bCs/>
                      <w:color w:val="auto"/>
                      <w:kern w:val="0"/>
                      <w:sz w:val="21"/>
                      <w:szCs w:val="21"/>
                      <w:u w:val="single"/>
                      <w:lang w:val="en-US" w:eastAsia="zh-CN" w:bidi="ar"/>
                    </w:rPr>
                    <w:t>日均进出货物150吨</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或载货车辆日进出10辆次</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及以上</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货物包括原料、辅料、燃料、产品和其他与生产相关物料</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的企业，参照《重污染天气重点行业移动源应急管理技术指南》建立门禁视频监控系统和电子台账</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其他企业安装车辆运输视频监控</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数据能保存6个月</w:t>
                  </w:r>
                  <w:r>
                    <w:rPr>
                      <w:rFonts w:hint="eastAsia" w:cs="Times New Roman"/>
                      <w:b w:val="0"/>
                      <w:bCs/>
                      <w:color w:val="auto"/>
                      <w:kern w:val="0"/>
                      <w:sz w:val="21"/>
                      <w:szCs w:val="21"/>
                      <w:u w:val="single"/>
                      <w:lang w:val="en-US" w:eastAsia="zh-CN" w:bidi="ar"/>
                    </w:rPr>
                    <w:t>）</w:t>
                  </w:r>
                  <w:r>
                    <w:rPr>
                      <w:rFonts w:hint="default" w:ascii="Times New Roman" w:hAnsi="Times New Roman" w:eastAsia="宋体" w:cs="Times New Roman"/>
                      <w:b w:val="0"/>
                      <w:bCs/>
                      <w:color w:val="auto"/>
                      <w:kern w:val="0"/>
                      <w:sz w:val="21"/>
                      <w:szCs w:val="21"/>
                      <w:u w:val="single"/>
                      <w:lang w:val="en-US" w:eastAsia="zh-CN" w:bidi="ar"/>
                    </w:rPr>
                    <w:t>，并建立车辆运输手工台账。</w:t>
                  </w:r>
                </w:p>
              </w:tc>
              <w:tc>
                <w:tcPr>
                  <w:tcW w:w="1952" w:type="dxa"/>
                  <w:vAlign w:val="center"/>
                </w:tcPr>
                <w:p w14:paraId="56D82C66">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both"/>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u w:val="single"/>
                    </w:rPr>
                    <w:t>厂区大门</w:t>
                  </w:r>
                  <w:r>
                    <w:rPr>
                      <w:rFonts w:hint="default" w:ascii="Times New Roman" w:hAnsi="Times New Roman" w:eastAsia="宋体" w:cs="Times New Roman"/>
                      <w:b w:val="0"/>
                      <w:bCs/>
                      <w:color w:val="auto"/>
                      <w:sz w:val="21"/>
                      <w:szCs w:val="21"/>
                      <w:u w:val="single"/>
                      <w:lang w:eastAsia="zh-CN"/>
                    </w:rPr>
                    <w:t>根据规范要求</w:t>
                  </w:r>
                  <w:r>
                    <w:rPr>
                      <w:rFonts w:hint="default" w:ascii="Times New Roman" w:hAnsi="Times New Roman" w:eastAsia="宋体" w:cs="Times New Roman"/>
                      <w:b w:val="0"/>
                      <w:bCs/>
                      <w:color w:val="auto"/>
                      <w:sz w:val="21"/>
                      <w:szCs w:val="21"/>
                      <w:u w:val="single"/>
                    </w:rPr>
                    <w:t>设置有门禁</w:t>
                  </w:r>
                  <w:r>
                    <w:rPr>
                      <w:rFonts w:hint="default" w:ascii="Times New Roman" w:hAnsi="Times New Roman" w:eastAsia="宋体" w:cs="Times New Roman"/>
                      <w:b w:val="0"/>
                      <w:bCs/>
                      <w:color w:val="auto"/>
                      <w:sz w:val="21"/>
                      <w:szCs w:val="21"/>
                      <w:u w:val="single"/>
                      <w:lang w:eastAsia="zh-CN"/>
                    </w:rPr>
                    <w:t>及</w:t>
                  </w:r>
                  <w:r>
                    <w:rPr>
                      <w:rFonts w:hint="default" w:ascii="Times New Roman" w:hAnsi="Times New Roman" w:eastAsia="宋体" w:cs="Times New Roman"/>
                      <w:b w:val="0"/>
                      <w:bCs/>
                      <w:color w:val="auto"/>
                      <w:sz w:val="21"/>
                      <w:szCs w:val="21"/>
                      <w:u w:val="single"/>
                    </w:rPr>
                    <w:t>电子台账</w:t>
                  </w:r>
                </w:p>
              </w:tc>
              <w:tc>
                <w:tcPr>
                  <w:tcW w:w="701" w:type="dxa"/>
                  <w:vAlign w:val="center"/>
                </w:tcPr>
                <w:p w14:paraId="1AB83FEF">
                  <w:pPr>
                    <w:pStyle w:val="11"/>
                    <w:keepNext w:val="0"/>
                    <w:keepLines w:val="0"/>
                    <w:pageBreakBefore w:val="0"/>
                    <w:widowControl w:val="0"/>
                    <w:kinsoku/>
                    <w:wordWrap/>
                    <w:overflowPunct/>
                    <w:topLinePunct w:val="0"/>
                    <w:autoSpaceDE w:val="0"/>
                    <w:autoSpaceDN w:val="0"/>
                    <w:bidi w:val="0"/>
                    <w:adjustRightInd w:val="0"/>
                    <w:snapToGrid w:val="0"/>
                    <w:spacing w:before="48" w:beforeLines="15" w:after="48" w:afterLines="15" w:line="240" w:lineRule="auto"/>
                    <w:ind w:firstLine="0"/>
                    <w:jc w:val="center"/>
                    <w:textAlignment w:val="baseline"/>
                    <w:rPr>
                      <w:rFonts w:hint="eastAsia" w:ascii="Times New Roman" w:hAnsi="Times New Roman" w:eastAsia="宋体" w:cs="Times New Roman"/>
                      <w:b w:val="0"/>
                      <w:bCs w:val="0"/>
                      <w:color w:val="auto"/>
                      <w:kern w:val="0"/>
                      <w:sz w:val="21"/>
                      <w:szCs w:val="21"/>
                      <w:highlight w:val="none"/>
                      <w:u w:val="single"/>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rPr>
                    <w:t>相符</w:t>
                  </w:r>
                </w:p>
              </w:tc>
            </w:tr>
          </w:tbl>
          <w:p w14:paraId="5908685C">
            <w:pPr>
              <w:keepNext w:val="0"/>
              <w:keepLines w:val="0"/>
              <w:pageBreakBefore w:val="0"/>
              <w:widowControl w:val="0"/>
              <w:kinsoku/>
              <w:wordWrap/>
              <w:overflowPunct/>
              <w:topLinePunct w:val="0"/>
              <w:autoSpaceDE w:val="0"/>
              <w:autoSpaceDN w:val="0"/>
              <w:bidi w:val="0"/>
              <w:adjustRightInd w:val="0"/>
              <w:snapToGrid w:val="0"/>
              <w:spacing w:line="520" w:lineRule="atLeast"/>
              <w:ind w:left="0" w:leftChars="0" w:right="0" w:rightChars="0"/>
              <w:jc w:val="both"/>
              <w:textAlignment w:val="auto"/>
              <w:rPr>
                <w:rFonts w:hint="default" w:ascii="Times New Roman" w:hAnsi="Times New Roman" w:eastAsia="宋体" w:cs="Times New Roman"/>
                <w:b/>
                <w:bCs/>
                <w:color w:val="auto"/>
                <w:kern w:val="0"/>
                <w:sz w:val="24"/>
                <w:szCs w:val="24"/>
                <w:highlight w:val="none"/>
                <w:vertAlign w:val="baseline"/>
                <w:lang w:val="en-US" w:eastAsia="zh-CN" w:bidi="ar-SA"/>
              </w:rPr>
            </w:pPr>
            <w:r>
              <w:rPr>
                <w:rFonts w:hint="eastAsia" w:cs="Times New Roman"/>
                <w:b/>
                <w:bCs/>
                <w:color w:val="auto"/>
                <w:kern w:val="0"/>
                <w:sz w:val="24"/>
                <w:szCs w:val="24"/>
                <w:highlight w:val="none"/>
                <w:vertAlign w:val="baseline"/>
                <w:lang w:val="en-US" w:eastAsia="zh-CN" w:bidi="ar-SA"/>
              </w:rPr>
              <w:t>6、</w:t>
            </w:r>
            <w:r>
              <w:rPr>
                <w:rFonts w:hint="default" w:ascii="Times New Roman" w:hAnsi="Times New Roman" w:eastAsia="宋体" w:cs="Times New Roman"/>
                <w:b/>
                <w:bCs/>
                <w:color w:val="auto"/>
                <w:kern w:val="0"/>
                <w:sz w:val="24"/>
                <w:szCs w:val="24"/>
                <w:highlight w:val="none"/>
                <w:vertAlign w:val="baseline"/>
                <w:lang w:val="en-US" w:eastAsia="zh-CN" w:bidi="ar-SA"/>
              </w:rPr>
              <w:t>与饮用水源保护区规划相符性分析</w:t>
            </w:r>
          </w:p>
          <w:p w14:paraId="4DE37D25">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0" w:firstLineChars="0"/>
              <w:textAlignment w:val="baseline"/>
              <w:rPr>
                <w:rFonts w:hint="default" w:cs="Times New Roman"/>
                <w:b/>
                <w:bCs/>
                <w:color w:val="auto"/>
                <w:kern w:val="0"/>
                <w:sz w:val="24"/>
                <w:szCs w:val="24"/>
                <w:highlight w:val="none"/>
                <w:vertAlign w:val="baseline"/>
                <w:lang w:val="en-US" w:eastAsia="zh-CN" w:bidi="ar-SA"/>
              </w:rPr>
            </w:pPr>
            <w:r>
              <w:rPr>
                <w:rFonts w:hint="eastAsia" w:cs="Times New Roman"/>
                <w:b/>
                <w:bCs/>
                <w:color w:val="auto"/>
                <w:kern w:val="0"/>
                <w:sz w:val="24"/>
                <w:szCs w:val="24"/>
                <w:highlight w:val="none"/>
                <w:vertAlign w:val="baseline"/>
                <w:lang w:val="en-US" w:eastAsia="zh-CN" w:bidi="ar-SA"/>
              </w:rPr>
              <w:t>6.1 与濮阳市集中式饮用水源相符性</w:t>
            </w:r>
          </w:p>
          <w:p w14:paraId="176CF3A7">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根据《河南省城市集中式饮用水源保护区划》（豫政办</w:t>
            </w:r>
            <w:r>
              <w:rPr>
                <w:rFonts w:hint="eastAsia" w:ascii="仿宋" w:hAnsi="仿宋" w:eastAsia="仿宋" w:cs="仿宋"/>
                <w:b w:val="0"/>
                <w:bCs w:val="0"/>
                <w:color w:val="auto"/>
                <w:kern w:val="0"/>
                <w:sz w:val="24"/>
                <w:szCs w:val="24"/>
                <w:highlight w:val="none"/>
                <w:vertAlign w:val="baseline"/>
                <w:lang w:val="en-US" w:eastAsia="zh-CN" w:bidi="ar-SA"/>
              </w:rPr>
              <w:t>〔</w:t>
            </w:r>
            <w:r>
              <w:rPr>
                <w:rFonts w:hint="eastAsia" w:cs="Times New Roman"/>
                <w:b w:val="0"/>
                <w:bCs w:val="0"/>
                <w:color w:val="auto"/>
                <w:kern w:val="0"/>
                <w:sz w:val="24"/>
                <w:szCs w:val="24"/>
                <w:highlight w:val="none"/>
                <w:vertAlign w:val="baseline"/>
                <w:lang w:val="en-US" w:eastAsia="zh-CN" w:bidi="ar-SA"/>
              </w:rPr>
              <w:t>2007</w:t>
            </w:r>
            <w:r>
              <w:rPr>
                <w:rFonts w:hint="eastAsia" w:ascii="仿宋" w:hAnsi="仿宋" w:eastAsia="仿宋" w:cs="仿宋"/>
                <w:b w:val="0"/>
                <w:bCs w:val="0"/>
                <w:color w:val="auto"/>
                <w:kern w:val="0"/>
                <w:sz w:val="24"/>
                <w:szCs w:val="24"/>
                <w:highlight w:val="none"/>
                <w:vertAlign w:val="baseline"/>
                <w:lang w:val="en-US" w:eastAsia="zh-CN" w:bidi="ar-SA"/>
              </w:rPr>
              <w:t>〕</w:t>
            </w:r>
            <w:r>
              <w:rPr>
                <w:rFonts w:hint="eastAsia" w:cs="Times New Roman"/>
                <w:b w:val="0"/>
                <w:bCs w:val="0"/>
                <w:color w:val="auto"/>
                <w:kern w:val="0"/>
                <w:sz w:val="24"/>
                <w:szCs w:val="24"/>
                <w:highlight w:val="none"/>
                <w:vertAlign w:val="baseline"/>
                <w:lang w:val="en-US" w:eastAsia="zh-CN" w:bidi="ar-SA"/>
              </w:rPr>
              <w:t>125号）、河南省环境保护厅及河南省水利厅批复（豫环函</w:t>
            </w:r>
            <w:r>
              <w:rPr>
                <w:rFonts w:hint="eastAsia" w:ascii="仿宋" w:hAnsi="仿宋" w:eastAsia="仿宋" w:cs="仿宋"/>
                <w:b w:val="0"/>
                <w:bCs w:val="0"/>
                <w:color w:val="auto"/>
                <w:kern w:val="0"/>
                <w:sz w:val="24"/>
                <w:szCs w:val="24"/>
                <w:highlight w:val="none"/>
                <w:vertAlign w:val="baseline"/>
                <w:lang w:val="en-US" w:eastAsia="zh-CN" w:bidi="ar-SA"/>
              </w:rPr>
              <w:t>〔</w:t>
            </w:r>
            <w:r>
              <w:rPr>
                <w:rFonts w:hint="eastAsia" w:cs="Times New Roman"/>
                <w:b w:val="0"/>
                <w:bCs w:val="0"/>
                <w:color w:val="auto"/>
                <w:kern w:val="0"/>
                <w:sz w:val="24"/>
                <w:szCs w:val="24"/>
                <w:highlight w:val="none"/>
                <w:vertAlign w:val="baseline"/>
                <w:lang w:val="en-US" w:eastAsia="zh-CN" w:bidi="ar-SA"/>
              </w:rPr>
              <w:t>2014</w:t>
            </w:r>
            <w:r>
              <w:rPr>
                <w:rFonts w:hint="eastAsia" w:ascii="仿宋" w:hAnsi="仿宋" w:eastAsia="仿宋" w:cs="仿宋"/>
                <w:b w:val="0"/>
                <w:bCs w:val="0"/>
                <w:color w:val="auto"/>
                <w:kern w:val="0"/>
                <w:sz w:val="24"/>
                <w:szCs w:val="24"/>
                <w:highlight w:val="none"/>
                <w:vertAlign w:val="baseline"/>
                <w:lang w:val="en-US" w:eastAsia="zh-CN" w:bidi="ar-SA"/>
              </w:rPr>
              <w:t>〕</w:t>
            </w:r>
            <w:r>
              <w:rPr>
                <w:rFonts w:hint="eastAsia" w:cs="Times New Roman"/>
                <w:b w:val="0"/>
                <w:bCs w:val="0"/>
                <w:color w:val="auto"/>
                <w:kern w:val="0"/>
                <w:sz w:val="24"/>
                <w:szCs w:val="24"/>
                <w:highlight w:val="none"/>
                <w:vertAlign w:val="baseline"/>
                <w:lang w:val="en-US" w:eastAsia="zh-CN" w:bidi="ar-SA"/>
              </w:rPr>
              <w:t>61号）的《河南省濮阳市地下饮用水源地调整及保护区核定技术报告》、《河南省人民政府关于调整部分集中式饮用水水源保护区的通知》（豫政文</w:t>
            </w:r>
            <w:r>
              <w:rPr>
                <w:rFonts w:hint="eastAsia" w:ascii="仿宋" w:hAnsi="仿宋" w:eastAsia="仿宋" w:cs="仿宋"/>
                <w:b w:val="0"/>
                <w:bCs w:val="0"/>
                <w:color w:val="auto"/>
                <w:kern w:val="0"/>
                <w:sz w:val="24"/>
                <w:szCs w:val="24"/>
                <w:highlight w:val="none"/>
                <w:vertAlign w:val="baseline"/>
                <w:lang w:val="en-US" w:eastAsia="zh-CN" w:bidi="ar-SA"/>
              </w:rPr>
              <w:t>〔</w:t>
            </w:r>
            <w:r>
              <w:rPr>
                <w:rFonts w:hint="eastAsia" w:cs="Times New Roman"/>
                <w:b w:val="0"/>
                <w:bCs w:val="0"/>
                <w:color w:val="auto"/>
                <w:kern w:val="0"/>
                <w:sz w:val="24"/>
                <w:szCs w:val="24"/>
                <w:highlight w:val="none"/>
                <w:vertAlign w:val="baseline"/>
                <w:lang w:val="en-US" w:eastAsia="zh-CN" w:bidi="ar-SA"/>
              </w:rPr>
              <w:t>2019</w:t>
            </w:r>
            <w:r>
              <w:rPr>
                <w:rFonts w:hint="eastAsia" w:ascii="仿宋" w:hAnsi="仿宋" w:eastAsia="仿宋" w:cs="仿宋"/>
                <w:b w:val="0"/>
                <w:bCs w:val="0"/>
                <w:color w:val="auto"/>
                <w:kern w:val="0"/>
                <w:sz w:val="24"/>
                <w:szCs w:val="24"/>
                <w:highlight w:val="none"/>
                <w:vertAlign w:val="baseline"/>
                <w:lang w:val="en-US" w:eastAsia="zh-CN" w:bidi="ar-SA"/>
              </w:rPr>
              <w:t>〕</w:t>
            </w:r>
            <w:r>
              <w:rPr>
                <w:rFonts w:hint="eastAsia" w:cs="Times New Roman"/>
                <w:b w:val="0"/>
                <w:bCs w:val="0"/>
                <w:color w:val="auto"/>
                <w:kern w:val="0"/>
                <w:sz w:val="24"/>
                <w:szCs w:val="24"/>
                <w:highlight w:val="none"/>
                <w:vertAlign w:val="baseline"/>
                <w:lang w:val="en-US" w:eastAsia="zh-CN" w:bidi="ar-SA"/>
              </w:rPr>
              <w:t>19号）、《河南省人民政府关于调整取消部分集中式饮用水水源保护区的通知》（豫政文</w:t>
            </w:r>
            <w:r>
              <w:rPr>
                <w:rFonts w:hint="eastAsia" w:ascii="仿宋" w:hAnsi="仿宋" w:eastAsia="仿宋" w:cs="仿宋"/>
                <w:b w:val="0"/>
                <w:bCs w:val="0"/>
                <w:color w:val="auto"/>
                <w:kern w:val="0"/>
                <w:sz w:val="24"/>
                <w:szCs w:val="24"/>
                <w:highlight w:val="none"/>
                <w:vertAlign w:val="baseline"/>
                <w:lang w:val="en-US" w:eastAsia="zh-CN" w:bidi="ar-SA"/>
              </w:rPr>
              <w:t>〔</w:t>
            </w:r>
            <w:r>
              <w:rPr>
                <w:rFonts w:hint="eastAsia" w:cs="Times New Roman"/>
                <w:b w:val="0"/>
                <w:bCs w:val="0"/>
                <w:color w:val="auto"/>
                <w:kern w:val="0"/>
                <w:sz w:val="24"/>
                <w:szCs w:val="24"/>
                <w:highlight w:val="none"/>
                <w:vertAlign w:val="baseline"/>
                <w:lang w:val="en-US" w:eastAsia="zh-CN" w:bidi="ar-SA"/>
              </w:rPr>
              <w:t>2021</w:t>
            </w:r>
            <w:r>
              <w:rPr>
                <w:rFonts w:hint="eastAsia" w:ascii="仿宋" w:hAnsi="仿宋" w:eastAsia="仿宋" w:cs="仿宋"/>
                <w:b w:val="0"/>
                <w:bCs w:val="0"/>
                <w:color w:val="auto"/>
                <w:kern w:val="0"/>
                <w:sz w:val="24"/>
                <w:szCs w:val="24"/>
                <w:highlight w:val="none"/>
                <w:vertAlign w:val="baseline"/>
                <w:lang w:val="en-US" w:eastAsia="zh-CN" w:bidi="ar-SA"/>
              </w:rPr>
              <w:t>〕</w:t>
            </w:r>
            <w:r>
              <w:rPr>
                <w:rFonts w:hint="eastAsia" w:cs="Times New Roman"/>
                <w:b w:val="0"/>
                <w:bCs w:val="0"/>
                <w:color w:val="auto"/>
                <w:kern w:val="0"/>
                <w:sz w:val="24"/>
                <w:szCs w:val="24"/>
                <w:highlight w:val="none"/>
                <w:vertAlign w:val="baseline"/>
                <w:lang w:val="en-US" w:eastAsia="zh-CN" w:bidi="ar-SA"/>
              </w:rPr>
              <w:t>72号），濮阳市目前有2个地表水饮用水源保护区、1个地下水饮用水源保护区。濮阳市集中式饮用水源地及保护范围情况如下：</w:t>
            </w:r>
          </w:p>
          <w:p w14:paraId="38D12101">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（1）地表水饮用水源保护区</w:t>
            </w:r>
          </w:p>
          <w:p w14:paraId="7C36B6D9">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①中原油田彭楼地表水饮用水源保护区</w:t>
            </w:r>
          </w:p>
          <w:p w14:paraId="3367D4C7">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一级保护区：黄河干流彭楼引水口下游100米至上游10号坝河道濮阳市界内至黄河左岸连坝坡角线外50米的区域，彭楼引水口至彭楼闸之间输水渠两侧生产堤内的区域，彭楼闸至水源取水口下游100m之间输水渠及两侧50米的区域。</w:t>
            </w:r>
          </w:p>
          <w:p w14:paraId="11E72D57">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二级保护区：一级保护区外，黄河干流彭楼引水口至上游范县界河道、濮阳市界内至黄河左岸生产堤内的区域，彭楼闸至彭楼取水口下游300m的输水渠及两侧1000米至黄河大堤外侧的区域。</w:t>
            </w:r>
          </w:p>
          <w:p w14:paraId="32D4C83B">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②西水坡地表水饮用水源保护区</w:t>
            </w:r>
          </w:p>
          <w:p w14:paraId="4E622A5E">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一级保护区：黄河干流渠村引水口下游100米至上游青庄1号坝河道濮阳市界内至黄河左岸连坝坡角线外50米的区域，渠村引水口至渠首闸输水渠两侧连坝路之内的区域，渠村沉砂池外200米至黄河大堤外侧及濮清南干渠东侧的区域，西水坡调节池围墙以内的区域。</w:t>
            </w:r>
          </w:p>
          <w:p w14:paraId="6344737E">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二级保护区：一级保护区外，黄河干流渠村引水口至上游8号坝河道濮阳市界内至黄河左岸生产堤以内的区域，渠村沉砂池一级保护区外1000米至黄河大堤外侧的区域。</w:t>
            </w:r>
          </w:p>
          <w:p w14:paraId="05E785FE">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（2）地下水饮用水源保护区</w:t>
            </w:r>
          </w:p>
          <w:p w14:paraId="592A3B91">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①李子园地下水饮用水源保护区</w:t>
            </w:r>
          </w:p>
          <w:p w14:paraId="7CF4C70B">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一级保护区：取水井外围50米的区域。</w:t>
            </w:r>
          </w:p>
          <w:p w14:paraId="743910A6">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二级保护区：一级保护区外，取水井外围550米所包含的区域。</w:t>
            </w:r>
          </w:p>
          <w:p w14:paraId="27239293">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准保护区：二级保护区外，北至北线4号水井以北1000米、西至西线6号井以西1000米、南至高铺干渠—濮清南干渠—016县道、东至五星沟西侧范围内的区域。</w:t>
            </w:r>
          </w:p>
          <w:p w14:paraId="297AA292">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本项目位于清丰先进制造开发区，距离最近的西水坡地表水水源保护区17.9km，不在其保护区范围内，符合保护规划。</w:t>
            </w:r>
          </w:p>
          <w:p w14:paraId="64C08545">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0" w:firstLineChars="0"/>
              <w:textAlignment w:val="baseline"/>
              <w:rPr>
                <w:rFonts w:hint="default" w:cs="Times New Roman"/>
                <w:b/>
                <w:bCs/>
                <w:color w:val="auto"/>
                <w:kern w:val="0"/>
                <w:sz w:val="24"/>
                <w:szCs w:val="24"/>
                <w:highlight w:val="none"/>
                <w:vertAlign w:val="baseline"/>
                <w:lang w:val="en-US" w:eastAsia="zh-CN" w:bidi="ar-SA"/>
              </w:rPr>
            </w:pPr>
            <w:r>
              <w:rPr>
                <w:rFonts w:hint="eastAsia" w:cs="Times New Roman"/>
                <w:b/>
                <w:bCs/>
                <w:color w:val="auto"/>
                <w:kern w:val="0"/>
                <w:sz w:val="24"/>
                <w:szCs w:val="24"/>
                <w:highlight w:val="none"/>
                <w:vertAlign w:val="baseline"/>
                <w:lang w:val="en-US" w:eastAsia="zh-CN" w:bidi="ar-SA"/>
              </w:rPr>
              <w:t>6</w:t>
            </w:r>
            <w:r>
              <w:rPr>
                <w:rFonts w:hint="default" w:cs="Times New Roman"/>
                <w:b/>
                <w:bCs/>
                <w:color w:val="auto"/>
                <w:kern w:val="0"/>
                <w:sz w:val="24"/>
                <w:szCs w:val="24"/>
                <w:highlight w:val="none"/>
                <w:vertAlign w:val="baseline"/>
                <w:lang w:val="en-US" w:eastAsia="zh-CN" w:bidi="ar-SA"/>
              </w:rPr>
              <w:t>.2与县级集中式饮用水源保护区相符性</w:t>
            </w:r>
          </w:p>
          <w:p w14:paraId="5FE6F0AA">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依据《河南省人民政府办公厅关于印发河南省县级集中式饮用水水源保护区划的通知》（豫政办〔2013〕107号），</w:t>
            </w:r>
            <w:r>
              <w:rPr>
                <w:rFonts w:hint="default" w:cs="Times New Roman"/>
                <w:b w:val="0"/>
                <w:bCs w:val="0"/>
                <w:color w:val="auto"/>
                <w:kern w:val="0"/>
                <w:sz w:val="24"/>
                <w:szCs w:val="24"/>
                <w:highlight w:val="none"/>
                <w:vertAlign w:val="baseline"/>
                <w:lang w:val="en-US" w:eastAsia="zh-CN" w:bidi="ar-SA"/>
              </w:rPr>
              <w:t>清丰县集中式饮用水源保护区划分如下：</w:t>
            </w:r>
          </w:p>
          <w:p w14:paraId="57A2850E">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cs="Times New Roman"/>
                <w:b w:val="0"/>
                <w:bCs w:val="0"/>
                <w:color w:val="auto"/>
                <w:kern w:val="0"/>
                <w:sz w:val="24"/>
                <w:szCs w:val="24"/>
                <w:highlight w:val="none"/>
                <w:vertAlign w:val="baseline"/>
                <w:lang w:val="en-US" w:eastAsia="zh-CN" w:bidi="ar-SA"/>
              </w:rPr>
            </w:pPr>
            <w:r>
              <w:rPr>
                <w:rFonts w:hint="default" w:cs="Times New Roman"/>
                <w:b w:val="0"/>
                <w:bCs w:val="0"/>
                <w:color w:val="auto"/>
                <w:kern w:val="0"/>
                <w:sz w:val="24"/>
                <w:szCs w:val="24"/>
                <w:highlight w:val="none"/>
                <w:vertAlign w:val="baseline"/>
                <w:lang w:val="en-US" w:eastAsia="zh-CN" w:bidi="ar-SA"/>
              </w:rPr>
              <w:t>清丰县八里庄地下水井群</w:t>
            </w:r>
            <w:r>
              <w:rPr>
                <w:rFonts w:hint="eastAsia" w:cs="Times New Roman"/>
                <w:b w:val="0"/>
                <w:bCs w:val="0"/>
                <w:color w:val="auto"/>
                <w:kern w:val="0"/>
                <w:sz w:val="24"/>
                <w:szCs w:val="24"/>
                <w:highlight w:val="none"/>
                <w:vertAlign w:val="baseline"/>
                <w:lang w:val="en-US" w:eastAsia="zh-CN" w:bidi="ar-SA"/>
              </w:rPr>
              <w:t>（</w:t>
            </w:r>
            <w:r>
              <w:rPr>
                <w:rFonts w:hint="default" w:cs="Times New Roman"/>
                <w:b w:val="0"/>
                <w:bCs w:val="0"/>
                <w:color w:val="auto"/>
                <w:kern w:val="0"/>
                <w:sz w:val="24"/>
                <w:szCs w:val="24"/>
                <w:highlight w:val="none"/>
                <w:vertAlign w:val="baseline"/>
                <w:lang w:val="en-US" w:eastAsia="zh-CN" w:bidi="ar-SA"/>
              </w:rPr>
              <w:t>共24眼井</w:t>
            </w:r>
            <w:r>
              <w:rPr>
                <w:rFonts w:hint="eastAsia" w:cs="Times New Roman"/>
                <w:b w:val="0"/>
                <w:bCs w:val="0"/>
                <w:color w:val="auto"/>
                <w:kern w:val="0"/>
                <w:sz w:val="24"/>
                <w:szCs w:val="24"/>
                <w:highlight w:val="none"/>
                <w:vertAlign w:val="baseline"/>
                <w:lang w:val="en-US" w:eastAsia="zh-CN" w:bidi="ar-SA"/>
              </w:rPr>
              <w:t>）</w:t>
            </w:r>
            <w:r>
              <w:rPr>
                <w:rFonts w:hint="default" w:cs="Times New Roman"/>
                <w:b w:val="0"/>
                <w:bCs w:val="0"/>
                <w:color w:val="auto"/>
                <w:kern w:val="0"/>
                <w:sz w:val="24"/>
                <w:szCs w:val="24"/>
                <w:highlight w:val="none"/>
                <w:vertAlign w:val="baseline"/>
                <w:lang w:val="en-US" w:eastAsia="zh-CN" w:bidi="ar-SA"/>
              </w:rPr>
              <w:t>。</w:t>
            </w:r>
          </w:p>
          <w:p w14:paraId="06256A30">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cs="Times New Roman"/>
                <w:b w:val="0"/>
                <w:bCs w:val="0"/>
                <w:color w:val="auto"/>
                <w:kern w:val="0"/>
                <w:sz w:val="24"/>
                <w:szCs w:val="24"/>
                <w:highlight w:val="none"/>
                <w:vertAlign w:val="baseline"/>
                <w:lang w:val="en-US" w:eastAsia="zh-CN" w:bidi="ar-SA"/>
              </w:rPr>
            </w:pPr>
            <w:r>
              <w:rPr>
                <w:rFonts w:hint="default" w:cs="Times New Roman"/>
                <w:b w:val="0"/>
                <w:bCs w:val="0"/>
                <w:color w:val="auto"/>
                <w:kern w:val="0"/>
                <w:sz w:val="24"/>
                <w:szCs w:val="24"/>
                <w:highlight w:val="none"/>
                <w:vertAlign w:val="baseline"/>
                <w:lang w:val="en-US" w:eastAsia="zh-CN" w:bidi="ar-SA"/>
              </w:rPr>
              <w:t>一级保护区范围</w:t>
            </w:r>
            <w:r>
              <w:rPr>
                <w:rFonts w:hint="eastAsia" w:cs="Times New Roman"/>
                <w:b w:val="0"/>
                <w:bCs w:val="0"/>
                <w:color w:val="auto"/>
                <w:kern w:val="0"/>
                <w:sz w:val="24"/>
                <w:szCs w:val="24"/>
                <w:highlight w:val="none"/>
                <w:vertAlign w:val="baseline"/>
                <w:lang w:val="en-US" w:eastAsia="zh-CN" w:bidi="ar-SA"/>
              </w:rPr>
              <w:t>：</w:t>
            </w:r>
            <w:r>
              <w:rPr>
                <w:rFonts w:hint="default" w:cs="Times New Roman"/>
                <w:b w:val="0"/>
                <w:bCs w:val="0"/>
                <w:color w:val="auto"/>
                <w:kern w:val="0"/>
                <w:sz w:val="24"/>
                <w:szCs w:val="24"/>
                <w:highlight w:val="none"/>
                <w:vertAlign w:val="baseline"/>
                <w:lang w:val="en-US" w:eastAsia="zh-CN" w:bidi="ar-SA"/>
              </w:rPr>
              <w:t>1～2号、3～4号、5～6号、7～8号、9～10号各组井群外包线内及外围30米、北至潴泷河所包含的区域;11～12号、13～14号、15～16号、17～18号、19～20号、21～22号、23～24号各组井群外包线内及外围30米的区域。</w:t>
            </w:r>
          </w:p>
          <w:p w14:paraId="50312628">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cs="Times New Roman"/>
                <w:b w:val="0"/>
                <w:bCs w:val="0"/>
                <w:color w:val="auto"/>
                <w:kern w:val="0"/>
                <w:sz w:val="24"/>
                <w:szCs w:val="24"/>
                <w:highlight w:val="none"/>
                <w:vertAlign w:val="baseline"/>
                <w:lang w:val="en-US" w:eastAsia="zh-CN" w:bidi="ar-SA"/>
              </w:rPr>
            </w:pPr>
            <w:r>
              <w:rPr>
                <w:rFonts w:hint="default" w:cs="Times New Roman"/>
                <w:b w:val="0"/>
                <w:bCs w:val="0"/>
                <w:color w:val="auto"/>
                <w:kern w:val="0"/>
                <w:sz w:val="24"/>
                <w:szCs w:val="24"/>
                <w:highlight w:val="none"/>
                <w:vertAlign w:val="baseline"/>
                <w:lang w:val="en-US" w:eastAsia="zh-CN" w:bidi="ar-SA"/>
              </w:rPr>
              <w:t>准保护区范围</w:t>
            </w:r>
            <w:r>
              <w:rPr>
                <w:rFonts w:hint="eastAsia" w:cs="Times New Roman"/>
                <w:b w:val="0"/>
                <w:bCs w:val="0"/>
                <w:color w:val="auto"/>
                <w:kern w:val="0"/>
                <w:sz w:val="24"/>
                <w:szCs w:val="24"/>
                <w:highlight w:val="none"/>
                <w:vertAlign w:val="baseline"/>
                <w:lang w:val="en-US" w:eastAsia="zh-CN" w:bidi="ar-SA"/>
              </w:rPr>
              <w:t>：</w:t>
            </w:r>
            <w:r>
              <w:rPr>
                <w:rFonts w:hint="default" w:cs="Times New Roman"/>
                <w:b w:val="0"/>
                <w:bCs w:val="0"/>
                <w:color w:val="auto"/>
                <w:kern w:val="0"/>
                <w:sz w:val="24"/>
                <w:szCs w:val="24"/>
                <w:highlight w:val="none"/>
                <w:vertAlign w:val="baseline"/>
                <w:lang w:val="en-US" w:eastAsia="zh-CN" w:bidi="ar-SA"/>
              </w:rPr>
              <w:t>潴泷河017县道公路桥上游1560米至下游4166米河道内水域。</w:t>
            </w:r>
          </w:p>
          <w:p w14:paraId="1299D784">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kern w:val="0"/>
                <w:sz w:val="24"/>
                <w:szCs w:val="24"/>
                <w:highlight w:val="none"/>
                <w:vertAlign w:val="baseline"/>
                <w:lang w:val="en-US" w:eastAsia="zh-CN" w:bidi="ar-SA"/>
              </w:rPr>
            </w:pPr>
            <w:r>
              <w:rPr>
                <w:rFonts w:hint="default" w:cs="Times New Roman"/>
                <w:b w:val="0"/>
                <w:bCs w:val="0"/>
                <w:color w:val="auto"/>
                <w:kern w:val="0"/>
                <w:sz w:val="24"/>
                <w:szCs w:val="24"/>
                <w:highlight w:val="none"/>
                <w:vertAlign w:val="baseline"/>
                <w:lang w:val="en-US" w:eastAsia="zh-CN" w:bidi="ar-SA"/>
              </w:rPr>
              <w:t>本项目位于清丰县先进制造开发区，清丰县八里庄地下水井群位于本项目东北侧约</w:t>
            </w:r>
            <w:r>
              <w:rPr>
                <w:rFonts w:hint="eastAsia" w:cs="Times New Roman"/>
                <w:b w:val="0"/>
                <w:bCs w:val="0"/>
                <w:color w:val="auto"/>
                <w:kern w:val="0"/>
                <w:sz w:val="24"/>
                <w:szCs w:val="24"/>
                <w:highlight w:val="none"/>
                <w:vertAlign w:val="baseline"/>
                <w:lang w:val="en-US" w:eastAsia="zh-CN" w:bidi="ar-SA"/>
              </w:rPr>
              <w:t>4.65</w:t>
            </w:r>
            <w:r>
              <w:rPr>
                <w:rFonts w:hint="default" w:cs="Times New Roman"/>
                <w:b w:val="0"/>
                <w:bCs w:val="0"/>
                <w:color w:val="auto"/>
                <w:kern w:val="0"/>
                <w:sz w:val="24"/>
                <w:szCs w:val="24"/>
                <w:highlight w:val="none"/>
                <w:vertAlign w:val="baseline"/>
                <w:lang w:val="en-US" w:eastAsia="zh-CN" w:bidi="ar-SA"/>
              </w:rPr>
              <w:t>km，不在其保护区范围内。符合河南省县级集中式饮用水水源保护区划要求。</w:t>
            </w:r>
          </w:p>
          <w:p w14:paraId="59446435">
            <w:pPr>
              <w:spacing w:line="520" w:lineRule="exact"/>
              <w:rPr>
                <w:rFonts w:hint="default" w:ascii="Times New Roman" w:hAnsi="Times New Roman" w:eastAsia="宋体" w:cs="Times New Roman"/>
                <w:b/>
                <w:bCs w:val="0"/>
                <w:color w:val="auto"/>
                <w:sz w:val="24"/>
                <w:highlight w:val="none"/>
                <w:u w:val="none"/>
                <w:lang w:val="en-US" w:eastAsia="zh-CN"/>
              </w:rPr>
            </w:pPr>
            <w:r>
              <w:rPr>
                <w:rFonts w:hint="eastAsia" w:cs="Times New Roman"/>
                <w:b/>
                <w:bCs w:val="0"/>
                <w:color w:val="auto"/>
                <w:sz w:val="24"/>
                <w:highlight w:val="none"/>
                <w:u w:val="none"/>
                <w:lang w:val="en-US" w:eastAsia="zh-CN"/>
              </w:rPr>
              <w:t>6.3 与清丰县“千吨万人”集中式饮用水水源保护区相符性</w:t>
            </w:r>
          </w:p>
          <w:p w14:paraId="17EA933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atLeast"/>
              <w:ind w:left="0" w:leftChars="0" w:right="0" w:rightChars="0" w:firstLine="480" w:firstLineChars="200"/>
              <w:jc w:val="both"/>
              <w:textAlignment w:val="auto"/>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依据</w:t>
            </w:r>
            <w:r>
              <w:rPr>
                <w:rFonts w:hint="eastAsia"/>
                <w:color w:val="auto"/>
                <w:sz w:val="24"/>
              </w:rPr>
              <w:t>《清丰县人民政府办公室关于划分部分集中式饮用水水源保护区的通知》（清政办〔2019〕24号）</w:t>
            </w:r>
            <w:r>
              <w:rPr>
                <w:rFonts w:hint="eastAsia" w:cs="Times New Roman"/>
                <w:b w:val="0"/>
                <w:bCs w:val="0"/>
                <w:color w:val="auto"/>
                <w:kern w:val="0"/>
                <w:sz w:val="24"/>
                <w:szCs w:val="24"/>
                <w:highlight w:val="none"/>
                <w:vertAlign w:val="baseline"/>
                <w:lang w:val="en-US" w:eastAsia="zh-CN" w:bidi="ar-SA"/>
              </w:rPr>
              <w:t>，对全县7个乡镇建成区8个饮用水水源地设置一级保护区确定饮用水水源地界限为：</w:t>
            </w:r>
          </w:p>
          <w:p w14:paraId="57CFF7E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atLeast"/>
              <w:ind w:left="0" w:leftChars="0" w:right="0" w:rightChars="0" w:firstLine="480" w:firstLineChars="200"/>
              <w:jc w:val="both"/>
              <w:textAlignment w:val="auto"/>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一级保护区：</w:t>
            </w:r>
          </w:p>
          <w:p w14:paraId="3DB9F6C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atLeast"/>
              <w:ind w:left="0" w:leftChars="0" w:right="0" w:rightChars="0" w:firstLine="480" w:firstLineChars="200"/>
              <w:jc w:val="both"/>
              <w:textAlignment w:val="auto"/>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高堡乡王庄供水厂饮用水源地以外圈井的外接多边形为边界，向外径向30m更高的区域为一级保护区。</w:t>
            </w:r>
          </w:p>
          <w:p w14:paraId="76AB5A4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atLeast"/>
              <w:ind w:left="0" w:leftChars="0" w:right="0" w:rightChars="0" w:firstLine="480" w:firstLineChars="200"/>
              <w:jc w:val="both"/>
              <w:textAlignment w:val="auto"/>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高堡乡第三供水厂饮用水源地：1#水井以开采井为中心，半径30m区域为二级保护区；2#水井以开采井为中心，半径30m区城为一级保护区；3#水井以开采井为中心，半径30m区域为一级保护区。</w:t>
            </w:r>
          </w:p>
          <w:p w14:paraId="1BE891C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atLeast"/>
              <w:ind w:left="0" w:leftChars="0" w:right="0" w:rightChars="0" w:firstLine="480" w:firstLineChars="200"/>
              <w:jc w:val="both"/>
              <w:textAlignment w:val="auto"/>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纸房乡谢朱娄供水厂饮用水源地：以外围井的外接多边形为边界，向外径向30m距离的区域为一级保护区。</w:t>
            </w:r>
          </w:p>
          <w:p w14:paraId="7A965D3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atLeast"/>
              <w:ind w:left="0" w:leftChars="0" w:right="0" w:rightChars="0" w:firstLine="480" w:firstLineChars="200"/>
              <w:jc w:val="both"/>
              <w:textAlignment w:val="auto"/>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瓦屋头镇第二供水厂饮用水源地：1#水井以开采井为中心，半径30m区域为一级保护区；2#水井以开采井为中心，半径30m区城为一级保护区，其中西侧以道路为界，3#水井以开采井为中心，半径30m区城为一级保护区，4#水井以开采井为中心，半径30m区城为一级保护区，其中南侧以瓦屋头乡第二中学北侧外墙为界。</w:t>
            </w:r>
          </w:p>
          <w:p w14:paraId="3230A4C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atLeast"/>
              <w:ind w:left="0" w:leftChars="0" w:right="0" w:rightChars="0" w:firstLine="480" w:firstLineChars="200"/>
              <w:jc w:val="both"/>
              <w:textAlignment w:val="auto"/>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马庄桥镇供水厂饮用水源地：以外围井的外接多边形为边界，向外径向30m距高的区域为一级保护区，</w:t>
            </w:r>
          </w:p>
          <w:p w14:paraId="7BA3BC8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atLeast"/>
              <w:ind w:left="0" w:leftChars="0" w:right="0" w:rightChars="0" w:firstLine="480" w:firstLineChars="200"/>
              <w:jc w:val="both"/>
              <w:textAlignment w:val="auto"/>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大流乡供水厂饮用水源地：1#井以单个开采井为中心，半径30m区城为一级保护区；2#与3#井以外围井的外接多边形为边界，向外径向30m距离的区域为一级保护区。</w:t>
            </w:r>
          </w:p>
          <w:p w14:paraId="45DE90F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atLeast"/>
              <w:ind w:left="0" w:leftChars="0" w:right="0" w:rightChars="0" w:firstLine="480" w:firstLineChars="200"/>
              <w:jc w:val="both"/>
              <w:textAlignment w:val="auto"/>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双庙乡供水厂饮用水源地：1#并以单个开采井为中心，半径30m区城为二级保护区；2#井以单个开采井为中心，半径30m区域为一级保护区。</w:t>
            </w:r>
          </w:p>
          <w:p w14:paraId="1545AF9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atLeast"/>
              <w:ind w:left="0" w:leftChars="0" w:right="0" w:rightChars="0" w:firstLine="480" w:firstLineChars="200"/>
              <w:jc w:val="both"/>
              <w:textAlignment w:val="auto"/>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柳格镇供水厂饮用水源地：1#井以单个开采井为中心，半径30m区域为一级保护区。</w:t>
            </w:r>
          </w:p>
          <w:p w14:paraId="5B9550B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atLeast"/>
              <w:ind w:left="0" w:leftChars="0" w:right="0" w:rightChars="0" w:firstLine="480" w:firstLineChars="200"/>
              <w:jc w:val="both"/>
              <w:textAlignment w:val="auto"/>
              <w:rPr>
                <w:rFonts w:hint="eastAsia" w:cs="Times New Roman"/>
                <w:b w:val="0"/>
                <w:bCs w:val="0"/>
                <w:color w:val="auto"/>
                <w:kern w:val="0"/>
                <w:sz w:val="24"/>
                <w:szCs w:val="24"/>
                <w:highlight w:val="none"/>
                <w:vertAlign w:val="baseline"/>
                <w:lang w:val="en-US" w:eastAsia="zh-CN" w:bidi="ar-SA"/>
              </w:rPr>
            </w:pPr>
            <w:r>
              <w:rPr>
                <w:rFonts w:hint="eastAsia" w:cs="Times New Roman"/>
                <w:b w:val="0"/>
                <w:bCs w:val="0"/>
                <w:color w:val="auto"/>
                <w:kern w:val="0"/>
                <w:sz w:val="24"/>
                <w:szCs w:val="24"/>
                <w:highlight w:val="none"/>
                <w:vertAlign w:val="baseline"/>
                <w:lang w:val="en-US" w:eastAsia="zh-CN" w:bidi="ar-SA"/>
              </w:rPr>
              <w:t>距离本项目厂址最近的乡镇饮用水源地保护区为柳格镇供水厂饮用水源地，位于本项目厂址东北侧约1.833km，项目不在饮用水源保护区范围内，符合清丰县乡镇级“千吨万人”饮用水水源地保护规划。</w:t>
            </w:r>
          </w:p>
          <w:p w14:paraId="60C37E29">
            <w:pPr>
              <w:keepNext w:val="0"/>
              <w:keepLines w:val="0"/>
              <w:pageBreakBefore w:val="0"/>
              <w:widowControl w:val="0"/>
              <w:kinsoku/>
              <w:wordWrap/>
              <w:overflowPunct/>
              <w:topLinePunct w:val="0"/>
              <w:autoSpaceDE w:val="0"/>
              <w:autoSpaceDN w:val="0"/>
              <w:bidi w:val="0"/>
              <w:adjustRightInd w:val="0"/>
              <w:snapToGrid w:val="0"/>
              <w:spacing w:line="520" w:lineRule="atLeast"/>
              <w:ind w:left="0" w:leftChars="0" w:right="0" w:rightChars="0" w:firstLine="480" w:firstLineChars="200"/>
              <w:jc w:val="both"/>
              <w:textAlignment w:val="auto"/>
              <w:rPr>
                <w:rFonts w:hint="eastAsia" w:cs="Times New Roman"/>
                <w:b w:val="0"/>
                <w:bCs w:val="0"/>
                <w:color w:val="auto"/>
                <w:kern w:val="0"/>
                <w:sz w:val="24"/>
                <w:szCs w:val="24"/>
                <w:highlight w:val="none"/>
                <w:vertAlign w:val="baseline"/>
                <w:lang w:val="en-US" w:eastAsia="zh-CN" w:bidi="ar-SA"/>
              </w:rPr>
            </w:pPr>
          </w:p>
          <w:p w14:paraId="5E675C3A">
            <w:pPr>
              <w:keepNext w:val="0"/>
              <w:keepLines w:val="0"/>
              <w:pageBreakBefore w:val="0"/>
              <w:widowControl w:val="0"/>
              <w:kinsoku/>
              <w:wordWrap/>
              <w:overflowPunct/>
              <w:topLinePunct w:val="0"/>
              <w:autoSpaceDE w:val="0"/>
              <w:autoSpaceDN w:val="0"/>
              <w:bidi w:val="0"/>
              <w:adjustRightInd w:val="0"/>
              <w:snapToGrid w:val="0"/>
              <w:spacing w:line="520" w:lineRule="atLeast"/>
              <w:ind w:right="0" w:rightChars="0"/>
              <w:jc w:val="both"/>
              <w:textAlignment w:val="auto"/>
              <w:rPr>
                <w:rFonts w:hint="default" w:ascii="Times New Roman" w:hAnsi="Times New Roman" w:eastAsia="宋体" w:cs="Times New Roman"/>
                <w:b w:val="0"/>
                <w:bCs w:val="0"/>
                <w:color w:val="auto"/>
                <w:kern w:val="0"/>
                <w:sz w:val="24"/>
                <w:szCs w:val="24"/>
                <w:highlight w:val="none"/>
                <w:vertAlign w:val="baseline"/>
                <w:lang w:val="en-US" w:eastAsia="zh-CN" w:bidi="ar-SA"/>
              </w:rPr>
            </w:pPr>
          </w:p>
        </w:tc>
      </w:tr>
    </w:tbl>
    <w:p w14:paraId="0AD8636E">
      <w:pPr>
        <w:spacing w:line="360" w:lineRule="auto"/>
        <w:outlineLvl w:val="9"/>
        <w:rPr>
          <w:rFonts w:hint="default" w:ascii="Times New Roman" w:hAnsi="Times New Roman" w:eastAsia="宋体" w:cs="Times New Roman"/>
          <w:color w:val="auto"/>
          <w:sz w:val="30"/>
          <w:highlight w:val="none"/>
        </w:rPr>
        <w:sectPr>
          <w:footerReference r:id="rId5" w:type="default"/>
          <w:pgSz w:w="11906" w:h="16838"/>
          <w:pgMar w:top="1440" w:right="1800" w:bottom="1440" w:left="1800" w:header="851" w:footer="1077" w:gutter="0"/>
          <w:pgNumType w:fmt="decimal" w:start="1"/>
          <w:cols w:space="720" w:num="1"/>
          <w:docGrid w:linePitch="312" w:charSpace="0"/>
        </w:sectPr>
      </w:pPr>
    </w:p>
    <w:p w14:paraId="434C1B2B">
      <w:pPr>
        <w:pStyle w:val="25"/>
        <w:keepNext w:val="0"/>
        <w:keepLines w:val="0"/>
        <w:pageBreakBefore w:val="0"/>
        <w:widowControl/>
        <w:kinsoku/>
        <w:wordWrap/>
        <w:overflowPunct/>
        <w:topLinePunct w:val="0"/>
        <w:autoSpaceDE/>
        <w:autoSpaceDN/>
        <w:bidi w:val="0"/>
        <w:adjustRightInd/>
        <w:snapToGrid/>
        <w:spacing w:before="0" w:beforeAutospacing="0" w:after="157" w:afterLines="50" w:afterAutospacing="0"/>
        <w:jc w:val="center"/>
        <w:textAlignment w:val="auto"/>
        <w:outlineLvl w:val="0"/>
        <w:rPr>
          <w:rFonts w:hint="default" w:ascii="Times New Roman" w:hAnsi="Times New Roman" w:eastAsia="宋体" w:cs="Times New Roman"/>
          <w:snapToGrid w:val="0"/>
          <w:color w:val="auto"/>
          <w:sz w:val="30"/>
          <w:szCs w:val="30"/>
          <w:highlight w:val="none"/>
          <w:vertAlign w:val="baseline"/>
        </w:rPr>
      </w:pPr>
      <w:bookmarkStart w:id="11" w:name="_Toc1151"/>
      <w:bookmarkStart w:id="12" w:name="_Toc14126"/>
      <w:bookmarkStart w:id="13" w:name="_Toc4362"/>
      <w:r>
        <w:rPr>
          <w:rFonts w:hint="default" w:ascii="Times New Roman" w:hAnsi="Times New Roman" w:eastAsia="宋体" w:cs="Times New Roman"/>
          <w:snapToGrid w:val="0"/>
          <w:color w:val="auto"/>
          <w:sz w:val="30"/>
          <w:szCs w:val="30"/>
          <w:highlight w:val="none"/>
        </w:rPr>
        <w:t>二、建设项目工程分析</w:t>
      </w:r>
      <w:bookmarkEnd w:id="11"/>
      <w:bookmarkEnd w:id="12"/>
      <w:bookmarkEnd w:id="13"/>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910"/>
      </w:tblGrid>
      <w:tr w14:paraId="65BB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59" w:type="pct"/>
            <w:vAlign w:val="center"/>
          </w:tcPr>
          <w:p w14:paraId="2B3AEF39">
            <w:pPr>
              <w:pStyle w:val="25"/>
              <w:keepNext w:val="0"/>
              <w:keepLines w:val="0"/>
              <w:pageBreakBefore w:val="0"/>
              <w:widowControl/>
              <w:kinsoku/>
              <w:wordWrap/>
              <w:overflowPunct/>
              <w:topLinePunct w:val="0"/>
              <w:autoSpaceDE/>
              <w:autoSpaceDN/>
              <w:bidi w:val="0"/>
              <w:adjustRightInd/>
              <w:snapToGrid/>
              <w:spacing w:before="0" w:beforeAutospacing="0" w:after="157" w:afterLines="50" w:afterAutospacing="0"/>
              <w:jc w:val="center"/>
              <w:textAlignment w:val="auto"/>
              <w:outlineLvl w:val="0"/>
              <w:rPr>
                <w:rFonts w:hint="default" w:ascii="Times New Roman" w:hAnsi="Times New Roman" w:eastAsia="宋体" w:cs="Times New Roman"/>
                <w:snapToGrid w:val="0"/>
                <w:color w:val="auto"/>
                <w:sz w:val="30"/>
                <w:szCs w:val="30"/>
                <w:highlight w:val="none"/>
                <w:vertAlign w:val="baseline"/>
              </w:rPr>
            </w:pPr>
            <w:bookmarkStart w:id="14" w:name="_Toc18648"/>
            <w:r>
              <w:rPr>
                <w:rFonts w:hint="default" w:ascii="Times New Roman" w:hAnsi="Times New Roman" w:eastAsia="宋体" w:cs="Times New Roman"/>
                <w:b w:val="0"/>
                <w:bCs w:val="0"/>
                <w:color w:val="auto"/>
                <w:sz w:val="24"/>
                <w:szCs w:val="24"/>
                <w:highlight w:val="none"/>
              </w:rPr>
              <w:t>建设内容</w:t>
            </w:r>
            <w:bookmarkEnd w:id="14"/>
          </w:p>
        </w:tc>
        <w:tc>
          <w:tcPr>
            <w:tcW w:w="4640" w:type="pct"/>
          </w:tcPr>
          <w:p w14:paraId="106AF691">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1、项目由来</w:t>
            </w:r>
          </w:p>
          <w:p w14:paraId="08443498">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eastAsia" w:cs="Times New Roman"/>
                <w:color w:val="auto"/>
                <w:sz w:val="24"/>
                <w:szCs w:val="24"/>
                <w:highlight w:val="none"/>
                <w:lang w:eastAsia="zh-CN"/>
              </w:rPr>
              <w:t>濮阳市中原锐实达石油设备有限公司</w:t>
            </w:r>
            <w:r>
              <w:rPr>
                <w:rFonts w:hint="eastAsia" w:cs="Times New Roman"/>
                <w:b w:val="0"/>
                <w:bCs/>
                <w:color w:val="auto"/>
                <w:sz w:val="24"/>
                <w:szCs w:val="24"/>
                <w:highlight w:val="none"/>
                <w:lang w:val="en-US" w:eastAsia="zh-CN"/>
              </w:rPr>
              <w:t>成立于2001年，原位于清丰县马庄桥镇南永固村南450m，购置设备从事石油固控设备生产，年生产石油固控设备500套。</w:t>
            </w:r>
            <w:r>
              <w:rPr>
                <w:rFonts w:hint="eastAsia" w:cs="Times New Roman"/>
                <w:b w:val="0"/>
                <w:bCs/>
                <w:color w:val="auto"/>
                <w:sz w:val="24"/>
                <w:szCs w:val="24"/>
                <w:highlight w:val="none"/>
                <w:u w:val="single"/>
                <w:lang w:val="en-US" w:eastAsia="zh-CN"/>
              </w:rPr>
              <w:t>现企业迁至</w:t>
            </w:r>
            <w:r>
              <w:rPr>
                <w:rFonts w:hint="default" w:ascii="Times New Roman" w:hAnsi="Times New Roman" w:eastAsia="宋体" w:cs="Times New Roman"/>
                <w:color w:val="auto"/>
                <w:sz w:val="24"/>
                <w:szCs w:val="24"/>
                <w:highlight w:val="none"/>
                <w:u w:val="single"/>
                <w:lang w:eastAsia="zh-CN"/>
              </w:rPr>
              <w:t>濮阳市清丰县先进制造业开发区规划一路东段</w:t>
            </w:r>
            <w:r>
              <w:rPr>
                <w:rFonts w:hint="eastAsia" w:cs="Times New Roman"/>
                <w:color w:val="auto"/>
                <w:sz w:val="24"/>
                <w:szCs w:val="24"/>
                <w:highlight w:val="none"/>
                <w:u w:val="single"/>
                <w:lang w:val="en-US" w:eastAsia="zh-CN"/>
              </w:rPr>
              <w:t>机加工园区内</w:t>
            </w:r>
            <w:r>
              <w:rPr>
                <w:rFonts w:hint="eastAsia" w:cs="Times New Roman"/>
                <w:b w:val="0"/>
                <w:bCs/>
                <w:color w:val="auto"/>
                <w:sz w:val="24"/>
                <w:szCs w:val="24"/>
                <w:highlight w:val="none"/>
                <w:u w:val="single"/>
                <w:lang w:val="en-US" w:eastAsia="zh-CN"/>
              </w:rPr>
              <w:t>，拟投资14000万元，建设</w:t>
            </w:r>
            <w:r>
              <w:rPr>
                <w:rFonts w:hint="eastAsia" w:cs="Times New Roman"/>
                <w:color w:val="auto"/>
                <w:sz w:val="24"/>
                <w:szCs w:val="24"/>
                <w:highlight w:val="none"/>
                <w:u w:val="single"/>
                <w:lang w:eastAsia="zh-CN"/>
              </w:rPr>
              <w:t>年产800套石油设备项目，</w:t>
            </w:r>
            <w:r>
              <w:rPr>
                <w:rFonts w:hint="eastAsia" w:cs="Times New Roman"/>
                <w:color w:val="auto"/>
                <w:sz w:val="24"/>
                <w:szCs w:val="24"/>
                <w:highlight w:val="none"/>
                <w:u w:val="single"/>
                <w:lang w:val="en-US" w:eastAsia="zh-CN"/>
              </w:rPr>
              <w:t>本次迁建后，项目产能又原先年产</w:t>
            </w:r>
            <w:r>
              <w:rPr>
                <w:rFonts w:hint="eastAsia" w:cs="Times New Roman"/>
                <w:b w:val="0"/>
                <w:bCs/>
                <w:color w:val="auto"/>
                <w:sz w:val="24"/>
                <w:szCs w:val="24"/>
                <w:highlight w:val="none"/>
                <w:u w:val="single"/>
                <w:lang w:val="en-US" w:eastAsia="zh-CN"/>
              </w:rPr>
              <w:t>500套石油固控设备扩大至年产800套石油固控设备</w:t>
            </w:r>
            <w:r>
              <w:rPr>
                <w:rFonts w:hint="eastAsia" w:cs="Times New Roman"/>
                <w:color w:val="auto"/>
                <w:sz w:val="24"/>
                <w:szCs w:val="24"/>
                <w:highlight w:val="none"/>
                <w:u w:val="single"/>
                <w:lang w:eastAsia="zh-CN"/>
              </w:rPr>
              <w:t>，</w:t>
            </w:r>
            <w:r>
              <w:rPr>
                <w:rFonts w:hint="eastAsia" w:cs="Times New Roman"/>
                <w:color w:val="auto"/>
                <w:sz w:val="24"/>
                <w:szCs w:val="24"/>
                <w:highlight w:val="none"/>
                <w:u w:val="single"/>
                <w:lang w:val="en-US" w:eastAsia="zh-CN"/>
              </w:rPr>
              <w:t>并将</w:t>
            </w:r>
            <w:r>
              <w:rPr>
                <w:rFonts w:hint="eastAsia" w:cs="Times New Roman"/>
                <w:color w:val="auto"/>
                <w:sz w:val="24"/>
                <w:szCs w:val="24"/>
                <w:highlight w:val="none"/>
                <w:u w:val="single"/>
                <w:lang w:eastAsia="zh-CN"/>
              </w:rPr>
              <w:t>防锈</w:t>
            </w:r>
            <w:r>
              <w:rPr>
                <w:rFonts w:hint="eastAsia" w:cs="Times New Roman"/>
                <w:color w:val="auto"/>
                <w:sz w:val="24"/>
                <w:szCs w:val="24"/>
                <w:highlight w:val="none"/>
                <w:u w:val="single"/>
                <w:lang w:val="en-US" w:eastAsia="zh-CN"/>
              </w:rPr>
              <w:t>等外协工序</w:t>
            </w:r>
            <w:r>
              <w:rPr>
                <w:rFonts w:hint="eastAsia" w:cs="Times New Roman"/>
                <w:color w:val="auto"/>
                <w:sz w:val="24"/>
                <w:szCs w:val="24"/>
                <w:highlight w:val="none"/>
                <w:u w:val="single"/>
                <w:lang w:eastAsia="zh-CN"/>
              </w:rPr>
              <w:t>转移到公司内生产</w:t>
            </w:r>
            <w:r>
              <w:rPr>
                <w:rFonts w:hint="eastAsia" w:cs="Times New Roman"/>
                <w:b w:val="0"/>
                <w:bCs/>
                <w:color w:val="auto"/>
                <w:sz w:val="24"/>
                <w:szCs w:val="24"/>
                <w:highlight w:val="none"/>
                <w:u w:val="single"/>
                <w:lang w:val="en-US" w:eastAsia="zh-CN"/>
              </w:rPr>
              <w:t>。</w:t>
            </w:r>
            <w:r>
              <w:rPr>
                <w:rFonts w:hint="eastAsia" w:cs="Times New Roman"/>
                <w:b w:val="0"/>
                <w:bCs/>
                <w:color w:val="auto"/>
                <w:sz w:val="24"/>
                <w:szCs w:val="24"/>
                <w:highlight w:val="none"/>
                <w:lang w:val="en-US" w:eastAsia="zh-CN"/>
              </w:rPr>
              <w:t>项目占地面积为30612.12m</w:t>
            </w:r>
            <w:r>
              <w:rPr>
                <w:rFonts w:hint="eastAsia" w:cs="Times New Roman"/>
                <w:b w:val="0"/>
                <w:bCs/>
                <w:color w:val="auto"/>
                <w:sz w:val="24"/>
                <w:szCs w:val="24"/>
                <w:highlight w:val="none"/>
                <w:vertAlign w:val="superscript"/>
                <w:lang w:val="en-US" w:eastAsia="zh-CN"/>
              </w:rPr>
              <w:t>2</w:t>
            </w:r>
            <w:r>
              <w:rPr>
                <w:rFonts w:hint="eastAsia" w:cs="Times New Roman"/>
                <w:b w:val="0"/>
                <w:bCs/>
                <w:color w:val="auto"/>
                <w:sz w:val="24"/>
                <w:szCs w:val="24"/>
                <w:highlight w:val="none"/>
                <w:vertAlign w:val="baseline"/>
                <w:lang w:val="en-US" w:eastAsia="zh-CN"/>
              </w:rPr>
              <w:t>。</w:t>
            </w:r>
          </w:p>
          <w:p w14:paraId="1D152EC1">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本项目为迁建性质，已在</w:t>
            </w:r>
            <w:r>
              <w:rPr>
                <w:rFonts w:hint="eastAsia" w:cs="Times New Roman"/>
                <w:b w:val="0"/>
                <w:bCs/>
                <w:color w:val="auto"/>
                <w:sz w:val="24"/>
                <w:szCs w:val="24"/>
                <w:highlight w:val="none"/>
                <w:lang w:val="en-US" w:eastAsia="zh-CN"/>
              </w:rPr>
              <w:t>清丰县先进制造业开发区</w:t>
            </w:r>
            <w:r>
              <w:rPr>
                <w:rFonts w:hint="default" w:ascii="Times New Roman" w:hAnsi="Times New Roman" w:eastAsia="宋体" w:cs="Times New Roman"/>
                <w:b w:val="0"/>
                <w:bCs/>
                <w:color w:val="auto"/>
                <w:sz w:val="24"/>
                <w:szCs w:val="24"/>
                <w:highlight w:val="none"/>
                <w:lang w:val="en-US" w:eastAsia="zh-CN"/>
              </w:rPr>
              <w:t>备案（项目代码：2502-410922-04-01-615497）。</w:t>
            </w:r>
            <w:r>
              <w:rPr>
                <w:rFonts w:hint="eastAsia" w:ascii="Times New Roman" w:hAnsi="Times New Roman" w:eastAsia="宋体" w:cs="Times New Roman"/>
                <w:b w:val="0"/>
                <w:bCs/>
                <w:color w:val="auto"/>
                <w:sz w:val="24"/>
                <w:szCs w:val="24"/>
                <w:highlight w:val="none"/>
                <w:lang w:val="en-US" w:eastAsia="zh-CN"/>
              </w:rPr>
              <w:t>经对照《产业结构调整指导目录</w:t>
            </w:r>
            <w:r>
              <w:rPr>
                <w:rFonts w:hint="eastAsia" w:cs="Times New Roman"/>
                <w:b w:val="0"/>
                <w:bCs/>
                <w:color w:val="auto"/>
                <w:sz w:val="24"/>
                <w:szCs w:val="24"/>
                <w:highlight w:val="none"/>
                <w:lang w:val="en-US" w:eastAsia="zh-CN"/>
              </w:rPr>
              <w:t>（2024</w:t>
            </w:r>
            <w:r>
              <w:rPr>
                <w:rFonts w:hint="eastAsia" w:ascii="Times New Roman" w:hAnsi="Times New Roman" w:eastAsia="宋体" w:cs="Times New Roman"/>
                <w:b w:val="0"/>
                <w:bCs/>
                <w:color w:val="auto"/>
                <w:sz w:val="24"/>
                <w:szCs w:val="24"/>
                <w:highlight w:val="none"/>
                <w:lang w:val="en-US" w:eastAsia="zh-CN"/>
              </w:rPr>
              <w:t>年本</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本项目不涉及</w:t>
            </w:r>
            <w:r>
              <w:rPr>
                <w:rFonts w:hint="eastAsia" w:ascii="Times New Roman" w:hAnsi="Times New Roman" w:eastAsia="宋体" w:cs="Times New Roman"/>
                <w:b w:val="0"/>
                <w:bCs/>
                <w:color w:val="auto"/>
                <w:sz w:val="24"/>
                <w:szCs w:val="24"/>
                <w:highlight w:val="none"/>
                <w:lang w:val="en-US" w:eastAsia="zh-CN"/>
              </w:rPr>
              <w:t>限制、淘汰类项目，属于允许类，符合国家产业政策。</w:t>
            </w:r>
          </w:p>
          <w:p w14:paraId="6EB34411">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根据《建设项目环境影响评价分类管理名录》（2021版）的规定，本项目属于</w:t>
            </w:r>
            <w:r>
              <w:rPr>
                <w:rFonts w:hint="eastAsia" w:cs="Times New Roman"/>
                <w:b w:val="0"/>
                <w:bCs/>
                <w:color w:val="auto"/>
                <w:sz w:val="24"/>
                <w:szCs w:val="24"/>
                <w:highlight w:val="none"/>
                <w:lang w:val="en-US" w:eastAsia="zh-CN"/>
              </w:rPr>
              <w:t>“三十二、专用设备制造业 35-采矿、冶金、建筑专用设备制造 351</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，需编制环境影响报告表。</w:t>
            </w:r>
          </w:p>
          <w:p w14:paraId="01A835EA">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both"/>
              <w:textAlignment w:val="auto"/>
              <w:rPr>
                <w:rFonts w:hint="default" w:ascii="Times New Roman" w:hAnsi="Times New Roman" w:eastAsia="宋体" w:cs="Times New Roman"/>
                <w:b/>
                <w:bCs w:val="0"/>
                <w:color w:val="auto"/>
                <w:sz w:val="24"/>
                <w:szCs w:val="24"/>
                <w:highlight w:val="none"/>
                <w:lang w:val="zh-CN" w:eastAsia="zh-CN"/>
              </w:rPr>
            </w:pPr>
            <w:r>
              <w:rPr>
                <w:rFonts w:hint="eastAsia"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bCs w:val="0"/>
                <w:color w:val="auto"/>
                <w:sz w:val="24"/>
                <w:szCs w:val="24"/>
                <w:highlight w:val="none"/>
                <w:lang w:val="zh-CN" w:eastAsia="zh-CN"/>
              </w:rPr>
              <w:t>建设地址</w:t>
            </w:r>
          </w:p>
          <w:p w14:paraId="3A38BDB2">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b w:val="0"/>
                <w:bCs/>
                <w:color w:val="auto"/>
                <w:sz w:val="24"/>
                <w:szCs w:val="24"/>
                <w:highlight w:val="none"/>
                <w:lang w:val="zh-CN" w:eastAsia="zh-CN"/>
              </w:rPr>
            </w:pPr>
            <w:r>
              <w:rPr>
                <w:rFonts w:hint="default" w:ascii="Times New Roman" w:hAnsi="Times New Roman" w:eastAsia="宋体" w:cs="Times New Roman"/>
                <w:b w:val="0"/>
                <w:bCs/>
                <w:color w:val="auto"/>
                <w:sz w:val="24"/>
                <w:szCs w:val="24"/>
                <w:highlight w:val="none"/>
                <w:lang w:val="zh-CN" w:eastAsia="zh-CN"/>
              </w:rPr>
              <w:t>为提升产品产量，</w:t>
            </w:r>
            <w:r>
              <w:rPr>
                <w:rFonts w:hint="eastAsia" w:cs="Times New Roman"/>
                <w:color w:val="auto"/>
                <w:sz w:val="24"/>
                <w:szCs w:val="24"/>
                <w:highlight w:val="none"/>
                <w:lang w:eastAsia="zh-CN"/>
              </w:rPr>
              <w:t>濮阳市中原锐实达石油设备有限公司</w:t>
            </w:r>
            <w:r>
              <w:rPr>
                <w:rFonts w:hint="default" w:ascii="Times New Roman" w:hAnsi="Times New Roman" w:eastAsia="宋体" w:cs="Times New Roman"/>
                <w:b w:val="0"/>
                <w:bCs/>
                <w:color w:val="auto"/>
                <w:sz w:val="24"/>
                <w:szCs w:val="24"/>
                <w:highlight w:val="none"/>
                <w:lang w:val="zh-CN" w:eastAsia="zh-CN"/>
              </w:rPr>
              <w:t>进行迁建，迁建后位于</w:t>
            </w:r>
            <w:r>
              <w:rPr>
                <w:rFonts w:hint="default" w:ascii="Times New Roman" w:hAnsi="Times New Roman" w:eastAsia="宋体" w:cs="Times New Roman"/>
                <w:color w:val="auto"/>
                <w:sz w:val="24"/>
                <w:szCs w:val="24"/>
                <w:highlight w:val="none"/>
                <w:lang w:eastAsia="zh-CN"/>
              </w:rPr>
              <w:t>濮阳市清丰县先进制造业开发区规划一路东段</w:t>
            </w:r>
            <w:r>
              <w:rPr>
                <w:rFonts w:hint="default" w:ascii="Times New Roman" w:hAnsi="Times New Roman" w:eastAsia="宋体" w:cs="Times New Roman"/>
                <w:b w:val="0"/>
                <w:bCs/>
                <w:color w:val="auto"/>
                <w:sz w:val="24"/>
                <w:szCs w:val="24"/>
                <w:highlight w:val="none"/>
                <w:lang w:val="en-US" w:eastAsia="zh-CN"/>
              </w:rPr>
              <w:t>（115度7分10.081秒，35度49分55.493秒）</w:t>
            </w:r>
            <w:r>
              <w:rPr>
                <w:rFonts w:hint="default" w:ascii="Times New Roman" w:hAnsi="Times New Roman" w:eastAsia="宋体" w:cs="Times New Roman"/>
                <w:b w:val="0"/>
                <w:bCs/>
                <w:color w:val="auto"/>
                <w:sz w:val="24"/>
                <w:szCs w:val="24"/>
                <w:highlight w:val="none"/>
                <w:lang w:val="zh-CN" w:eastAsia="zh-CN"/>
              </w:rPr>
              <w:t>，项目</w:t>
            </w:r>
            <w:r>
              <w:rPr>
                <w:rFonts w:hint="eastAsia" w:ascii="Times New Roman" w:hAnsi="Times New Roman" w:eastAsia="宋体" w:cs="Times New Roman"/>
                <w:b w:val="0"/>
                <w:bCs/>
                <w:color w:val="auto"/>
                <w:sz w:val="24"/>
                <w:szCs w:val="24"/>
                <w:highlight w:val="none"/>
                <w:lang w:val="en-US" w:eastAsia="zh-CN"/>
              </w:rPr>
              <w:t>西</w:t>
            </w:r>
            <w:r>
              <w:rPr>
                <w:rFonts w:hint="default" w:ascii="Times New Roman" w:hAnsi="Times New Roman" w:eastAsia="宋体" w:cs="Times New Roman"/>
                <w:b w:val="0"/>
                <w:bCs/>
                <w:color w:val="auto"/>
                <w:sz w:val="24"/>
                <w:szCs w:val="24"/>
                <w:highlight w:val="none"/>
                <w:lang w:val="zh-CN" w:eastAsia="zh-CN"/>
              </w:rPr>
              <w:t>侧、东侧及南侧现状为空地，</w:t>
            </w:r>
            <w:r>
              <w:rPr>
                <w:rFonts w:hint="eastAsia" w:ascii="Times New Roman" w:hAnsi="Times New Roman" w:eastAsia="宋体" w:cs="Times New Roman"/>
                <w:b w:val="0"/>
                <w:bCs/>
                <w:color w:val="auto"/>
                <w:sz w:val="24"/>
                <w:szCs w:val="24"/>
                <w:highlight w:val="none"/>
                <w:lang w:val="en-US" w:eastAsia="zh-CN"/>
              </w:rPr>
              <w:t>北</w:t>
            </w:r>
            <w:r>
              <w:rPr>
                <w:rFonts w:hint="default" w:ascii="Times New Roman" w:hAnsi="Times New Roman" w:eastAsia="宋体" w:cs="Times New Roman"/>
                <w:b w:val="0"/>
                <w:bCs/>
                <w:color w:val="auto"/>
                <w:sz w:val="24"/>
                <w:szCs w:val="24"/>
                <w:highlight w:val="none"/>
                <w:lang w:val="zh-CN" w:eastAsia="zh-CN"/>
              </w:rPr>
              <w:t>侧为</w:t>
            </w:r>
            <w:r>
              <w:rPr>
                <w:rFonts w:hint="default" w:ascii="Times New Roman" w:hAnsi="Times New Roman" w:eastAsia="宋体" w:cs="Times New Roman"/>
                <w:color w:val="auto"/>
                <w:sz w:val="24"/>
                <w:highlight w:val="none"/>
                <w:lang w:val="en-US" w:eastAsia="zh-CN"/>
              </w:rPr>
              <w:t>省道</w:t>
            </w:r>
            <w:r>
              <w:rPr>
                <w:rFonts w:hint="default" w:ascii="Times New Roman" w:hAnsi="Times New Roman" w:eastAsia="宋体" w:cs="Times New Roman"/>
                <w:b w:val="0"/>
                <w:bCs/>
                <w:color w:val="auto"/>
                <w:sz w:val="24"/>
                <w:szCs w:val="24"/>
                <w:highlight w:val="none"/>
                <w:lang w:val="en-US" w:eastAsia="zh-CN"/>
              </w:rPr>
              <w:t>G</w:t>
            </w:r>
            <w:r>
              <w:rPr>
                <w:rFonts w:hint="eastAsia" w:cs="Times New Roman"/>
                <w:b w:val="0"/>
                <w:bCs/>
                <w:color w:val="auto"/>
                <w:sz w:val="24"/>
                <w:szCs w:val="24"/>
                <w:highlight w:val="none"/>
                <w:lang w:val="en-US" w:eastAsia="zh-CN"/>
              </w:rPr>
              <w:t>342</w:t>
            </w:r>
            <w:r>
              <w:rPr>
                <w:rFonts w:hint="default" w:ascii="Times New Roman" w:hAnsi="Times New Roman" w:eastAsia="宋体" w:cs="Times New Roman"/>
                <w:b w:val="0"/>
                <w:bCs/>
                <w:color w:val="auto"/>
                <w:sz w:val="24"/>
                <w:szCs w:val="24"/>
                <w:highlight w:val="none"/>
                <w:lang w:val="zh-CN" w:eastAsia="zh-CN"/>
              </w:rPr>
              <w:t>，距离本项目最近的敏感点为项目</w:t>
            </w:r>
            <w:r>
              <w:rPr>
                <w:rFonts w:hint="eastAsia" w:ascii="Times New Roman" w:hAnsi="Times New Roman" w:eastAsia="宋体" w:cs="Times New Roman"/>
                <w:b w:val="0"/>
                <w:bCs/>
                <w:color w:val="auto"/>
                <w:sz w:val="24"/>
                <w:szCs w:val="24"/>
                <w:highlight w:val="none"/>
                <w:lang w:val="en-US" w:eastAsia="zh-CN"/>
              </w:rPr>
              <w:t>南</w:t>
            </w:r>
            <w:r>
              <w:rPr>
                <w:rFonts w:hint="default" w:ascii="Times New Roman" w:hAnsi="Times New Roman" w:eastAsia="宋体" w:cs="Times New Roman"/>
                <w:b w:val="0"/>
                <w:bCs/>
                <w:color w:val="auto"/>
                <w:sz w:val="24"/>
                <w:szCs w:val="24"/>
                <w:highlight w:val="none"/>
                <w:lang w:val="zh-CN" w:eastAsia="zh-CN"/>
              </w:rPr>
              <w:t>侧</w:t>
            </w:r>
            <w:r>
              <w:rPr>
                <w:rFonts w:hint="eastAsia" w:ascii="Times New Roman" w:hAnsi="Times New Roman" w:eastAsia="宋体" w:cs="Times New Roman"/>
                <w:b w:val="0"/>
                <w:bCs/>
                <w:color w:val="auto"/>
                <w:sz w:val="24"/>
                <w:szCs w:val="24"/>
                <w:highlight w:val="none"/>
                <w:lang w:val="en-US" w:eastAsia="zh-CN"/>
              </w:rPr>
              <w:t>22</w:t>
            </w:r>
            <w:r>
              <w:rPr>
                <w:rFonts w:hint="default" w:ascii="Times New Roman" w:hAnsi="Times New Roman" w:eastAsia="宋体" w:cs="Times New Roman"/>
                <w:b w:val="0"/>
                <w:bCs/>
                <w:color w:val="auto"/>
                <w:sz w:val="24"/>
                <w:szCs w:val="24"/>
                <w:highlight w:val="none"/>
                <w:lang w:val="en-US" w:eastAsia="zh-CN"/>
              </w:rPr>
              <w:t>0m</w:t>
            </w:r>
            <w:r>
              <w:rPr>
                <w:rFonts w:hint="eastAsia" w:ascii="Times New Roman" w:hAnsi="Times New Roman" w:eastAsia="宋体" w:cs="Times New Roman"/>
                <w:b w:val="0"/>
                <w:bCs/>
                <w:color w:val="auto"/>
                <w:sz w:val="24"/>
                <w:szCs w:val="24"/>
                <w:highlight w:val="none"/>
                <w:lang w:val="en-US" w:eastAsia="zh-CN"/>
              </w:rPr>
              <w:t>袁家村</w:t>
            </w:r>
            <w:r>
              <w:rPr>
                <w:rFonts w:hint="default" w:ascii="Times New Roman" w:hAnsi="Times New Roman" w:eastAsia="宋体" w:cs="Times New Roman"/>
                <w:b w:val="0"/>
                <w:bCs/>
                <w:color w:val="auto"/>
                <w:sz w:val="24"/>
                <w:szCs w:val="24"/>
                <w:highlight w:val="none"/>
                <w:lang w:val="zh-CN" w:eastAsia="zh-CN"/>
              </w:rPr>
              <w:t>。</w:t>
            </w:r>
            <w:r>
              <w:rPr>
                <w:rFonts w:hint="default" w:ascii="Times New Roman" w:hAnsi="Times New Roman" w:eastAsia="宋体" w:cs="Times New Roman"/>
                <w:color w:val="auto"/>
                <w:sz w:val="24"/>
                <w:highlight w:val="none"/>
                <w:lang w:eastAsia="zh-CN"/>
              </w:rPr>
              <w:t>项目</w:t>
            </w:r>
            <w:r>
              <w:rPr>
                <w:rFonts w:hint="eastAsia" w:ascii="Times New Roman" w:hAnsi="Times New Roman" w:eastAsia="宋体" w:cs="Times New Roman"/>
                <w:color w:val="auto"/>
                <w:sz w:val="24"/>
                <w:highlight w:val="none"/>
                <w:lang w:val="en-US" w:eastAsia="zh-CN"/>
              </w:rPr>
              <w:t>西</w:t>
            </w:r>
            <w:r>
              <w:rPr>
                <w:rFonts w:hint="default" w:ascii="Times New Roman" w:hAnsi="Times New Roman" w:eastAsia="宋体" w:cs="Times New Roman"/>
                <w:color w:val="auto"/>
                <w:sz w:val="24"/>
                <w:highlight w:val="none"/>
                <w:lang w:val="en-US" w:eastAsia="zh-CN"/>
              </w:rPr>
              <w:t>侧</w:t>
            </w:r>
            <w:r>
              <w:rPr>
                <w:rFonts w:hint="eastAsia" w:ascii="Times New Roman" w:hAnsi="Times New Roman" w:eastAsia="宋体" w:cs="Times New Roman"/>
                <w:color w:val="auto"/>
                <w:sz w:val="24"/>
                <w:highlight w:val="none"/>
                <w:lang w:val="en-US" w:eastAsia="zh-CN"/>
              </w:rPr>
              <w:t>规划</w:t>
            </w:r>
            <w:r>
              <w:rPr>
                <w:rFonts w:hint="default" w:ascii="Times New Roman" w:hAnsi="Times New Roman" w:eastAsia="宋体" w:cs="Times New Roman"/>
                <w:color w:val="auto"/>
                <w:sz w:val="24"/>
                <w:highlight w:val="none"/>
                <w:lang w:val="en-US" w:eastAsia="zh-CN"/>
              </w:rPr>
              <w:t>为</w:t>
            </w:r>
            <w:r>
              <w:rPr>
                <w:rFonts w:hint="eastAsia" w:ascii="Times New Roman" w:hAnsi="Times New Roman" w:eastAsia="宋体" w:cs="Times New Roman"/>
                <w:color w:val="auto"/>
                <w:sz w:val="24"/>
                <w:highlight w:val="none"/>
                <w:lang w:val="en-US" w:eastAsia="zh-CN"/>
              </w:rPr>
              <w:t>濮阳市万兴专用车制造有限公司、河南腾龙装备科技有限公司</w:t>
            </w:r>
            <w:r>
              <w:rPr>
                <w:rFonts w:hint="default" w:ascii="Times New Roman" w:hAnsi="Times New Roman" w:eastAsia="宋体" w:cs="Times New Roman"/>
                <w:color w:val="auto"/>
                <w:sz w:val="24"/>
                <w:highlight w:val="none"/>
                <w:lang w:val="en-US" w:eastAsia="zh-CN"/>
              </w:rPr>
              <w:t>，东侧</w:t>
            </w:r>
            <w:r>
              <w:rPr>
                <w:rFonts w:hint="eastAsia" w:ascii="Times New Roman" w:hAnsi="Times New Roman" w:eastAsia="宋体" w:cs="Times New Roman"/>
                <w:color w:val="auto"/>
                <w:sz w:val="24"/>
                <w:highlight w:val="none"/>
                <w:lang w:val="en-US" w:eastAsia="zh-CN"/>
              </w:rPr>
              <w:t>规划</w:t>
            </w:r>
            <w:r>
              <w:rPr>
                <w:rFonts w:hint="default" w:ascii="Times New Roman" w:hAnsi="Times New Roman" w:eastAsia="宋体" w:cs="Times New Roman"/>
                <w:color w:val="auto"/>
                <w:sz w:val="24"/>
                <w:highlight w:val="none"/>
                <w:lang w:val="en-US" w:eastAsia="zh-CN"/>
              </w:rPr>
              <w:t>为</w:t>
            </w:r>
            <w:r>
              <w:rPr>
                <w:rFonts w:hint="eastAsia" w:ascii="Times New Roman" w:hAnsi="Times New Roman" w:eastAsia="宋体" w:cs="Times New Roman"/>
                <w:color w:val="auto"/>
                <w:sz w:val="24"/>
                <w:highlight w:val="none"/>
                <w:lang w:val="en-US" w:eastAsia="zh-CN"/>
              </w:rPr>
              <w:t>濮阳市易发管具有限公司、濮阳中锐机械设备有限公司，</w:t>
            </w:r>
            <w:r>
              <w:rPr>
                <w:rFonts w:hint="eastAsia" w:cs="Times New Roman"/>
                <w:color w:val="auto"/>
                <w:sz w:val="24"/>
                <w:highlight w:val="none"/>
                <w:lang w:val="en-US" w:eastAsia="zh-CN"/>
              </w:rPr>
              <w:t>南侧为规划一路。</w:t>
            </w:r>
            <w:r>
              <w:rPr>
                <w:rFonts w:hint="default" w:ascii="Times New Roman" w:hAnsi="Times New Roman" w:eastAsia="宋体" w:cs="Times New Roman"/>
                <w:b w:val="0"/>
                <w:bCs/>
                <w:color w:val="auto"/>
                <w:sz w:val="24"/>
                <w:szCs w:val="24"/>
                <w:highlight w:val="none"/>
                <w:lang w:val="zh-CN" w:eastAsia="zh-CN"/>
              </w:rPr>
              <w:t>项目周边环境示意图见附图</w:t>
            </w:r>
            <w:r>
              <w:rPr>
                <w:rFonts w:hint="default" w:ascii="Times New Roman" w:hAnsi="Times New Roman" w:eastAsia="宋体"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lang w:val="zh-CN" w:eastAsia="zh-CN"/>
              </w:rPr>
              <w:t>。</w:t>
            </w:r>
          </w:p>
          <w:p w14:paraId="253B8536">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根据河南省生态环境厅办公室关于印发根据河南省生态环境厅办公室关于印发《关于进一步优化环评审批推进重大投资项目建设的通知》（豫环办〔2022〕44号）可知本项目属于“河南省建设项目环评告知承诺制审批正面清单（2022）”中“</w:t>
            </w:r>
            <w:r>
              <w:rPr>
                <w:rFonts w:hint="default" w:ascii="Times New Roman" w:hAnsi="Times New Roman" w:eastAsia="宋体" w:cs="Times New Roman"/>
                <w:color w:val="auto"/>
                <w:sz w:val="24"/>
                <w:szCs w:val="24"/>
              </w:rPr>
              <w:t>三十二、专用设备制造业</w:t>
            </w:r>
            <w:r>
              <w:rPr>
                <w:rFonts w:hint="default" w:ascii="Times New Roman" w:hAnsi="Times New Roman" w:eastAsia="宋体" w:cs="Times New Roman"/>
                <w:color w:val="auto"/>
                <w:sz w:val="24"/>
                <w:szCs w:val="24"/>
                <w:lang w:val="en-US" w:eastAsia="zh-CN"/>
              </w:rPr>
              <w:t>--采矿、冶金、建筑专用设备制造</w:t>
            </w:r>
            <w:r>
              <w:rPr>
                <w:rFonts w:hint="eastAsia" w:ascii="Times New Roman" w:hAnsi="Times New Roman" w:eastAsia="宋体" w:cs="Times New Roman"/>
                <w:b w:val="0"/>
                <w:bCs/>
                <w:color w:val="auto"/>
                <w:sz w:val="24"/>
                <w:szCs w:val="24"/>
                <w:highlight w:val="none"/>
                <w:lang w:val="en-US" w:eastAsia="zh-CN"/>
              </w:rPr>
              <w:t>”，故该项目以告知承诺制办理程序开展工作。</w:t>
            </w:r>
          </w:p>
          <w:p w14:paraId="5A40ABFE">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both"/>
              <w:textAlignment w:val="auto"/>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3、</w:t>
            </w:r>
            <w:r>
              <w:rPr>
                <w:rFonts w:hint="default" w:ascii="Times New Roman" w:hAnsi="Times New Roman" w:eastAsia="宋体" w:cs="Times New Roman"/>
                <w:b/>
                <w:bCs w:val="0"/>
                <w:color w:val="auto"/>
                <w:sz w:val="24"/>
                <w:szCs w:val="24"/>
                <w:highlight w:val="none"/>
                <w:lang w:val="en-US" w:eastAsia="zh-CN"/>
              </w:rPr>
              <w:t>项目组成及建设内容</w:t>
            </w:r>
          </w:p>
          <w:p w14:paraId="7816108A">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项目组成及工程内容见下表。</w:t>
            </w:r>
          </w:p>
          <w:p w14:paraId="7E00BBF2">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表2-</w:t>
            </w:r>
            <w:r>
              <w:rPr>
                <w:rFonts w:hint="eastAsia" w:cs="Times New Roman"/>
                <w:b w:val="0"/>
                <w:bCs w:val="0"/>
                <w:color w:val="auto"/>
                <w:kern w:val="0"/>
                <w:sz w:val="21"/>
                <w:szCs w:val="21"/>
                <w:highlight w:val="none"/>
                <w:vertAlign w:val="baseline"/>
                <w:lang w:val="en-US" w:eastAsia="zh-CN" w:bidi="ar-SA"/>
              </w:rPr>
              <w:t>1</w:t>
            </w:r>
            <w:r>
              <w:rPr>
                <w:rFonts w:hint="default" w:ascii="Times New Roman" w:hAnsi="Times New Roman" w:eastAsia="宋体" w:cs="Times New Roman"/>
                <w:b w:val="0"/>
                <w:bCs w:val="0"/>
                <w:color w:val="auto"/>
                <w:kern w:val="0"/>
                <w:sz w:val="21"/>
                <w:szCs w:val="21"/>
                <w:highlight w:val="none"/>
                <w:vertAlign w:val="baseline"/>
                <w:lang w:val="en-US" w:eastAsia="zh-CN" w:bidi="ar-SA"/>
              </w:rPr>
              <w:t xml:space="preserve">  </w:t>
            </w:r>
            <w:r>
              <w:rPr>
                <w:rFonts w:hint="eastAsia" w:cs="Times New Roman"/>
                <w:b w:val="0"/>
                <w:bCs w:val="0"/>
                <w:color w:val="auto"/>
                <w:kern w:val="0"/>
                <w:sz w:val="21"/>
                <w:szCs w:val="21"/>
                <w:highlight w:val="none"/>
                <w:vertAlign w:val="baseline"/>
                <w:lang w:val="en-US" w:eastAsia="zh-CN" w:bidi="ar-SA"/>
              </w:rPr>
              <w:t>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工程组成一览表</w:t>
            </w:r>
          </w:p>
          <w:tbl>
            <w:tblPr>
              <w:tblStyle w:val="2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421"/>
              <w:gridCol w:w="4903"/>
              <w:gridCol w:w="688"/>
            </w:tblGrid>
            <w:tr w14:paraId="5143E863">
              <w:tblPrEx>
                <w:tblCellMar>
                  <w:top w:w="0" w:type="dxa"/>
                  <w:left w:w="108" w:type="dxa"/>
                  <w:bottom w:w="0" w:type="dxa"/>
                  <w:right w:w="108" w:type="dxa"/>
                </w:tblCellMar>
              </w:tblPrEx>
              <w:tc>
                <w:tcPr>
                  <w:tcW w:w="1356" w:type="pct"/>
                  <w:gridSpan w:val="2"/>
                  <w:vAlign w:val="center"/>
                </w:tcPr>
                <w:p w14:paraId="2154B924">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rPr>
                  </w:pPr>
                  <w:r>
                    <w:rPr>
                      <w:bCs/>
                      <w:color w:val="auto"/>
                      <w:szCs w:val="21"/>
                    </w:rPr>
                    <w:t>工程组成</w:t>
                  </w:r>
                </w:p>
              </w:tc>
              <w:tc>
                <w:tcPr>
                  <w:tcW w:w="3194" w:type="pct"/>
                  <w:vAlign w:val="center"/>
                </w:tcPr>
                <w:p w14:paraId="313C4597">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rPr>
                  </w:pPr>
                  <w:r>
                    <w:rPr>
                      <w:bCs/>
                      <w:color w:val="auto"/>
                      <w:szCs w:val="21"/>
                    </w:rPr>
                    <w:t>工程内容</w:t>
                  </w:r>
                </w:p>
              </w:tc>
              <w:tc>
                <w:tcPr>
                  <w:tcW w:w="448" w:type="pct"/>
                  <w:vAlign w:val="center"/>
                </w:tcPr>
                <w:p w14:paraId="73F15C9C">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rPr>
                  </w:pPr>
                  <w:r>
                    <w:rPr>
                      <w:rFonts w:hint="eastAsia"/>
                      <w:bCs/>
                      <w:color w:val="auto"/>
                      <w:szCs w:val="21"/>
                    </w:rPr>
                    <w:t>备注</w:t>
                  </w:r>
                </w:p>
              </w:tc>
            </w:tr>
            <w:tr w14:paraId="53FA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30" w:type="pct"/>
                  <w:vMerge w:val="restart"/>
                  <w:vAlign w:val="center"/>
                </w:tcPr>
                <w:p w14:paraId="106CFAA2">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u w:val="none"/>
                    </w:rPr>
                  </w:pPr>
                  <w:r>
                    <w:rPr>
                      <w:bCs/>
                      <w:color w:val="auto"/>
                      <w:szCs w:val="21"/>
                      <w:u w:val="none"/>
                    </w:rPr>
                    <w:t>主体工程</w:t>
                  </w:r>
                </w:p>
              </w:tc>
              <w:tc>
                <w:tcPr>
                  <w:tcW w:w="926" w:type="pct"/>
                  <w:vAlign w:val="center"/>
                </w:tcPr>
                <w:p w14:paraId="46FA067B">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Times New Roman" w:cs="Times New Roman"/>
                      <w:color w:val="auto"/>
                      <w:szCs w:val="21"/>
                      <w:highlight w:val="none"/>
                      <w:u w:val="none"/>
                      <w:lang w:val="en-US"/>
                    </w:rPr>
                  </w:pPr>
                  <w:r>
                    <w:rPr>
                      <w:rFonts w:hint="eastAsia"/>
                      <w:bCs/>
                      <w:color w:val="auto"/>
                      <w:szCs w:val="21"/>
                      <w:u w:val="none"/>
                      <w:lang w:val="en-US" w:eastAsia="zh-CN"/>
                    </w:rPr>
                    <w:t>生产车间1#</w:t>
                  </w:r>
                </w:p>
              </w:tc>
              <w:tc>
                <w:tcPr>
                  <w:tcW w:w="3194" w:type="pct"/>
                  <w:vAlign w:val="center"/>
                </w:tcPr>
                <w:p w14:paraId="31833D38">
                  <w:pPr>
                    <w:keepNext w:val="0"/>
                    <w:pageBreakBefore w:val="0"/>
                    <w:widowControl w:val="0"/>
                    <w:tabs>
                      <w:tab w:val="left" w:pos="7920"/>
                    </w:tabs>
                    <w:kinsoku/>
                    <w:wordWrap/>
                    <w:overflowPunct/>
                    <w:topLinePunct w:val="0"/>
                    <w:autoSpaceDE/>
                    <w:autoSpaceDN/>
                    <w:bidi w:val="0"/>
                    <w:adjustRightInd/>
                    <w:snapToGrid/>
                    <w:spacing w:before="48" w:beforeLines="15" w:after="48" w:afterLines="15"/>
                    <w:textAlignment w:val="auto"/>
                    <w:rPr>
                      <w:rFonts w:hint="default" w:eastAsia="宋体"/>
                      <w:bCs/>
                      <w:color w:val="auto"/>
                      <w:szCs w:val="21"/>
                      <w:u w:val="none"/>
                      <w:lang w:val="en-US" w:eastAsia="zh-CN"/>
                    </w:rPr>
                  </w:pPr>
                  <w:r>
                    <w:rPr>
                      <w:rFonts w:hint="eastAsia"/>
                      <w:bCs/>
                      <w:color w:val="auto"/>
                      <w:szCs w:val="21"/>
                      <w:u w:val="none"/>
                    </w:rPr>
                    <w:t>占地面积</w:t>
                  </w:r>
                  <w:r>
                    <w:rPr>
                      <w:rFonts w:hint="eastAsia"/>
                      <w:bCs/>
                      <w:color w:val="auto"/>
                      <w:szCs w:val="21"/>
                      <w:u w:val="none"/>
                      <w:lang w:val="en-US" w:eastAsia="zh-CN"/>
                    </w:rPr>
                    <w:t>12332</w:t>
                  </w:r>
                  <w:r>
                    <w:rPr>
                      <w:rFonts w:hint="eastAsia"/>
                      <w:bCs/>
                      <w:color w:val="auto"/>
                      <w:szCs w:val="21"/>
                      <w:u w:val="none"/>
                    </w:rPr>
                    <w:t>m</w:t>
                  </w:r>
                  <w:r>
                    <w:rPr>
                      <w:rFonts w:hint="eastAsia"/>
                      <w:bCs/>
                      <w:color w:val="auto"/>
                      <w:szCs w:val="21"/>
                      <w:u w:val="none"/>
                      <w:vertAlign w:val="superscript"/>
                    </w:rPr>
                    <w:t>2</w:t>
                  </w:r>
                  <w:r>
                    <w:rPr>
                      <w:rFonts w:hint="eastAsia"/>
                      <w:bCs/>
                      <w:color w:val="auto"/>
                      <w:szCs w:val="21"/>
                      <w:u w:val="none"/>
                    </w:rPr>
                    <w:t>，</w:t>
                  </w:r>
                  <w:r>
                    <w:rPr>
                      <w:rFonts w:hint="eastAsia"/>
                      <w:bCs/>
                      <w:color w:val="auto"/>
                      <w:szCs w:val="21"/>
                      <w:u w:val="none"/>
                      <w:lang w:val="en-US" w:eastAsia="zh-CN"/>
                    </w:rPr>
                    <w:t>1F，钢结构，H=14m。用于原辅材料存放、原料机加工、防锈（防锈间1座，规格：</w:t>
                  </w:r>
                  <w:r>
                    <w:rPr>
                      <w:rFonts w:hint="eastAsia" w:cs="Times New Roman"/>
                      <w:bCs/>
                      <w:color w:val="auto"/>
                      <w:szCs w:val="21"/>
                      <w:u w:val="none"/>
                      <w:lang w:val="en-US" w:eastAsia="zh-CN"/>
                    </w:rPr>
                    <w:t>5</w:t>
                  </w:r>
                  <w:r>
                    <w:rPr>
                      <w:rFonts w:hint="default" w:ascii="Times New Roman" w:hAnsi="Times New Roman" w:cs="Times New Roman"/>
                      <w:bCs/>
                      <w:color w:val="auto"/>
                      <w:szCs w:val="21"/>
                      <w:u w:val="none"/>
                      <w:lang w:val="en-US" w:eastAsia="zh-CN"/>
                    </w:rPr>
                    <w:t>m×</w:t>
                  </w:r>
                  <w:r>
                    <w:rPr>
                      <w:rFonts w:hint="eastAsia" w:cs="Times New Roman"/>
                      <w:bCs/>
                      <w:color w:val="auto"/>
                      <w:szCs w:val="21"/>
                      <w:u w:val="none"/>
                      <w:lang w:val="en-US" w:eastAsia="zh-CN"/>
                    </w:rPr>
                    <w:t>3</w:t>
                  </w:r>
                  <w:r>
                    <w:rPr>
                      <w:rFonts w:hint="default" w:ascii="Times New Roman" w:hAnsi="Times New Roman" w:cs="Times New Roman"/>
                      <w:bCs/>
                      <w:color w:val="auto"/>
                      <w:szCs w:val="21"/>
                      <w:u w:val="none"/>
                      <w:lang w:val="en-US" w:eastAsia="zh-CN"/>
                    </w:rPr>
                    <w:t>m×</w:t>
                  </w:r>
                  <w:r>
                    <w:rPr>
                      <w:rFonts w:hint="eastAsia" w:cs="Times New Roman"/>
                      <w:bCs/>
                      <w:color w:val="auto"/>
                      <w:szCs w:val="21"/>
                      <w:u w:val="none"/>
                      <w:lang w:val="en-US" w:eastAsia="zh-CN"/>
                    </w:rPr>
                    <w:t>10</w:t>
                  </w:r>
                  <w:r>
                    <w:rPr>
                      <w:rFonts w:hint="default" w:ascii="Times New Roman" w:hAnsi="Times New Roman" w:cs="Times New Roman"/>
                      <w:bCs/>
                      <w:color w:val="auto"/>
                      <w:szCs w:val="21"/>
                      <w:u w:val="none"/>
                      <w:lang w:val="en-US" w:eastAsia="zh-CN"/>
                    </w:rPr>
                    <w:t>m</w:t>
                  </w:r>
                  <w:r>
                    <w:rPr>
                      <w:rFonts w:hint="eastAsia"/>
                      <w:bCs/>
                      <w:color w:val="auto"/>
                      <w:szCs w:val="21"/>
                      <w:u w:val="none"/>
                      <w:lang w:val="en-US" w:eastAsia="zh-CN"/>
                    </w:rPr>
                    <w:t>）及成品暂存</w:t>
                  </w:r>
                </w:p>
              </w:tc>
              <w:tc>
                <w:tcPr>
                  <w:tcW w:w="448" w:type="pct"/>
                  <w:vAlign w:val="center"/>
                </w:tcPr>
                <w:p w14:paraId="1EF9FAB1">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u w:val="none"/>
                    </w:rPr>
                  </w:pPr>
                  <w:r>
                    <w:rPr>
                      <w:rFonts w:hint="eastAsia"/>
                      <w:bCs/>
                      <w:color w:val="auto"/>
                      <w:szCs w:val="21"/>
                      <w:u w:val="none"/>
                    </w:rPr>
                    <w:t>新建</w:t>
                  </w:r>
                </w:p>
              </w:tc>
            </w:tr>
            <w:tr w14:paraId="6367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430" w:type="pct"/>
                  <w:vMerge w:val="continue"/>
                  <w:vAlign w:val="center"/>
                </w:tcPr>
                <w:p w14:paraId="6AED1C87">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u w:val="none"/>
                    </w:rPr>
                  </w:pPr>
                </w:p>
              </w:tc>
              <w:tc>
                <w:tcPr>
                  <w:tcW w:w="926" w:type="pct"/>
                  <w:vAlign w:val="center"/>
                </w:tcPr>
                <w:p w14:paraId="6EF7AE01">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Times New Roman" w:cs="Times New Roman"/>
                      <w:color w:val="auto"/>
                      <w:szCs w:val="21"/>
                      <w:highlight w:val="none"/>
                      <w:u w:val="none"/>
                      <w:lang w:val="en-US"/>
                    </w:rPr>
                  </w:pPr>
                  <w:r>
                    <w:rPr>
                      <w:rFonts w:hint="default" w:ascii="Times New Roman" w:hAnsi="Times New Roman" w:cs="Times New Roman"/>
                      <w:color w:val="auto"/>
                      <w:szCs w:val="21"/>
                      <w:highlight w:val="none"/>
                      <w:u w:val="none"/>
                    </w:rPr>
                    <w:t>生产车间</w:t>
                  </w:r>
                  <w:r>
                    <w:rPr>
                      <w:rFonts w:hint="eastAsia" w:hAnsi="Times New Roman" w:cs="Times New Roman"/>
                      <w:color w:val="auto"/>
                      <w:szCs w:val="21"/>
                      <w:highlight w:val="none"/>
                      <w:u w:val="none"/>
                      <w:lang w:val="en-US" w:eastAsia="zh-CN"/>
                    </w:rPr>
                    <w:t>2#</w:t>
                  </w:r>
                </w:p>
              </w:tc>
              <w:tc>
                <w:tcPr>
                  <w:tcW w:w="3194" w:type="pct"/>
                  <w:vAlign w:val="center"/>
                </w:tcPr>
                <w:p w14:paraId="700A0C9B">
                  <w:pPr>
                    <w:keepNext w:val="0"/>
                    <w:pageBreakBefore w:val="0"/>
                    <w:widowControl w:val="0"/>
                    <w:tabs>
                      <w:tab w:val="left" w:pos="7920"/>
                    </w:tabs>
                    <w:kinsoku/>
                    <w:wordWrap/>
                    <w:overflowPunct/>
                    <w:topLinePunct w:val="0"/>
                    <w:autoSpaceDE/>
                    <w:autoSpaceDN/>
                    <w:bidi w:val="0"/>
                    <w:adjustRightInd/>
                    <w:snapToGrid/>
                    <w:spacing w:before="48" w:beforeLines="15" w:after="48" w:afterLines="15"/>
                    <w:textAlignment w:val="auto"/>
                    <w:rPr>
                      <w:rFonts w:hint="default" w:eastAsia="宋体"/>
                      <w:bCs/>
                      <w:color w:val="auto"/>
                      <w:szCs w:val="21"/>
                      <w:u w:val="none"/>
                      <w:lang w:val="en-US" w:eastAsia="zh-CN"/>
                    </w:rPr>
                  </w:pPr>
                  <w:r>
                    <w:rPr>
                      <w:rFonts w:hint="eastAsia"/>
                      <w:bCs/>
                      <w:color w:val="auto"/>
                      <w:szCs w:val="21"/>
                      <w:u w:val="none"/>
                      <w:lang w:val="en-US" w:eastAsia="zh-CN"/>
                    </w:rPr>
                    <w:t>占地面积2180</w:t>
                  </w:r>
                  <w:r>
                    <w:rPr>
                      <w:rFonts w:hint="eastAsia"/>
                      <w:bCs/>
                      <w:color w:val="auto"/>
                      <w:szCs w:val="21"/>
                      <w:u w:val="none"/>
                    </w:rPr>
                    <w:t>m</w:t>
                  </w:r>
                  <w:r>
                    <w:rPr>
                      <w:rFonts w:hint="eastAsia"/>
                      <w:bCs/>
                      <w:color w:val="auto"/>
                      <w:szCs w:val="21"/>
                      <w:u w:val="none"/>
                      <w:vertAlign w:val="superscript"/>
                    </w:rPr>
                    <w:t>2</w:t>
                  </w:r>
                  <w:r>
                    <w:rPr>
                      <w:rFonts w:hint="eastAsia"/>
                      <w:bCs/>
                      <w:color w:val="auto"/>
                      <w:szCs w:val="21"/>
                      <w:u w:val="none"/>
                    </w:rPr>
                    <w:t>，</w:t>
                  </w:r>
                  <w:r>
                    <w:rPr>
                      <w:rFonts w:hint="eastAsia"/>
                      <w:bCs/>
                      <w:color w:val="auto"/>
                      <w:szCs w:val="21"/>
                      <w:u w:val="none"/>
                      <w:lang w:val="en-US" w:eastAsia="zh-CN"/>
                    </w:rPr>
                    <w:t>1F，钢结构，H=14m。用于产品质检及储存</w:t>
                  </w:r>
                </w:p>
              </w:tc>
              <w:tc>
                <w:tcPr>
                  <w:tcW w:w="448" w:type="pct"/>
                  <w:vAlign w:val="center"/>
                </w:tcPr>
                <w:p w14:paraId="5CB2A37A">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rFonts w:hint="eastAsia"/>
                      <w:bCs/>
                      <w:color w:val="auto"/>
                      <w:szCs w:val="21"/>
                      <w:u w:val="none"/>
                    </w:rPr>
                  </w:pPr>
                  <w:r>
                    <w:rPr>
                      <w:rFonts w:hint="eastAsia"/>
                      <w:bCs/>
                      <w:color w:val="auto"/>
                      <w:szCs w:val="21"/>
                      <w:u w:val="none"/>
                    </w:rPr>
                    <w:t>新建</w:t>
                  </w:r>
                </w:p>
              </w:tc>
            </w:tr>
            <w:tr w14:paraId="4820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0" w:type="pct"/>
                  <w:vMerge w:val="restart"/>
                  <w:vAlign w:val="center"/>
                </w:tcPr>
                <w:p w14:paraId="2174532D">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u w:val="none"/>
                    </w:rPr>
                  </w:pPr>
                  <w:r>
                    <w:rPr>
                      <w:bCs/>
                      <w:color w:val="auto"/>
                      <w:szCs w:val="21"/>
                      <w:u w:val="none"/>
                    </w:rPr>
                    <w:t>辅助工程</w:t>
                  </w:r>
                </w:p>
              </w:tc>
              <w:tc>
                <w:tcPr>
                  <w:tcW w:w="926" w:type="pct"/>
                  <w:vAlign w:val="center"/>
                </w:tcPr>
                <w:p w14:paraId="6126D6A0">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eastAsia="宋体"/>
                      <w:bCs/>
                      <w:color w:val="auto"/>
                      <w:szCs w:val="21"/>
                      <w:u w:val="none"/>
                      <w:lang w:val="en-US" w:eastAsia="zh-CN"/>
                    </w:rPr>
                  </w:pPr>
                  <w:r>
                    <w:rPr>
                      <w:rFonts w:hint="eastAsia"/>
                      <w:bCs/>
                      <w:color w:val="auto"/>
                      <w:szCs w:val="21"/>
                      <w:u w:val="none"/>
                      <w:lang w:val="en-US" w:eastAsia="zh-CN"/>
                    </w:rPr>
                    <w:t>综合楼</w:t>
                  </w:r>
                </w:p>
              </w:tc>
              <w:tc>
                <w:tcPr>
                  <w:tcW w:w="3194" w:type="pct"/>
                  <w:vAlign w:val="center"/>
                </w:tcPr>
                <w:p w14:paraId="1696827D">
                  <w:pPr>
                    <w:keepNext w:val="0"/>
                    <w:pageBreakBefore w:val="0"/>
                    <w:widowControl w:val="0"/>
                    <w:tabs>
                      <w:tab w:val="left" w:pos="7920"/>
                    </w:tabs>
                    <w:kinsoku/>
                    <w:wordWrap/>
                    <w:overflowPunct/>
                    <w:topLinePunct w:val="0"/>
                    <w:autoSpaceDE/>
                    <w:autoSpaceDN/>
                    <w:bidi w:val="0"/>
                    <w:adjustRightInd/>
                    <w:snapToGrid/>
                    <w:spacing w:before="48" w:beforeLines="15" w:after="48" w:afterLines="15"/>
                    <w:textAlignment w:val="auto"/>
                    <w:rPr>
                      <w:rFonts w:hint="default"/>
                      <w:bCs/>
                      <w:color w:val="auto"/>
                      <w:szCs w:val="21"/>
                      <w:u w:val="none"/>
                      <w:lang w:val="en-US"/>
                    </w:rPr>
                  </w:pPr>
                  <w:r>
                    <w:rPr>
                      <w:rFonts w:hint="eastAsia"/>
                      <w:bCs/>
                      <w:color w:val="auto"/>
                      <w:szCs w:val="21"/>
                      <w:u w:val="none"/>
                    </w:rPr>
                    <w:t>1座，占地面积</w:t>
                  </w:r>
                  <w:r>
                    <w:rPr>
                      <w:rFonts w:hint="eastAsia"/>
                      <w:bCs/>
                      <w:color w:val="auto"/>
                      <w:szCs w:val="21"/>
                      <w:u w:val="none"/>
                      <w:lang w:val="en-US" w:eastAsia="zh-CN"/>
                    </w:rPr>
                    <w:t>6600.38</w:t>
                  </w:r>
                  <w:r>
                    <w:rPr>
                      <w:rFonts w:hint="eastAsia"/>
                      <w:bCs/>
                      <w:color w:val="auto"/>
                      <w:szCs w:val="21"/>
                      <w:u w:val="none"/>
                    </w:rPr>
                    <w:t>m</w:t>
                  </w:r>
                  <w:r>
                    <w:rPr>
                      <w:rFonts w:hint="eastAsia"/>
                      <w:bCs/>
                      <w:color w:val="auto"/>
                      <w:szCs w:val="21"/>
                      <w:u w:val="none"/>
                      <w:vertAlign w:val="superscript"/>
                    </w:rPr>
                    <w:t>2</w:t>
                  </w:r>
                  <w:r>
                    <w:rPr>
                      <w:rFonts w:hint="eastAsia"/>
                      <w:bCs/>
                      <w:color w:val="auto"/>
                      <w:szCs w:val="21"/>
                      <w:u w:val="none"/>
                    </w:rPr>
                    <w:t>，</w:t>
                  </w:r>
                  <w:r>
                    <w:rPr>
                      <w:rFonts w:hint="eastAsia"/>
                      <w:bCs/>
                      <w:color w:val="auto"/>
                      <w:szCs w:val="21"/>
                      <w:u w:val="none"/>
                      <w:lang w:val="en-US" w:eastAsia="zh-CN"/>
                    </w:rPr>
                    <w:t>5F，用于产品设计及设备维修</w:t>
                  </w:r>
                </w:p>
              </w:tc>
              <w:tc>
                <w:tcPr>
                  <w:tcW w:w="448" w:type="pct"/>
                  <w:vAlign w:val="center"/>
                </w:tcPr>
                <w:p w14:paraId="4F51F5D8">
                  <w:pPr>
                    <w:keepNext w:val="0"/>
                    <w:pageBreakBefore w:val="0"/>
                    <w:widowControl w:val="0"/>
                    <w:kinsoku/>
                    <w:wordWrap/>
                    <w:overflowPunct/>
                    <w:topLinePunct w:val="0"/>
                    <w:autoSpaceDE/>
                    <w:autoSpaceDN/>
                    <w:bidi w:val="0"/>
                    <w:adjustRightInd/>
                    <w:snapToGrid/>
                    <w:spacing w:before="48" w:beforeLines="15" w:after="48" w:afterLines="15"/>
                    <w:jc w:val="center"/>
                    <w:textAlignment w:val="auto"/>
                    <w:rPr>
                      <w:bCs/>
                      <w:color w:val="auto"/>
                      <w:szCs w:val="21"/>
                      <w:u w:val="none"/>
                    </w:rPr>
                  </w:pPr>
                  <w:r>
                    <w:rPr>
                      <w:rFonts w:hint="eastAsia"/>
                      <w:bCs/>
                      <w:color w:val="auto"/>
                      <w:szCs w:val="21"/>
                      <w:u w:val="none"/>
                    </w:rPr>
                    <w:t>新建</w:t>
                  </w:r>
                </w:p>
              </w:tc>
            </w:tr>
            <w:tr w14:paraId="406C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430" w:type="pct"/>
                  <w:vMerge w:val="continue"/>
                  <w:vAlign w:val="center"/>
                </w:tcPr>
                <w:p w14:paraId="1FDA1495">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u w:val="none"/>
                    </w:rPr>
                  </w:pPr>
                </w:p>
              </w:tc>
              <w:tc>
                <w:tcPr>
                  <w:tcW w:w="926" w:type="pct"/>
                  <w:vAlign w:val="center"/>
                </w:tcPr>
                <w:p w14:paraId="5240267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bCs/>
                      <w:color w:val="auto"/>
                      <w:szCs w:val="21"/>
                      <w:u w:val="none"/>
                      <w:lang w:val="en-US" w:eastAsia="zh-CN"/>
                    </w:rPr>
                  </w:pPr>
                  <w:r>
                    <w:rPr>
                      <w:rFonts w:hint="eastAsia"/>
                      <w:bCs/>
                      <w:color w:val="auto"/>
                      <w:szCs w:val="21"/>
                      <w:u w:val="none"/>
                      <w:lang w:val="en-US" w:eastAsia="zh-CN"/>
                    </w:rPr>
                    <w:t>办公楼</w:t>
                  </w:r>
                </w:p>
              </w:tc>
              <w:tc>
                <w:tcPr>
                  <w:tcW w:w="3194" w:type="pct"/>
                  <w:vAlign w:val="center"/>
                </w:tcPr>
                <w:p w14:paraId="51C39CC1">
                  <w:pPr>
                    <w:keepNext w:val="0"/>
                    <w:pageBreakBefore w:val="0"/>
                    <w:widowControl w:val="0"/>
                    <w:tabs>
                      <w:tab w:val="left" w:pos="7920"/>
                    </w:tabs>
                    <w:kinsoku/>
                    <w:wordWrap/>
                    <w:overflowPunct/>
                    <w:topLinePunct w:val="0"/>
                    <w:autoSpaceDE/>
                    <w:autoSpaceDN/>
                    <w:bidi w:val="0"/>
                    <w:adjustRightInd/>
                    <w:snapToGrid/>
                    <w:spacing w:before="48" w:beforeLines="15" w:after="48" w:afterLines="15"/>
                    <w:textAlignment w:val="auto"/>
                    <w:rPr>
                      <w:rFonts w:hint="default"/>
                      <w:bCs/>
                      <w:color w:val="auto"/>
                      <w:szCs w:val="21"/>
                      <w:u w:val="none"/>
                      <w:lang w:val="en-US"/>
                    </w:rPr>
                  </w:pPr>
                  <w:r>
                    <w:rPr>
                      <w:rFonts w:hint="eastAsia"/>
                      <w:bCs/>
                      <w:color w:val="auto"/>
                      <w:szCs w:val="21"/>
                      <w:u w:val="none"/>
                    </w:rPr>
                    <w:t>1座，占地面积</w:t>
                  </w:r>
                  <w:r>
                    <w:rPr>
                      <w:rFonts w:hint="eastAsia"/>
                      <w:bCs/>
                      <w:color w:val="auto"/>
                      <w:szCs w:val="21"/>
                      <w:u w:val="none"/>
                      <w:lang w:val="en-US" w:eastAsia="zh-CN"/>
                    </w:rPr>
                    <w:t>36</w:t>
                  </w:r>
                  <w:r>
                    <w:rPr>
                      <w:rFonts w:hint="eastAsia"/>
                      <w:bCs/>
                      <w:color w:val="auto"/>
                      <w:szCs w:val="21"/>
                      <w:u w:val="none"/>
                    </w:rPr>
                    <w:t>m</w:t>
                  </w:r>
                  <w:r>
                    <w:rPr>
                      <w:rFonts w:hint="eastAsia"/>
                      <w:bCs/>
                      <w:color w:val="auto"/>
                      <w:szCs w:val="21"/>
                      <w:u w:val="none"/>
                      <w:vertAlign w:val="superscript"/>
                    </w:rPr>
                    <w:t>2</w:t>
                  </w:r>
                  <w:r>
                    <w:rPr>
                      <w:rFonts w:hint="eastAsia"/>
                      <w:bCs/>
                      <w:color w:val="auto"/>
                      <w:szCs w:val="21"/>
                      <w:u w:val="none"/>
                    </w:rPr>
                    <w:t>，</w:t>
                  </w:r>
                  <w:r>
                    <w:rPr>
                      <w:rFonts w:hint="eastAsia"/>
                      <w:bCs/>
                      <w:color w:val="auto"/>
                      <w:szCs w:val="21"/>
                      <w:u w:val="none"/>
                      <w:lang w:val="en-US" w:eastAsia="zh-CN"/>
                    </w:rPr>
                    <w:t>3F，用于行政办公</w:t>
                  </w:r>
                </w:p>
              </w:tc>
              <w:tc>
                <w:tcPr>
                  <w:tcW w:w="448" w:type="pct"/>
                  <w:vAlign w:val="center"/>
                </w:tcPr>
                <w:p w14:paraId="78F2FD92">
                  <w:pPr>
                    <w:keepNext w:val="0"/>
                    <w:pageBreakBefore w:val="0"/>
                    <w:widowControl w:val="0"/>
                    <w:kinsoku/>
                    <w:wordWrap/>
                    <w:overflowPunct/>
                    <w:topLinePunct w:val="0"/>
                    <w:autoSpaceDE/>
                    <w:autoSpaceDN/>
                    <w:bidi w:val="0"/>
                    <w:adjustRightInd/>
                    <w:snapToGrid/>
                    <w:spacing w:before="48" w:beforeLines="15" w:after="48" w:afterLines="15"/>
                    <w:jc w:val="center"/>
                    <w:textAlignment w:val="auto"/>
                    <w:rPr>
                      <w:bCs/>
                      <w:color w:val="auto"/>
                      <w:szCs w:val="21"/>
                      <w:u w:val="none"/>
                    </w:rPr>
                  </w:pPr>
                  <w:r>
                    <w:rPr>
                      <w:rFonts w:hint="eastAsia"/>
                      <w:bCs/>
                      <w:color w:val="auto"/>
                      <w:szCs w:val="21"/>
                      <w:u w:val="none"/>
                    </w:rPr>
                    <w:t>新建</w:t>
                  </w:r>
                </w:p>
              </w:tc>
            </w:tr>
            <w:tr w14:paraId="79DB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430" w:type="pct"/>
                  <w:vMerge w:val="continue"/>
                  <w:vAlign w:val="center"/>
                </w:tcPr>
                <w:p w14:paraId="028F2C3B">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u w:val="none"/>
                    </w:rPr>
                  </w:pPr>
                </w:p>
              </w:tc>
              <w:tc>
                <w:tcPr>
                  <w:tcW w:w="926" w:type="pct"/>
                  <w:vAlign w:val="center"/>
                </w:tcPr>
                <w:p w14:paraId="546E3A8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bCs/>
                      <w:color w:val="auto"/>
                      <w:szCs w:val="21"/>
                      <w:u w:val="none"/>
                      <w:lang w:val="en-US" w:eastAsia="zh-CN"/>
                    </w:rPr>
                  </w:pPr>
                  <w:r>
                    <w:rPr>
                      <w:rFonts w:hint="eastAsia"/>
                      <w:bCs/>
                      <w:color w:val="auto"/>
                      <w:szCs w:val="21"/>
                      <w:u w:val="none"/>
                      <w:lang w:val="en-US" w:eastAsia="zh-CN"/>
                    </w:rPr>
                    <w:t>室外作业操作棚1#</w:t>
                  </w:r>
                </w:p>
              </w:tc>
              <w:tc>
                <w:tcPr>
                  <w:tcW w:w="3194" w:type="pct"/>
                  <w:vAlign w:val="center"/>
                </w:tcPr>
                <w:p w14:paraId="16C4CEA4">
                  <w:pPr>
                    <w:keepNext w:val="0"/>
                    <w:pageBreakBefore w:val="0"/>
                    <w:widowControl w:val="0"/>
                    <w:tabs>
                      <w:tab w:val="left" w:pos="7920"/>
                    </w:tabs>
                    <w:kinsoku/>
                    <w:wordWrap/>
                    <w:overflowPunct/>
                    <w:topLinePunct w:val="0"/>
                    <w:autoSpaceDE/>
                    <w:autoSpaceDN/>
                    <w:bidi w:val="0"/>
                    <w:adjustRightInd/>
                    <w:snapToGrid/>
                    <w:spacing w:before="48" w:beforeLines="15" w:after="48" w:afterLines="15"/>
                    <w:textAlignment w:val="auto"/>
                    <w:rPr>
                      <w:rFonts w:hint="eastAsia"/>
                      <w:bCs/>
                      <w:color w:val="auto"/>
                      <w:szCs w:val="21"/>
                      <w:u w:val="none"/>
                    </w:rPr>
                  </w:pPr>
                  <w:r>
                    <w:rPr>
                      <w:rFonts w:hint="eastAsia"/>
                      <w:bCs/>
                      <w:color w:val="auto"/>
                      <w:szCs w:val="21"/>
                      <w:u w:val="none"/>
                    </w:rPr>
                    <w:t>占地面积</w:t>
                  </w:r>
                  <w:r>
                    <w:rPr>
                      <w:rFonts w:hint="eastAsia"/>
                      <w:bCs/>
                      <w:color w:val="auto"/>
                      <w:szCs w:val="21"/>
                      <w:u w:val="none"/>
                      <w:lang w:val="en-US" w:eastAsia="zh-CN"/>
                    </w:rPr>
                    <w:t>238</w:t>
                  </w:r>
                  <w:r>
                    <w:rPr>
                      <w:rFonts w:hint="eastAsia"/>
                      <w:bCs/>
                      <w:color w:val="auto"/>
                      <w:szCs w:val="21"/>
                      <w:u w:val="none"/>
                    </w:rPr>
                    <w:t>m</w:t>
                  </w:r>
                  <w:r>
                    <w:rPr>
                      <w:rFonts w:hint="eastAsia"/>
                      <w:bCs/>
                      <w:color w:val="auto"/>
                      <w:szCs w:val="21"/>
                      <w:u w:val="none"/>
                      <w:vertAlign w:val="superscript"/>
                    </w:rPr>
                    <w:t>2</w:t>
                  </w:r>
                  <w:r>
                    <w:rPr>
                      <w:rFonts w:hint="eastAsia"/>
                      <w:bCs/>
                      <w:color w:val="auto"/>
                      <w:szCs w:val="21"/>
                      <w:u w:val="none"/>
                    </w:rPr>
                    <w:t>，</w:t>
                  </w:r>
                  <w:r>
                    <w:rPr>
                      <w:rFonts w:hint="eastAsia"/>
                      <w:bCs/>
                      <w:color w:val="auto"/>
                      <w:szCs w:val="21"/>
                      <w:u w:val="none"/>
                      <w:lang w:val="en-US" w:eastAsia="zh-CN"/>
                    </w:rPr>
                    <w:t>1F，钢结构，H=6m</w:t>
                  </w:r>
                </w:p>
              </w:tc>
              <w:tc>
                <w:tcPr>
                  <w:tcW w:w="448" w:type="pct"/>
                  <w:vAlign w:val="center"/>
                </w:tcPr>
                <w:p w14:paraId="1837CD8E">
                  <w:pPr>
                    <w:keepNext w:val="0"/>
                    <w:pageBreakBefore w:val="0"/>
                    <w:widowControl w:val="0"/>
                    <w:kinsoku/>
                    <w:wordWrap/>
                    <w:overflowPunct/>
                    <w:topLinePunct w:val="0"/>
                    <w:autoSpaceDE/>
                    <w:autoSpaceDN/>
                    <w:bidi w:val="0"/>
                    <w:adjustRightInd/>
                    <w:snapToGrid/>
                    <w:spacing w:before="48" w:beforeLines="15" w:after="48" w:afterLines="15"/>
                    <w:jc w:val="center"/>
                    <w:textAlignment w:val="auto"/>
                    <w:rPr>
                      <w:rFonts w:hint="eastAsia"/>
                      <w:bCs/>
                      <w:color w:val="auto"/>
                      <w:szCs w:val="21"/>
                      <w:u w:val="none"/>
                    </w:rPr>
                  </w:pPr>
                  <w:r>
                    <w:rPr>
                      <w:rFonts w:hint="eastAsia"/>
                      <w:bCs/>
                      <w:color w:val="auto"/>
                      <w:szCs w:val="21"/>
                      <w:u w:val="none"/>
                    </w:rPr>
                    <w:t>新建</w:t>
                  </w:r>
                </w:p>
              </w:tc>
            </w:tr>
            <w:tr w14:paraId="1664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430" w:type="pct"/>
                  <w:vMerge w:val="continue"/>
                  <w:vAlign w:val="center"/>
                </w:tcPr>
                <w:p w14:paraId="113B3C32">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u w:val="none"/>
                    </w:rPr>
                  </w:pPr>
                </w:p>
              </w:tc>
              <w:tc>
                <w:tcPr>
                  <w:tcW w:w="926" w:type="pct"/>
                  <w:vAlign w:val="center"/>
                </w:tcPr>
                <w:p w14:paraId="419551CF">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bCs/>
                      <w:color w:val="auto"/>
                      <w:szCs w:val="21"/>
                      <w:u w:val="none"/>
                      <w:lang w:val="en-US" w:eastAsia="zh-CN"/>
                    </w:rPr>
                  </w:pPr>
                  <w:r>
                    <w:rPr>
                      <w:rFonts w:hint="eastAsia"/>
                      <w:bCs/>
                      <w:color w:val="auto"/>
                      <w:szCs w:val="21"/>
                      <w:u w:val="none"/>
                      <w:lang w:val="en-US" w:eastAsia="zh-CN"/>
                    </w:rPr>
                    <w:t>室外作业操作棚2#</w:t>
                  </w:r>
                </w:p>
              </w:tc>
              <w:tc>
                <w:tcPr>
                  <w:tcW w:w="3194" w:type="pct"/>
                  <w:vAlign w:val="center"/>
                </w:tcPr>
                <w:p w14:paraId="3E0E0DC3">
                  <w:pPr>
                    <w:keepNext w:val="0"/>
                    <w:pageBreakBefore w:val="0"/>
                    <w:widowControl w:val="0"/>
                    <w:tabs>
                      <w:tab w:val="left" w:pos="7920"/>
                    </w:tabs>
                    <w:kinsoku/>
                    <w:wordWrap/>
                    <w:overflowPunct/>
                    <w:topLinePunct w:val="0"/>
                    <w:autoSpaceDE/>
                    <w:autoSpaceDN/>
                    <w:bidi w:val="0"/>
                    <w:adjustRightInd/>
                    <w:snapToGrid/>
                    <w:spacing w:before="48" w:beforeLines="15" w:after="48" w:afterLines="15"/>
                    <w:textAlignment w:val="auto"/>
                    <w:rPr>
                      <w:rFonts w:hint="eastAsia"/>
                      <w:bCs/>
                      <w:color w:val="auto"/>
                      <w:szCs w:val="21"/>
                      <w:u w:val="none"/>
                    </w:rPr>
                  </w:pPr>
                  <w:r>
                    <w:rPr>
                      <w:rFonts w:hint="eastAsia"/>
                      <w:bCs/>
                      <w:color w:val="auto"/>
                      <w:szCs w:val="21"/>
                      <w:u w:val="none"/>
                    </w:rPr>
                    <w:t>占地面积</w:t>
                  </w:r>
                  <w:r>
                    <w:rPr>
                      <w:rFonts w:hint="eastAsia"/>
                      <w:bCs/>
                      <w:color w:val="auto"/>
                      <w:szCs w:val="21"/>
                      <w:u w:val="none"/>
                      <w:lang w:val="en-US" w:eastAsia="zh-CN"/>
                    </w:rPr>
                    <w:t>1785</w:t>
                  </w:r>
                  <w:r>
                    <w:rPr>
                      <w:rFonts w:hint="eastAsia"/>
                      <w:bCs/>
                      <w:color w:val="auto"/>
                      <w:szCs w:val="21"/>
                      <w:u w:val="none"/>
                    </w:rPr>
                    <w:t>m</w:t>
                  </w:r>
                  <w:r>
                    <w:rPr>
                      <w:rFonts w:hint="eastAsia"/>
                      <w:bCs/>
                      <w:color w:val="auto"/>
                      <w:szCs w:val="21"/>
                      <w:u w:val="none"/>
                      <w:vertAlign w:val="superscript"/>
                    </w:rPr>
                    <w:t>2</w:t>
                  </w:r>
                  <w:r>
                    <w:rPr>
                      <w:rFonts w:hint="eastAsia"/>
                      <w:bCs/>
                      <w:color w:val="auto"/>
                      <w:szCs w:val="21"/>
                      <w:u w:val="none"/>
                    </w:rPr>
                    <w:t>，</w:t>
                  </w:r>
                  <w:r>
                    <w:rPr>
                      <w:rFonts w:hint="eastAsia"/>
                      <w:bCs/>
                      <w:color w:val="auto"/>
                      <w:szCs w:val="21"/>
                      <w:u w:val="none"/>
                      <w:lang w:val="en-US" w:eastAsia="zh-CN"/>
                    </w:rPr>
                    <w:t>1F，钢结构，H=15.5m</w:t>
                  </w:r>
                </w:p>
              </w:tc>
              <w:tc>
                <w:tcPr>
                  <w:tcW w:w="448" w:type="pct"/>
                  <w:vAlign w:val="center"/>
                </w:tcPr>
                <w:p w14:paraId="60DE8F89">
                  <w:pPr>
                    <w:keepNext w:val="0"/>
                    <w:pageBreakBefore w:val="0"/>
                    <w:widowControl w:val="0"/>
                    <w:kinsoku/>
                    <w:wordWrap/>
                    <w:overflowPunct/>
                    <w:topLinePunct w:val="0"/>
                    <w:autoSpaceDE/>
                    <w:autoSpaceDN/>
                    <w:bidi w:val="0"/>
                    <w:adjustRightInd/>
                    <w:snapToGrid/>
                    <w:spacing w:before="48" w:beforeLines="15" w:after="48" w:afterLines="15"/>
                    <w:jc w:val="center"/>
                    <w:textAlignment w:val="auto"/>
                    <w:rPr>
                      <w:rFonts w:hint="eastAsia"/>
                      <w:bCs/>
                      <w:color w:val="auto"/>
                      <w:szCs w:val="21"/>
                      <w:u w:val="none"/>
                    </w:rPr>
                  </w:pPr>
                  <w:r>
                    <w:rPr>
                      <w:rFonts w:hint="eastAsia"/>
                      <w:bCs/>
                      <w:color w:val="auto"/>
                      <w:szCs w:val="21"/>
                      <w:u w:val="none"/>
                    </w:rPr>
                    <w:t>新建</w:t>
                  </w:r>
                </w:p>
              </w:tc>
            </w:tr>
            <w:tr w14:paraId="6C2E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30" w:type="pct"/>
                  <w:vMerge w:val="restart"/>
                  <w:vAlign w:val="center"/>
                </w:tcPr>
                <w:p w14:paraId="60882ADD">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rPr>
                  </w:pPr>
                  <w:r>
                    <w:rPr>
                      <w:color w:val="auto"/>
                      <w:szCs w:val="21"/>
                    </w:rPr>
                    <w:t>公用工程</w:t>
                  </w:r>
                </w:p>
              </w:tc>
              <w:tc>
                <w:tcPr>
                  <w:tcW w:w="926" w:type="pct"/>
                  <w:vAlign w:val="center"/>
                </w:tcPr>
                <w:p w14:paraId="55FCEFFA">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rPr>
                  </w:pPr>
                  <w:r>
                    <w:rPr>
                      <w:color w:val="auto"/>
                      <w:szCs w:val="21"/>
                    </w:rPr>
                    <w:t>供水</w:t>
                  </w:r>
                </w:p>
              </w:tc>
              <w:tc>
                <w:tcPr>
                  <w:tcW w:w="3194" w:type="pct"/>
                  <w:shd w:val="clear" w:color="auto" w:fill="auto"/>
                </w:tcPr>
                <w:p w14:paraId="350209A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both"/>
                    <w:textAlignment w:val="auto"/>
                    <w:rPr>
                      <w:color w:val="auto"/>
                      <w:szCs w:val="21"/>
                    </w:rPr>
                  </w:pPr>
                  <w:r>
                    <w:rPr>
                      <w:rFonts w:hint="eastAsia"/>
                      <w:color w:val="auto"/>
                      <w:szCs w:val="21"/>
                    </w:rPr>
                    <w:t>市政管网供给</w:t>
                  </w:r>
                </w:p>
              </w:tc>
              <w:tc>
                <w:tcPr>
                  <w:tcW w:w="448" w:type="pct"/>
                  <w:vAlign w:val="center"/>
                </w:tcPr>
                <w:p w14:paraId="159AA1A0">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rPr>
                  </w:pPr>
                  <w:r>
                    <w:rPr>
                      <w:rFonts w:hint="eastAsia"/>
                      <w:bCs/>
                      <w:color w:val="auto"/>
                      <w:szCs w:val="21"/>
                    </w:rPr>
                    <w:t>/</w:t>
                  </w:r>
                </w:p>
              </w:tc>
            </w:tr>
            <w:tr w14:paraId="34F5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30" w:type="pct"/>
                  <w:vMerge w:val="continue"/>
                  <w:vAlign w:val="center"/>
                </w:tcPr>
                <w:p w14:paraId="256E0EEA">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p>
              </w:tc>
              <w:tc>
                <w:tcPr>
                  <w:tcW w:w="926" w:type="pct"/>
                  <w:vAlign w:val="center"/>
                </w:tcPr>
                <w:p w14:paraId="2BE888FA">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r>
                    <w:rPr>
                      <w:color w:val="auto"/>
                      <w:szCs w:val="21"/>
                    </w:rPr>
                    <w:t>供电</w:t>
                  </w:r>
                </w:p>
              </w:tc>
              <w:tc>
                <w:tcPr>
                  <w:tcW w:w="3194" w:type="pct"/>
                  <w:shd w:val="clear" w:color="auto" w:fill="auto"/>
                </w:tcPr>
                <w:p w14:paraId="1D15D2B0">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both"/>
                    <w:textAlignment w:val="auto"/>
                    <w:rPr>
                      <w:color w:val="auto"/>
                      <w:szCs w:val="21"/>
                    </w:rPr>
                  </w:pPr>
                  <w:r>
                    <w:rPr>
                      <w:color w:val="auto"/>
                      <w:szCs w:val="21"/>
                    </w:rPr>
                    <w:t>当地电网统一供给</w:t>
                  </w:r>
                </w:p>
              </w:tc>
              <w:tc>
                <w:tcPr>
                  <w:tcW w:w="448" w:type="pct"/>
                  <w:vAlign w:val="center"/>
                </w:tcPr>
                <w:p w14:paraId="4FFAE974">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rPr>
                  </w:pPr>
                  <w:r>
                    <w:rPr>
                      <w:rFonts w:hint="eastAsia"/>
                      <w:bCs/>
                      <w:color w:val="auto"/>
                      <w:szCs w:val="21"/>
                    </w:rPr>
                    <w:t>/</w:t>
                  </w:r>
                </w:p>
              </w:tc>
            </w:tr>
            <w:tr w14:paraId="4A3A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30" w:type="pct"/>
                  <w:vMerge w:val="continue"/>
                  <w:vAlign w:val="center"/>
                </w:tcPr>
                <w:p w14:paraId="4D52B3C0">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p>
              </w:tc>
              <w:tc>
                <w:tcPr>
                  <w:tcW w:w="926" w:type="pct"/>
                  <w:vAlign w:val="center"/>
                </w:tcPr>
                <w:p w14:paraId="7E023881">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r>
                    <w:rPr>
                      <w:color w:val="auto"/>
                      <w:szCs w:val="21"/>
                    </w:rPr>
                    <w:t>排水</w:t>
                  </w:r>
                </w:p>
              </w:tc>
              <w:tc>
                <w:tcPr>
                  <w:tcW w:w="3194" w:type="pct"/>
                  <w:vAlign w:val="center"/>
                </w:tcPr>
                <w:p w14:paraId="13D96078">
                  <w:pPr>
                    <w:keepNext w:val="0"/>
                    <w:pageBreakBefore w:val="0"/>
                    <w:widowControl w:val="0"/>
                    <w:tabs>
                      <w:tab w:val="left" w:pos="7920"/>
                    </w:tabs>
                    <w:kinsoku/>
                    <w:wordWrap/>
                    <w:overflowPunct/>
                    <w:topLinePunct w:val="0"/>
                    <w:autoSpaceDE/>
                    <w:autoSpaceDN/>
                    <w:bidi w:val="0"/>
                    <w:adjustRightInd/>
                    <w:snapToGrid/>
                    <w:spacing w:before="48" w:beforeLines="15" w:after="48" w:afterLines="15"/>
                    <w:textAlignment w:val="auto"/>
                    <w:rPr>
                      <w:bCs/>
                      <w:color w:val="auto"/>
                      <w:szCs w:val="21"/>
                    </w:rPr>
                  </w:pPr>
                  <w:r>
                    <w:rPr>
                      <w:rFonts w:hint="eastAsia"/>
                      <w:bCs/>
                      <w:color w:val="auto"/>
                      <w:szCs w:val="21"/>
                    </w:rPr>
                    <w:t>本项目员工</w:t>
                  </w:r>
                  <w:r>
                    <w:rPr>
                      <w:rFonts w:hint="eastAsia"/>
                      <w:bCs/>
                      <w:color w:val="auto"/>
                      <w:szCs w:val="21"/>
                      <w:lang w:val="en-US" w:eastAsia="zh-CN"/>
                    </w:rPr>
                    <w:t>3</w:t>
                  </w:r>
                  <w:r>
                    <w:rPr>
                      <w:rFonts w:hint="eastAsia"/>
                      <w:bCs/>
                      <w:color w:val="auto"/>
                      <w:szCs w:val="21"/>
                    </w:rPr>
                    <w:t>0人，生活污水化粪池处理后进清丰中州水务有限公司第二污水处理厂</w:t>
                  </w:r>
                </w:p>
              </w:tc>
              <w:tc>
                <w:tcPr>
                  <w:tcW w:w="448" w:type="pct"/>
                  <w:vAlign w:val="center"/>
                </w:tcPr>
                <w:p w14:paraId="29092848">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rPr>
                  </w:pPr>
                  <w:r>
                    <w:rPr>
                      <w:rFonts w:hint="eastAsia"/>
                      <w:bCs/>
                      <w:color w:val="auto"/>
                      <w:szCs w:val="21"/>
                    </w:rPr>
                    <w:t>/</w:t>
                  </w:r>
                </w:p>
              </w:tc>
            </w:tr>
            <w:tr w14:paraId="496A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30" w:type="pct"/>
                  <w:vMerge w:val="restart"/>
                  <w:vAlign w:val="center"/>
                </w:tcPr>
                <w:p w14:paraId="7282531E">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r>
                    <w:rPr>
                      <w:color w:val="auto"/>
                      <w:szCs w:val="21"/>
                    </w:rPr>
                    <w:t>环保工程</w:t>
                  </w:r>
                </w:p>
              </w:tc>
              <w:tc>
                <w:tcPr>
                  <w:tcW w:w="926" w:type="pct"/>
                  <w:vMerge w:val="restart"/>
                  <w:vAlign w:val="center"/>
                </w:tcPr>
                <w:p w14:paraId="71B8F04D">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r>
                    <w:rPr>
                      <w:color w:val="auto"/>
                      <w:szCs w:val="21"/>
                    </w:rPr>
                    <w:t>废气</w:t>
                  </w:r>
                </w:p>
              </w:tc>
              <w:tc>
                <w:tcPr>
                  <w:tcW w:w="3194" w:type="pct"/>
                  <w:vAlign w:val="center"/>
                </w:tcPr>
                <w:p w14:paraId="652E588A">
                  <w:pPr>
                    <w:keepNext w:val="0"/>
                    <w:pageBreakBefore w:val="0"/>
                    <w:widowControl w:val="0"/>
                    <w:tabs>
                      <w:tab w:val="left" w:pos="7920"/>
                    </w:tabs>
                    <w:kinsoku/>
                    <w:wordWrap/>
                    <w:overflowPunct/>
                    <w:topLinePunct w:val="0"/>
                    <w:autoSpaceDE/>
                    <w:autoSpaceDN/>
                    <w:bidi w:val="0"/>
                    <w:adjustRightInd/>
                    <w:snapToGrid/>
                    <w:spacing w:before="48" w:beforeLines="15" w:after="48" w:afterLines="15"/>
                    <w:textAlignment w:val="auto"/>
                    <w:rPr>
                      <w:rFonts w:hint="default" w:eastAsia="宋体"/>
                      <w:bCs/>
                      <w:color w:val="auto"/>
                      <w:szCs w:val="21"/>
                      <w:lang w:val="en-US" w:eastAsia="zh-CN"/>
                    </w:rPr>
                  </w:pPr>
                  <w:r>
                    <w:rPr>
                      <w:rFonts w:hint="eastAsia"/>
                      <w:bCs/>
                      <w:color w:val="auto"/>
                      <w:szCs w:val="21"/>
                      <w:lang w:val="en-US" w:eastAsia="zh-CN"/>
                    </w:rPr>
                    <w:t>切割、焊接废气：集气装置+袋式除尘器+</w:t>
                  </w:r>
                  <w:r>
                    <w:rPr>
                      <w:rFonts w:hint="default" w:eastAsia="宋体"/>
                      <w:bCs/>
                      <w:color w:val="auto"/>
                      <w:szCs w:val="21"/>
                      <w:lang w:val="en-US" w:eastAsia="zh-CN"/>
                    </w:rPr>
                    <w:t>1</w:t>
                  </w:r>
                  <w:r>
                    <w:rPr>
                      <w:rFonts w:hint="eastAsia"/>
                      <w:bCs/>
                      <w:color w:val="auto"/>
                      <w:szCs w:val="21"/>
                      <w:lang w:val="en-US" w:eastAsia="zh-CN"/>
                    </w:rPr>
                    <w:t>5</w:t>
                  </w:r>
                  <w:r>
                    <w:rPr>
                      <w:rFonts w:hint="default" w:eastAsia="宋体"/>
                      <w:bCs/>
                      <w:color w:val="auto"/>
                      <w:szCs w:val="21"/>
                      <w:lang w:val="en-US" w:eastAsia="zh-CN"/>
                    </w:rPr>
                    <w:t>m排气筒（</w:t>
                  </w:r>
                  <w:r>
                    <w:rPr>
                      <w:rFonts w:hint="eastAsia"/>
                      <w:bCs/>
                      <w:color w:val="auto"/>
                      <w:szCs w:val="21"/>
                      <w:lang w:val="en-US" w:eastAsia="zh-CN"/>
                    </w:rPr>
                    <w:t>DA001</w:t>
                  </w:r>
                  <w:r>
                    <w:rPr>
                      <w:rFonts w:hint="default" w:eastAsia="宋体"/>
                      <w:bCs/>
                      <w:color w:val="auto"/>
                      <w:szCs w:val="21"/>
                      <w:lang w:val="en-US" w:eastAsia="zh-CN"/>
                    </w:rPr>
                    <w:t>）排放</w:t>
                  </w:r>
                </w:p>
              </w:tc>
              <w:tc>
                <w:tcPr>
                  <w:tcW w:w="448" w:type="pct"/>
                  <w:vMerge w:val="restart"/>
                  <w:vAlign w:val="center"/>
                </w:tcPr>
                <w:p w14:paraId="3CD489A4">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rPr>
                  </w:pPr>
                  <w:r>
                    <w:rPr>
                      <w:rFonts w:hint="eastAsia"/>
                      <w:bCs/>
                      <w:color w:val="auto"/>
                      <w:szCs w:val="21"/>
                    </w:rPr>
                    <w:t>新建</w:t>
                  </w:r>
                </w:p>
              </w:tc>
            </w:tr>
            <w:tr w14:paraId="7650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30" w:type="pct"/>
                  <w:vMerge w:val="continue"/>
                  <w:vAlign w:val="center"/>
                </w:tcPr>
                <w:p w14:paraId="0DD28749">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p>
              </w:tc>
              <w:tc>
                <w:tcPr>
                  <w:tcW w:w="926" w:type="pct"/>
                  <w:vMerge w:val="continue"/>
                  <w:vAlign w:val="center"/>
                </w:tcPr>
                <w:p w14:paraId="2AE604E1">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p>
              </w:tc>
              <w:tc>
                <w:tcPr>
                  <w:tcW w:w="3194" w:type="pct"/>
                  <w:vAlign w:val="center"/>
                </w:tcPr>
                <w:p w14:paraId="696E91C3">
                  <w:pPr>
                    <w:keepNext w:val="0"/>
                    <w:pageBreakBefore w:val="0"/>
                    <w:widowControl w:val="0"/>
                    <w:tabs>
                      <w:tab w:val="left" w:pos="7920"/>
                    </w:tabs>
                    <w:kinsoku/>
                    <w:wordWrap/>
                    <w:overflowPunct/>
                    <w:topLinePunct w:val="0"/>
                    <w:autoSpaceDE/>
                    <w:autoSpaceDN/>
                    <w:bidi w:val="0"/>
                    <w:adjustRightInd/>
                    <w:snapToGrid/>
                    <w:spacing w:before="48" w:beforeLines="15" w:after="48" w:afterLines="15"/>
                    <w:textAlignment w:val="auto"/>
                    <w:rPr>
                      <w:rFonts w:hint="default" w:eastAsia="宋体"/>
                      <w:bCs/>
                      <w:color w:val="auto"/>
                      <w:szCs w:val="21"/>
                      <w:lang w:val="en-US" w:eastAsia="zh-CN"/>
                    </w:rPr>
                  </w:pPr>
                  <w:r>
                    <w:rPr>
                      <w:rFonts w:hint="default" w:eastAsia="宋体"/>
                      <w:bCs/>
                      <w:color w:val="auto"/>
                      <w:szCs w:val="21"/>
                      <w:lang w:val="en-US" w:eastAsia="zh-CN"/>
                    </w:rPr>
                    <w:t>防锈挥发有机废气</w:t>
                  </w:r>
                  <w:r>
                    <w:rPr>
                      <w:rFonts w:hint="eastAsia"/>
                      <w:bCs/>
                      <w:color w:val="auto"/>
                      <w:szCs w:val="21"/>
                      <w:lang w:val="en-US" w:eastAsia="zh-CN"/>
                    </w:rPr>
                    <w:t>：负压收集+活性炭+分子筛吸附+</w:t>
                  </w:r>
                  <w:r>
                    <w:rPr>
                      <w:rFonts w:hint="default" w:eastAsia="宋体"/>
                      <w:bCs/>
                      <w:color w:val="auto"/>
                      <w:szCs w:val="21"/>
                      <w:lang w:val="en-US" w:eastAsia="zh-CN"/>
                    </w:rPr>
                    <w:t>1</w:t>
                  </w:r>
                  <w:r>
                    <w:rPr>
                      <w:rFonts w:hint="eastAsia"/>
                      <w:bCs/>
                      <w:color w:val="auto"/>
                      <w:szCs w:val="21"/>
                      <w:lang w:val="en-US" w:eastAsia="zh-CN"/>
                    </w:rPr>
                    <w:t>5</w:t>
                  </w:r>
                  <w:r>
                    <w:rPr>
                      <w:rFonts w:hint="default" w:eastAsia="宋体"/>
                      <w:bCs/>
                      <w:color w:val="auto"/>
                      <w:szCs w:val="21"/>
                      <w:lang w:val="en-US" w:eastAsia="zh-CN"/>
                    </w:rPr>
                    <w:t>m排气筒（</w:t>
                  </w:r>
                  <w:r>
                    <w:rPr>
                      <w:rFonts w:hint="eastAsia"/>
                      <w:bCs/>
                      <w:color w:val="auto"/>
                      <w:szCs w:val="21"/>
                      <w:lang w:val="en-US" w:eastAsia="zh-CN"/>
                    </w:rPr>
                    <w:t>DA002</w:t>
                  </w:r>
                  <w:r>
                    <w:rPr>
                      <w:rFonts w:hint="default" w:eastAsia="宋体"/>
                      <w:bCs/>
                      <w:color w:val="auto"/>
                      <w:szCs w:val="21"/>
                      <w:lang w:val="en-US" w:eastAsia="zh-CN"/>
                    </w:rPr>
                    <w:t>）排放</w:t>
                  </w:r>
                </w:p>
              </w:tc>
              <w:tc>
                <w:tcPr>
                  <w:tcW w:w="448" w:type="pct"/>
                  <w:vMerge w:val="continue"/>
                  <w:vAlign w:val="center"/>
                </w:tcPr>
                <w:p w14:paraId="40639D0D">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rFonts w:hint="eastAsia"/>
                      <w:bCs/>
                      <w:color w:val="auto"/>
                      <w:szCs w:val="21"/>
                    </w:rPr>
                  </w:pPr>
                </w:p>
              </w:tc>
            </w:tr>
            <w:tr w14:paraId="354B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0" w:type="pct"/>
                  <w:vMerge w:val="continue"/>
                  <w:vAlign w:val="center"/>
                </w:tcPr>
                <w:p w14:paraId="1E06E42E">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p>
              </w:tc>
              <w:tc>
                <w:tcPr>
                  <w:tcW w:w="926" w:type="pct"/>
                  <w:vAlign w:val="center"/>
                </w:tcPr>
                <w:p w14:paraId="440DCFB5">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r>
                    <w:rPr>
                      <w:color w:val="auto"/>
                      <w:szCs w:val="21"/>
                    </w:rPr>
                    <w:t>废水</w:t>
                  </w:r>
                </w:p>
              </w:tc>
              <w:tc>
                <w:tcPr>
                  <w:tcW w:w="3194" w:type="pct"/>
                  <w:vAlign w:val="center"/>
                </w:tcPr>
                <w:p w14:paraId="63D0ACE6">
                  <w:pPr>
                    <w:keepNext w:val="0"/>
                    <w:pageBreakBefore w:val="0"/>
                    <w:widowControl w:val="0"/>
                    <w:tabs>
                      <w:tab w:val="left" w:pos="7920"/>
                    </w:tabs>
                    <w:kinsoku/>
                    <w:wordWrap/>
                    <w:overflowPunct/>
                    <w:topLinePunct w:val="0"/>
                    <w:autoSpaceDE/>
                    <w:autoSpaceDN/>
                    <w:bidi w:val="0"/>
                    <w:adjustRightInd/>
                    <w:snapToGrid/>
                    <w:spacing w:before="48" w:beforeLines="15" w:after="48" w:afterLines="15"/>
                    <w:textAlignment w:val="auto"/>
                    <w:rPr>
                      <w:bCs/>
                      <w:color w:val="auto"/>
                      <w:szCs w:val="21"/>
                    </w:rPr>
                  </w:pPr>
                  <w:r>
                    <w:rPr>
                      <w:rFonts w:hint="default" w:ascii="Times New Roman" w:hAnsi="Times New Roman" w:eastAsia="宋体" w:cs="Times New Roman"/>
                      <w:color w:val="auto"/>
                      <w:szCs w:val="21"/>
                      <w:highlight w:val="none"/>
                      <w:lang w:eastAsia="zh-CN"/>
                    </w:rPr>
                    <w:t>生活污水经化粪池处理后进清丰中州水务有限公司第二污水处理</w:t>
                  </w:r>
                </w:p>
              </w:tc>
              <w:tc>
                <w:tcPr>
                  <w:tcW w:w="448" w:type="pct"/>
                  <w:vAlign w:val="center"/>
                </w:tcPr>
                <w:p w14:paraId="6A2E7C84">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rPr>
                  </w:pPr>
                  <w:r>
                    <w:rPr>
                      <w:rFonts w:hint="eastAsia"/>
                      <w:bCs/>
                      <w:color w:val="auto"/>
                      <w:szCs w:val="21"/>
                    </w:rPr>
                    <w:t>新建</w:t>
                  </w:r>
                </w:p>
              </w:tc>
            </w:tr>
            <w:tr w14:paraId="03B5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30" w:type="pct"/>
                  <w:vMerge w:val="continue"/>
                  <w:vAlign w:val="center"/>
                </w:tcPr>
                <w:p w14:paraId="7A38462B">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p>
              </w:tc>
              <w:tc>
                <w:tcPr>
                  <w:tcW w:w="926" w:type="pct"/>
                  <w:vAlign w:val="center"/>
                </w:tcPr>
                <w:p w14:paraId="794FB641">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r>
                    <w:rPr>
                      <w:color w:val="auto"/>
                      <w:szCs w:val="21"/>
                    </w:rPr>
                    <w:t>噪声</w:t>
                  </w:r>
                </w:p>
              </w:tc>
              <w:tc>
                <w:tcPr>
                  <w:tcW w:w="3194" w:type="pct"/>
                  <w:vAlign w:val="center"/>
                </w:tcPr>
                <w:p w14:paraId="61D00579">
                  <w:pPr>
                    <w:keepNext w:val="0"/>
                    <w:pageBreakBefore w:val="0"/>
                    <w:widowControl w:val="0"/>
                    <w:tabs>
                      <w:tab w:val="left" w:pos="7920"/>
                    </w:tabs>
                    <w:kinsoku/>
                    <w:wordWrap/>
                    <w:overflowPunct/>
                    <w:topLinePunct w:val="0"/>
                    <w:autoSpaceDE/>
                    <w:autoSpaceDN/>
                    <w:bidi w:val="0"/>
                    <w:adjustRightInd/>
                    <w:snapToGrid/>
                    <w:spacing w:before="48" w:beforeLines="15" w:after="48" w:afterLines="15"/>
                    <w:textAlignment w:val="auto"/>
                    <w:rPr>
                      <w:bCs/>
                      <w:color w:val="auto"/>
                      <w:szCs w:val="21"/>
                    </w:rPr>
                  </w:pPr>
                  <w:r>
                    <w:rPr>
                      <w:rFonts w:hint="default" w:ascii="Times New Roman" w:hAnsi="Times New Roman" w:eastAsia="宋体" w:cs="Times New Roman"/>
                      <w:color w:val="auto"/>
                      <w:szCs w:val="21"/>
                      <w:highlight w:val="none"/>
                      <w:lang w:eastAsia="zh-CN"/>
                    </w:rPr>
                    <w:t>设备通过加装减振垫和墙体隔音降噪，车辆采取降低车速、禁止鸣笛等措施</w:t>
                  </w:r>
                </w:p>
              </w:tc>
              <w:tc>
                <w:tcPr>
                  <w:tcW w:w="448" w:type="pct"/>
                  <w:vAlign w:val="center"/>
                </w:tcPr>
                <w:p w14:paraId="031A0418">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bCs/>
                      <w:color w:val="auto"/>
                      <w:szCs w:val="21"/>
                    </w:rPr>
                  </w:pPr>
                  <w:r>
                    <w:rPr>
                      <w:rFonts w:hint="eastAsia"/>
                      <w:bCs/>
                      <w:color w:val="auto"/>
                      <w:szCs w:val="21"/>
                    </w:rPr>
                    <w:t>新建</w:t>
                  </w:r>
                </w:p>
              </w:tc>
            </w:tr>
            <w:tr w14:paraId="2388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430" w:type="pct"/>
                  <w:vMerge w:val="continue"/>
                  <w:vAlign w:val="center"/>
                </w:tcPr>
                <w:p w14:paraId="6ACB08C1">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p>
              </w:tc>
              <w:tc>
                <w:tcPr>
                  <w:tcW w:w="926" w:type="pct"/>
                  <w:vAlign w:val="center"/>
                </w:tcPr>
                <w:p w14:paraId="46923CCD">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r>
                    <w:rPr>
                      <w:color w:val="auto"/>
                      <w:szCs w:val="21"/>
                    </w:rPr>
                    <w:t>固体废物</w:t>
                  </w:r>
                </w:p>
              </w:tc>
              <w:tc>
                <w:tcPr>
                  <w:tcW w:w="3194" w:type="pct"/>
                  <w:vAlign w:val="center"/>
                </w:tcPr>
                <w:p w14:paraId="63A73652">
                  <w:pPr>
                    <w:keepNext w:val="0"/>
                    <w:pageBreakBefore w:val="0"/>
                    <w:widowControl w:val="0"/>
                    <w:tabs>
                      <w:tab w:val="left" w:pos="7920"/>
                    </w:tabs>
                    <w:kinsoku/>
                    <w:wordWrap/>
                    <w:overflowPunct/>
                    <w:topLinePunct w:val="0"/>
                    <w:autoSpaceDE/>
                    <w:autoSpaceDN/>
                    <w:bidi w:val="0"/>
                    <w:adjustRightInd/>
                    <w:snapToGrid/>
                    <w:spacing w:before="48" w:beforeLines="15" w:after="48" w:afterLines="15"/>
                    <w:textAlignment w:val="auto"/>
                    <w:rPr>
                      <w:rFonts w:hint="eastAsia" w:eastAsia="宋体"/>
                      <w:color w:val="auto"/>
                      <w:szCs w:val="21"/>
                      <w:lang w:val="en-US" w:eastAsia="zh-CN"/>
                    </w:rPr>
                  </w:pPr>
                  <w:r>
                    <w:rPr>
                      <w:color w:val="auto"/>
                      <w:szCs w:val="21"/>
                    </w:rPr>
                    <w:t>危险废物暂存于危废暂存间</w:t>
                  </w:r>
                  <w:r>
                    <w:rPr>
                      <w:rFonts w:hint="eastAsia"/>
                      <w:color w:val="auto"/>
                      <w:szCs w:val="21"/>
                      <w:lang w:eastAsia="zh-CN"/>
                    </w:rPr>
                    <w:t>（</w:t>
                  </w:r>
                  <w:r>
                    <w:rPr>
                      <w:rFonts w:hint="eastAsia"/>
                      <w:color w:val="auto"/>
                      <w:szCs w:val="21"/>
                      <w:lang w:val="en-US" w:eastAsia="zh-CN"/>
                    </w:rPr>
                    <w:t>1座，20m</w:t>
                  </w:r>
                  <w:r>
                    <w:rPr>
                      <w:rFonts w:hint="eastAsia"/>
                      <w:color w:val="auto"/>
                      <w:szCs w:val="21"/>
                      <w:vertAlign w:val="superscript"/>
                      <w:lang w:val="en-US" w:eastAsia="zh-CN"/>
                    </w:rPr>
                    <w:t>2</w:t>
                  </w:r>
                  <w:r>
                    <w:rPr>
                      <w:rFonts w:hint="eastAsia"/>
                      <w:color w:val="auto"/>
                      <w:szCs w:val="21"/>
                      <w:lang w:eastAsia="zh-CN"/>
                    </w:rPr>
                    <w:t>）</w:t>
                  </w:r>
                  <w:r>
                    <w:rPr>
                      <w:color w:val="auto"/>
                      <w:szCs w:val="21"/>
                    </w:rPr>
                    <w:t>，定期交有资质单位处理</w:t>
                  </w:r>
                  <w:r>
                    <w:rPr>
                      <w:rFonts w:hint="eastAsia"/>
                      <w:color w:val="auto"/>
                      <w:szCs w:val="21"/>
                      <w:lang w:eastAsia="zh-CN"/>
                    </w:rPr>
                    <w:t>；</w:t>
                  </w:r>
                  <w:r>
                    <w:rPr>
                      <w:rFonts w:hint="eastAsia"/>
                      <w:color w:val="auto"/>
                      <w:szCs w:val="21"/>
                      <w:lang w:val="en-US" w:eastAsia="zh-CN"/>
                    </w:rPr>
                    <w:t>一般固废暂存于一般固废暂存间</w:t>
                  </w:r>
                  <w:r>
                    <w:rPr>
                      <w:rFonts w:hint="eastAsia"/>
                      <w:color w:val="auto"/>
                      <w:szCs w:val="21"/>
                      <w:lang w:eastAsia="zh-CN"/>
                    </w:rPr>
                    <w:t>（</w:t>
                  </w:r>
                  <w:r>
                    <w:rPr>
                      <w:rFonts w:hint="eastAsia"/>
                      <w:color w:val="auto"/>
                      <w:szCs w:val="21"/>
                      <w:lang w:val="en-US" w:eastAsia="zh-CN"/>
                    </w:rPr>
                    <w:t>1座，50m</w:t>
                  </w:r>
                  <w:r>
                    <w:rPr>
                      <w:rFonts w:hint="eastAsia"/>
                      <w:color w:val="auto"/>
                      <w:szCs w:val="21"/>
                      <w:vertAlign w:val="superscript"/>
                      <w:lang w:val="en-US" w:eastAsia="zh-CN"/>
                    </w:rPr>
                    <w:t>2</w:t>
                  </w:r>
                  <w:r>
                    <w:rPr>
                      <w:rFonts w:hint="eastAsia"/>
                      <w:color w:val="auto"/>
                      <w:szCs w:val="21"/>
                      <w:lang w:eastAsia="zh-CN"/>
                    </w:rPr>
                    <w:t>）</w:t>
                  </w:r>
                  <w:r>
                    <w:rPr>
                      <w:color w:val="auto"/>
                      <w:szCs w:val="21"/>
                    </w:rPr>
                    <w:t>，</w:t>
                  </w:r>
                  <w:r>
                    <w:rPr>
                      <w:rFonts w:hint="eastAsia"/>
                      <w:color w:val="auto"/>
                      <w:szCs w:val="21"/>
                      <w:lang w:val="en-US" w:eastAsia="zh-CN"/>
                    </w:rPr>
                    <w:t>定期外售</w:t>
                  </w:r>
                </w:p>
              </w:tc>
              <w:tc>
                <w:tcPr>
                  <w:tcW w:w="448" w:type="pct"/>
                  <w:vAlign w:val="center"/>
                </w:tcPr>
                <w:p w14:paraId="375195F2">
                  <w:pPr>
                    <w:keepNext w:val="0"/>
                    <w:pageBreakBefore w:val="0"/>
                    <w:widowControl w:val="0"/>
                    <w:tabs>
                      <w:tab w:val="left" w:pos="7920"/>
                    </w:tabs>
                    <w:kinsoku/>
                    <w:wordWrap/>
                    <w:overflowPunct/>
                    <w:topLinePunct w:val="0"/>
                    <w:autoSpaceDE/>
                    <w:autoSpaceDN/>
                    <w:bidi w:val="0"/>
                    <w:adjustRightInd/>
                    <w:snapToGrid/>
                    <w:spacing w:before="48" w:beforeLines="15" w:after="48" w:afterLines="15"/>
                    <w:jc w:val="center"/>
                    <w:textAlignment w:val="auto"/>
                    <w:rPr>
                      <w:color w:val="auto"/>
                      <w:szCs w:val="21"/>
                    </w:rPr>
                  </w:pPr>
                  <w:r>
                    <w:rPr>
                      <w:rFonts w:hint="eastAsia"/>
                      <w:bCs/>
                      <w:color w:val="auto"/>
                      <w:szCs w:val="21"/>
                    </w:rPr>
                    <w:t>新建</w:t>
                  </w:r>
                </w:p>
              </w:tc>
            </w:tr>
          </w:tbl>
          <w:p w14:paraId="09C26D69">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表2-2   项目产品方案一览表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3434"/>
              <w:gridCol w:w="916"/>
              <w:gridCol w:w="750"/>
              <w:gridCol w:w="885"/>
            </w:tblGrid>
            <w:tr w14:paraId="623A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pct"/>
                  <w:vAlign w:val="center"/>
                </w:tcPr>
                <w:p w14:paraId="6256538E">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产品方案</w:t>
                  </w:r>
                </w:p>
              </w:tc>
              <w:tc>
                <w:tcPr>
                  <w:tcW w:w="2235" w:type="pct"/>
                  <w:vAlign w:val="center"/>
                </w:tcPr>
                <w:p w14:paraId="2EB6EFB0">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产品规格</w:t>
                  </w:r>
                </w:p>
              </w:tc>
              <w:tc>
                <w:tcPr>
                  <w:tcW w:w="596" w:type="pct"/>
                  <w:vAlign w:val="center"/>
                </w:tcPr>
                <w:p w14:paraId="5BCDF708">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年产量</w:t>
                  </w:r>
                </w:p>
              </w:tc>
              <w:tc>
                <w:tcPr>
                  <w:tcW w:w="488" w:type="pct"/>
                  <w:vAlign w:val="center"/>
                </w:tcPr>
                <w:p w14:paraId="7F4FBE23">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单位</w:t>
                  </w:r>
                </w:p>
              </w:tc>
              <w:tc>
                <w:tcPr>
                  <w:tcW w:w="576" w:type="pct"/>
                  <w:vAlign w:val="center"/>
                </w:tcPr>
                <w:p w14:paraId="5DDD2D04">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备注</w:t>
                  </w:r>
                </w:p>
              </w:tc>
            </w:tr>
            <w:tr w14:paraId="535D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pct"/>
                  <w:vAlign w:val="center"/>
                </w:tcPr>
                <w:p w14:paraId="0EADB77D">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液气分离器</w:t>
                  </w:r>
                </w:p>
              </w:tc>
              <w:tc>
                <w:tcPr>
                  <w:tcW w:w="2235" w:type="pct"/>
                  <w:vAlign w:val="center"/>
                </w:tcPr>
                <w:p w14:paraId="50F646D5">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主体直径：</w:t>
                  </w:r>
                  <w:r>
                    <w:rPr>
                      <w:rFonts w:hint="default" w:ascii="Times New Roman" w:hAnsi="Times New Roman" w:eastAsia="宋体" w:cs="Times New Roman"/>
                      <w:color w:val="auto"/>
                      <w:szCs w:val="21"/>
                      <w:u w:val="single"/>
                      <w:lang w:val="en-US" w:eastAsia="zh-CN"/>
                    </w:rPr>
                    <w:t>φ914</w:t>
                  </w:r>
                  <w:r>
                    <w:rPr>
                      <w:rFonts w:hint="eastAsia" w:cs="Times New Roman"/>
                      <w:color w:val="auto"/>
                      <w:szCs w:val="21"/>
                      <w:u w:val="single"/>
                      <w:lang w:val="en-US" w:eastAsia="zh-CN"/>
                    </w:rPr>
                    <w:t>mm，外形尺寸：2500×2450×2216mm</w:t>
                  </w:r>
                </w:p>
              </w:tc>
              <w:tc>
                <w:tcPr>
                  <w:tcW w:w="596" w:type="pct"/>
                  <w:vAlign w:val="center"/>
                </w:tcPr>
                <w:p w14:paraId="6A68E0B7">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2</w:t>
                  </w:r>
                  <w:r>
                    <w:rPr>
                      <w:rFonts w:hint="eastAsia" w:ascii="Times New Roman" w:hAnsi="Times New Roman" w:eastAsia="宋体" w:cs="Times New Roman"/>
                      <w:color w:val="auto"/>
                      <w:szCs w:val="21"/>
                      <w:u w:val="single"/>
                      <w:lang w:val="en-US" w:eastAsia="zh-CN"/>
                    </w:rPr>
                    <w:t>00</w:t>
                  </w:r>
                </w:p>
              </w:tc>
              <w:tc>
                <w:tcPr>
                  <w:tcW w:w="488" w:type="pct"/>
                  <w:vAlign w:val="center"/>
                </w:tcPr>
                <w:p w14:paraId="6446D563">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套/年</w:t>
                  </w:r>
                </w:p>
              </w:tc>
              <w:tc>
                <w:tcPr>
                  <w:tcW w:w="576" w:type="pct"/>
                  <w:vMerge w:val="restart"/>
                  <w:vAlign w:val="center"/>
                </w:tcPr>
                <w:p w14:paraId="35F361BB">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石油固控设备</w:t>
                  </w:r>
                </w:p>
              </w:tc>
            </w:tr>
            <w:tr w14:paraId="6E98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pct"/>
                  <w:vAlign w:val="center"/>
                </w:tcPr>
                <w:p w14:paraId="214B6687">
                  <w:pPr>
                    <w:tabs>
                      <w:tab w:val="left" w:pos="7920"/>
                    </w:tabs>
                    <w:spacing w:before="71" w:beforeLines="23" w:after="71" w:afterLines="23"/>
                    <w:jc w:val="center"/>
                    <w:rPr>
                      <w:rFonts w:hint="eastAsia" w:cs="Times New Roman"/>
                      <w:color w:val="auto"/>
                      <w:szCs w:val="21"/>
                      <w:u w:val="single"/>
                      <w:lang w:val="en-US" w:eastAsia="zh-CN"/>
                    </w:rPr>
                  </w:pPr>
                  <w:r>
                    <w:rPr>
                      <w:rFonts w:hint="eastAsia" w:cs="Times New Roman"/>
                      <w:color w:val="auto"/>
                      <w:szCs w:val="21"/>
                      <w:u w:val="single"/>
                      <w:lang w:val="en-US" w:eastAsia="zh-CN"/>
                    </w:rPr>
                    <w:t>钻井液离心机</w:t>
                  </w:r>
                </w:p>
              </w:tc>
              <w:tc>
                <w:tcPr>
                  <w:tcW w:w="2235" w:type="pct"/>
                  <w:vAlign w:val="center"/>
                </w:tcPr>
                <w:p w14:paraId="69D15647">
                  <w:pPr>
                    <w:tabs>
                      <w:tab w:val="left" w:pos="7920"/>
                    </w:tabs>
                    <w:spacing w:before="71" w:beforeLines="23" w:after="71" w:afterLines="23"/>
                    <w:jc w:val="center"/>
                    <w:rPr>
                      <w:rFonts w:hint="eastAsia" w:cs="Times New Roman"/>
                      <w:color w:val="auto"/>
                      <w:szCs w:val="21"/>
                      <w:u w:val="single"/>
                      <w:lang w:val="en-US" w:eastAsia="zh-CN"/>
                    </w:rPr>
                  </w:pPr>
                  <w:r>
                    <w:rPr>
                      <w:rFonts w:hint="eastAsia" w:cs="Times New Roman"/>
                      <w:color w:val="auto"/>
                      <w:szCs w:val="21"/>
                      <w:u w:val="single"/>
                      <w:lang w:val="en-US" w:eastAsia="zh-CN"/>
                    </w:rPr>
                    <w:t>外形尺寸：2900×1880×1770mm</w:t>
                  </w:r>
                </w:p>
              </w:tc>
              <w:tc>
                <w:tcPr>
                  <w:tcW w:w="596" w:type="pct"/>
                  <w:vAlign w:val="center"/>
                </w:tcPr>
                <w:p w14:paraId="035C98BF">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300</w:t>
                  </w:r>
                </w:p>
              </w:tc>
              <w:tc>
                <w:tcPr>
                  <w:tcW w:w="488" w:type="pct"/>
                  <w:vAlign w:val="center"/>
                </w:tcPr>
                <w:p w14:paraId="1CA44B99">
                  <w:pPr>
                    <w:tabs>
                      <w:tab w:val="left" w:pos="7920"/>
                    </w:tabs>
                    <w:spacing w:before="71" w:beforeLines="23" w:after="71" w:afterLines="23"/>
                    <w:jc w:val="center"/>
                    <w:rPr>
                      <w:rFonts w:hint="eastAsia"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套/年</w:t>
                  </w:r>
                </w:p>
              </w:tc>
              <w:tc>
                <w:tcPr>
                  <w:tcW w:w="576" w:type="pct"/>
                  <w:vMerge w:val="continue"/>
                  <w:vAlign w:val="center"/>
                </w:tcPr>
                <w:p w14:paraId="34AD8FDA">
                  <w:pPr>
                    <w:tabs>
                      <w:tab w:val="left" w:pos="7920"/>
                    </w:tabs>
                    <w:spacing w:before="71" w:beforeLines="23" w:after="71" w:afterLines="23"/>
                    <w:jc w:val="center"/>
                    <w:rPr>
                      <w:rFonts w:hint="eastAsia" w:cs="Times New Roman"/>
                      <w:color w:val="auto"/>
                      <w:szCs w:val="21"/>
                      <w:u w:val="single"/>
                      <w:lang w:val="en-US" w:eastAsia="zh-CN"/>
                    </w:rPr>
                  </w:pPr>
                </w:p>
              </w:tc>
            </w:tr>
            <w:tr w14:paraId="03FD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pct"/>
                  <w:vAlign w:val="center"/>
                </w:tcPr>
                <w:p w14:paraId="1C64C0AF">
                  <w:pPr>
                    <w:tabs>
                      <w:tab w:val="left" w:pos="7920"/>
                    </w:tabs>
                    <w:spacing w:before="71" w:beforeLines="23" w:after="71" w:afterLines="23"/>
                    <w:jc w:val="center"/>
                    <w:rPr>
                      <w:rFonts w:hint="eastAsia" w:cs="Times New Roman"/>
                      <w:color w:val="auto"/>
                      <w:szCs w:val="21"/>
                      <w:u w:val="single"/>
                      <w:lang w:val="en-US" w:eastAsia="zh-CN"/>
                    </w:rPr>
                  </w:pPr>
                  <w:r>
                    <w:rPr>
                      <w:rFonts w:hint="eastAsia" w:cs="Times New Roman"/>
                      <w:color w:val="auto"/>
                      <w:szCs w:val="21"/>
                      <w:u w:val="single"/>
                      <w:lang w:val="en-US" w:eastAsia="zh-CN"/>
                    </w:rPr>
                    <w:t>钻井液振动筛</w:t>
                  </w:r>
                </w:p>
              </w:tc>
              <w:tc>
                <w:tcPr>
                  <w:tcW w:w="2235" w:type="pct"/>
                  <w:vAlign w:val="center"/>
                </w:tcPr>
                <w:p w14:paraId="5932D6EB">
                  <w:pPr>
                    <w:tabs>
                      <w:tab w:val="left" w:pos="7920"/>
                    </w:tabs>
                    <w:spacing w:before="71" w:beforeLines="23" w:after="71" w:afterLines="23"/>
                    <w:jc w:val="center"/>
                    <w:rPr>
                      <w:rFonts w:hint="eastAsia" w:cs="Times New Roman"/>
                      <w:color w:val="auto"/>
                      <w:szCs w:val="21"/>
                      <w:u w:val="single"/>
                      <w:lang w:val="en-US" w:eastAsia="zh-CN"/>
                    </w:rPr>
                  </w:pPr>
                  <w:r>
                    <w:rPr>
                      <w:rFonts w:hint="eastAsia" w:cs="Times New Roman"/>
                      <w:color w:val="auto"/>
                      <w:szCs w:val="21"/>
                      <w:u w:val="single"/>
                      <w:lang w:val="en-US" w:eastAsia="zh-CN"/>
                    </w:rPr>
                    <w:t>外形尺寸：2644（±20）×1929（±20）×1499（±20）mm</w:t>
                  </w:r>
                </w:p>
              </w:tc>
              <w:tc>
                <w:tcPr>
                  <w:tcW w:w="596" w:type="pct"/>
                  <w:shd w:val="clear" w:color="auto" w:fill="auto"/>
                  <w:vAlign w:val="center"/>
                </w:tcPr>
                <w:p w14:paraId="0B8A9E6B">
                  <w:pPr>
                    <w:tabs>
                      <w:tab w:val="left" w:pos="7920"/>
                    </w:tabs>
                    <w:spacing w:before="71" w:beforeLines="23" w:after="71" w:afterLines="23"/>
                    <w:jc w:val="center"/>
                    <w:rPr>
                      <w:rFonts w:hint="eastAsia" w:ascii="Times New Roman" w:hAnsi="Times New Roman" w:eastAsia="宋体" w:cs="Times New Roman"/>
                      <w:color w:val="auto"/>
                      <w:kern w:val="2"/>
                      <w:sz w:val="21"/>
                      <w:szCs w:val="21"/>
                      <w:u w:val="single"/>
                      <w:lang w:val="en-US" w:eastAsia="zh-CN" w:bidi="ar-SA"/>
                    </w:rPr>
                  </w:pPr>
                  <w:r>
                    <w:rPr>
                      <w:rFonts w:hint="eastAsia" w:cs="Times New Roman"/>
                      <w:color w:val="auto"/>
                      <w:szCs w:val="21"/>
                      <w:u w:val="single"/>
                      <w:lang w:val="en-US" w:eastAsia="zh-CN"/>
                    </w:rPr>
                    <w:t>300</w:t>
                  </w:r>
                </w:p>
              </w:tc>
              <w:tc>
                <w:tcPr>
                  <w:tcW w:w="488" w:type="pct"/>
                  <w:shd w:val="clear" w:color="auto" w:fill="auto"/>
                  <w:vAlign w:val="center"/>
                </w:tcPr>
                <w:p w14:paraId="0F3FC9A3">
                  <w:pPr>
                    <w:tabs>
                      <w:tab w:val="left" w:pos="7920"/>
                    </w:tabs>
                    <w:spacing w:before="71" w:beforeLines="23" w:after="71" w:afterLines="23"/>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szCs w:val="21"/>
                      <w:u w:val="single"/>
                      <w:lang w:val="en-US" w:eastAsia="zh-CN"/>
                    </w:rPr>
                    <w:t>套/年</w:t>
                  </w:r>
                </w:p>
              </w:tc>
              <w:tc>
                <w:tcPr>
                  <w:tcW w:w="576" w:type="pct"/>
                  <w:vMerge w:val="continue"/>
                  <w:vAlign w:val="center"/>
                </w:tcPr>
                <w:p w14:paraId="3306A39A">
                  <w:pPr>
                    <w:tabs>
                      <w:tab w:val="left" w:pos="7920"/>
                    </w:tabs>
                    <w:spacing w:before="71" w:beforeLines="23" w:after="71" w:afterLines="23"/>
                    <w:jc w:val="center"/>
                    <w:rPr>
                      <w:rFonts w:hint="eastAsia" w:cs="Times New Roman"/>
                      <w:color w:val="auto"/>
                      <w:szCs w:val="21"/>
                      <w:u w:val="single"/>
                      <w:lang w:val="en-US" w:eastAsia="zh-CN"/>
                    </w:rPr>
                  </w:pPr>
                </w:p>
              </w:tc>
            </w:tr>
          </w:tbl>
          <w:p w14:paraId="538CB807">
            <w:pPr>
              <w:keepNext w:val="0"/>
              <w:keepLines w:val="0"/>
              <w:pageBreakBefore w:val="0"/>
              <w:widowControl w:val="0"/>
              <w:tabs>
                <w:tab w:val="left" w:pos="7920"/>
              </w:tabs>
              <w:kinsoku/>
              <w:wordWrap/>
              <w:overflowPunct/>
              <w:topLinePunct w:val="0"/>
              <w:autoSpaceDE/>
              <w:autoSpaceDN/>
              <w:bidi w:val="0"/>
              <w:adjustRightInd/>
              <w:snapToGrid/>
              <w:spacing w:line="520" w:lineRule="exact"/>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eastAsia" w:cs="Times New Roman"/>
                <w:b/>
                <w:bCs/>
                <w:color w:val="auto"/>
                <w:sz w:val="24"/>
                <w:szCs w:val="24"/>
                <w:highlight w:val="none"/>
                <w:vertAlign w:val="baseline"/>
                <w:lang w:val="en-US" w:eastAsia="zh-CN"/>
              </w:rPr>
              <w:t>3</w:t>
            </w:r>
            <w:r>
              <w:rPr>
                <w:rFonts w:hint="default" w:ascii="Times New Roman" w:hAnsi="Times New Roman" w:eastAsia="宋体" w:cs="Times New Roman"/>
                <w:b/>
                <w:bCs/>
                <w:color w:val="auto"/>
                <w:sz w:val="24"/>
                <w:szCs w:val="24"/>
                <w:highlight w:val="none"/>
                <w:vertAlign w:val="baseline"/>
                <w:lang w:val="en-US" w:eastAsia="zh-CN"/>
              </w:rPr>
              <w:t>、主要生产设备</w:t>
            </w:r>
          </w:p>
          <w:p w14:paraId="49FD6210">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本项目</w:t>
            </w:r>
            <w:r>
              <w:rPr>
                <w:rFonts w:hint="default" w:ascii="Times New Roman" w:hAnsi="Times New Roman" w:eastAsia="宋体" w:cs="Times New Roman"/>
                <w:b w:val="0"/>
                <w:bCs/>
                <w:color w:val="auto"/>
                <w:sz w:val="24"/>
                <w:szCs w:val="24"/>
                <w:highlight w:val="none"/>
                <w:lang w:val="en-US" w:eastAsia="zh-CN"/>
              </w:rPr>
              <w:t>主要生产设备见表</w:t>
            </w:r>
            <w:r>
              <w:rPr>
                <w:rFonts w:hint="eastAsia" w:ascii="Times New Roman" w:hAnsi="Times New Roman" w:eastAsia="宋体" w:cs="Times New Roman"/>
                <w:b w:val="0"/>
                <w:bCs/>
                <w:color w:val="auto"/>
                <w:sz w:val="24"/>
                <w:szCs w:val="24"/>
                <w:highlight w:val="none"/>
                <w:lang w:val="en-US" w:eastAsia="zh-CN"/>
              </w:rPr>
              <w:t>2-</w:t>
            </w:r>
            <w:r>
              <w:rPr>
                <w:rFonts w:hint="eastAsia"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val="en-US" w:eastAsia="zh-CN"/>
              </w:rPr>
              <w:t>。</w:t>
            </w:r>
          </w:p>
          <w:p w14:paraId="009FD30F">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表</w:t>
            </w:r>
            <w:r>
              <w:rPr>
                <w:rFonts w:hint="eastAsia" w:cs="Times New Roman"/>
                <w:b w:val="0"/>
                <w:bCs w:val="0"/>
                <w:color w:val="auto"/>
                <w:kern w:val="0"/>
                <w:sz w:val="21"/>
                <w:szCs w:val="21"/>
                <w:highlight w:val="none"/>
                <w:vertAlign w:val="baseline"/>
                <w:lang w:val="en-US" w:eastAsia="zh-CN" w:bidi="ar-SA"/>
              </w:rPr>
              <w:t>2-3</w:t>
            </w:r>
            <w:r>
              <w:rPr>
                <w:rFonts w:hint="default" w:ascii="Times New Roman" w:hAnsi="Times New Roman" w:eastAsia="宋体" w:cs="Times New Roman"/>
                <w:b w:val="0"/>
                <w:bCs w:val="0"/>
                <w:color w:val="auto"/>
                <w:kern w:val="0"/>
                <w:sz w:val="21"/>
                <w:szCs w:val="21"/>
                <w:highlight w:val="none"/>
                <w:vertAlign w:val="baseline"/>
                <w:lang w:val="en-US" w:eastAsia="zh-CN" w:bidi="ar-SA"/>
              </w:rPr>
              <w:t xml:space="preserve">  </w:t>
            </w:r>
            <w:r>
              <w:rPr>
                <w:rFonts w:hint="eastAsia" w:cs="Times New Roman"/>
                <w:b w:val="0"/>
                <w:bCs w:val="0"/>
                <w:color w:val="auto"/>
                <w:kern w:val="0"/>
                <w:sz w:val="21"/>
                <w:szCs w:val="21"/>
                <w:highlight w:val="none"/>
                <w:vertAlign w:val="baseline"/>
                <w:lang w:val="en-US" w:eastAsia="zh-CN" w:bidi="ar-SA"/>
              </w:rPr>
              <w:t>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主要生产设备一览表</w:t>
            </w:r>
          </w:p>
          <w:tbl>
            <w:tblPr>
              <w:tblStyle w:val="2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2412"/>
              <w:gridCol w:w="1278"/>
              <w:gridCol w:w="955"/>
              <w:gridCol w:w="2330"/>
            </w:tblGrid>
            <w:tr w14:paraId="4C4B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Align w:val="center"/>
                </w:tcPr>
                <w:p w14:paraId="485C052C">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color w:val="auto"/>
                      <w:szCs w:val="21"/>
                      <w:highlight w:val="none"/>
                    </w:rPr>
                  </w:pPr>
                  <w:r>
                    <w:rPr>
                      <w:rFonts w:hint="eastAsia"/>
                      <w:color w:val="auto"/>
                      <w:szCs w:val="21"/>
                      <w:highlight w:val="none"/>
                    </w:rPr>
                    <w:t>序号</w:t>
                  </w:r>
                </w:p>
              </w:tc>
              <w:tc>
                <w:tcPr>
                  <w:tcW w:w="1571" w:type="pct"/>
                  <w:vAlign w:val="center"/>
                </w:tcPr>
                <w:p w14:paraId="4A9CA628">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color w:val="auto"/>
                      <w:szCs w:val="21"/>
                      <w:highlight w:val="none"/>
                    </w:rPr>
                  </w:pPr>
                  <w:r>
                    <w:rPr>
                      <w:rFonts w:hint="eastAsia"/>
                      <w:color w:val="auto"/>
                      <w:szCs w:val="21"/>
                      <w:highlight w:val="none"/>
                    </w:rPr>
                    <w:t>设备名称</w:t>
                  </w:r>
                </w:p>
              </w:tc>
              <w:tc>
                <w:tcPr>
                  <w:tcW w:w="832" w:type="pct"/>
                  <w:vAlign w:val="center"/>
                </w:tcPr>
                <w:p w14:paraId="6696CB4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color w:val="auto"/>
                      <w:szCs w:val="21"/>
                      <w:highlight w:val="none"/>
                    </w:rPr>
                  </w:pPr>
                  <w:r>
                    <w:rPr>
                      <w:rFonts w:hint="eastAsia"/>
                      <w:color w:val="auto"/>
                      <w:szCs w:val="21"/>
                      <w:highlight w:val="none"/>
                    </w:rPr>
                    <w:t>型号</w:t>
                  </w:r>
                </w:p>
              </w:tc>
              <w:tc>
                <w:tcPr>
                  <w:tcW w:w="622" w:type="pct"/>
                  <w:vAlign w:val="center"/>
                </w:tcPr>
                <w:p w14:paraId="49F3701F">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color w:val="auto"/>
                      <w:szCs w:val="21"/>
                      <w:highlight w:val="none"/>
                    </w:rPr>
                  </w:pPr>
                  <w:r>
                    <w:rPr>
                      <w:rFonts w:hint="eastAsia"/>
                      <w:color w:val="auto"/>
                      <w:szCs w:val="21"/>
                      <w:highlight w:val="none"/>
                    </w:rPr>
                    <w:t>数量</w:t>
                  </w:r>
                </w:p>
              </w:tc>
              <w:tc>
                <w:tcPr>
                  <w:tcW w:w="1517" w:type="pct"/>
                  <w:vAlign w:val="center"/>
                </w:tcPr>
                <w:p w14:paraId="0A27FAAB">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color w:val="auto"/>
                      <w:szCs w:val="21"/>
                      <w:highlight w:val="none"/>
                      <w:lang w:val="en-US" w:eastAsia="zh-CN"/>
                    </w:rPr>
                  </w:pPr>
                  <w:r>
                    <w:rPr>
                      <w:rFonts w:hint="eastAsia"/>
                      <w:color w:val="auto"/>
                      <w:szCs w:val="21"/>
                      <w:highlight w:val="none"/>
                      <w:lang w:val="en-US" w:eastAsia="zh-CN"/>
                    </w:rPr>
                    <w:t>备注</w:t>
                  </w:r>
                </w:p>
              </w:tc>
            </w:tr>
            <w:tr w14:paraId="6E23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Align w:val="center"/>
                </w:tcPr>
                <w:p w14:paraId="5AF20142">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color w:val="auto"/>
                      <w:szCs w:val="21"/>
                      <w:highlight w:val="none"/>
                      <w:lang w:val="en-US" w:eastAsia="zh-CN"/>
                    </w:rPr>
                  </w:pPr>
                  <w:r>
                    <w:rPr>
                      <w:rFonts w:hint="eastAsia"/>
                      <w:color w:val="auto"/>
                      <w:szCs w:val="21"/>
                      <w:highlight w:val="none"/>
                      <w:lang w:val="en-US" w:eastAsia="zh-CN"/>
                    </w:rPr>
                    <w:t>1</w:t>
                  </w:r>
                </w:p>
              </w:tc>
              <w:tc>
                <w:tcPr>
                  <w:tcW w:w="1571" w:type="pct"/>
                  <w:vAlign w:val="center"/>
                </w:tcPr>
                <w:p w14:paraId="0DB97828">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color w:val="auto"/>
                      <w:szCs w:val="21"/>
                      <w:highlight w:val="none"/>
                      <w:lang w:val="en-US" w:eastAsia="zh-CN"/>
                    </w:rPr>
                  </w:pPr>
                  <w:r>
                    <w:rPr>
                      <w:rFonts w:hint="eastAsia"/>
                      <w:color w:val="auto"/>
                      <w:szCs w:val="21"/>
                      <w:highlight w:val="none"/>
                      <w:lang w:val="en-US" w:eastAsia="zh-CN"/>
                    </w:rPr>
                    <w:t>等离子切割机</w:t>
                  </w:r>
                </w:p>
              </w:tc>
              <w:tc>
                <w:tcPr>
                  <w:tcW w:w="832" w:type="pct"/>
                  <w:vAlign w:val="center"/>
                </w:tcPr>
                <w:p w14:paraId="3073692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eastAsia="宋体"/>
                      <w:color w:val="auto"/>
                      <w:szCs w:val="21"/>
                      <w:highlight w:val="none"/>
                      <w:lang w:val="en-US" w:eastAsia="zh-CN"/>
                    </w:rPr>
                  </w:pPr>
                  <w:r>
                    <w:rPr>
                      <w:rFonts w:hint="eastAsia"/>
                      <w:color w:val="auto"/>
                      <w:szCs w:val="21"/>
                      <w:highlight w:val="none"/>
                      <w:lang w:val="en-US" w:eastAsia="zh-CN"/>
                    </w:rPr>
                    <w:t>SQ-500</w:t>
                  </w:r>
                </w:p>
              </w:tc>
              <w:tc>
                <w:tcPr>
                  <w:tcW w:w="622" w:type="pct"/>
                  <w:vAlign w:val="center"/>
                </w:tcPr>
                <w:p w14:paraId="79B3C7E8">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color w:val="auto"/>
                      <w:szCs w:val="21"/>
                      <w:highlight w:val="none"/>
                      <w:lang w:val="en-US" w:eastAsia="zh-CN"/>
                    </w:rPr>
                  </w:pPr>
                  <w:r>
                    <w:rPr>
                      <w:rFonts w:hint="eastAsia"/>
                      <w:color w:val="auto"/>
                      <w:szCs w:val="21"/>
                      <w:highlight w:val="none"/>
                      <w:lang w:val="en-US" w:eastAsia="zh-CN"/>
                    </w:rPr>
                    <w:t>1</w:t>
                  </w:r>
                </w:p>
              </w:tc>
              <w:tc>
                <w:tcPr>
                  <w:tcW w:w="1517" w:type="pct"/>
                  <w:vAlign w:val="center"/>
                </w:tcPr>
                <w:p w14:paraId="5164C0F4">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color w:val="auto"/>
                      <w:szCs w:val="21"/>
                      <w:highlight w:val="none"/>
                      <w:lang w:val="en-US" w:eastAsia="zh-CN"/>
                    </w:rPr>
                  </w:pPr>
                  <w:r>
                    <w:rPr>
                      <w:rFonts w:hint="eastAsia"/>
                      <w:color w:val="auto"/>
                      <w:szCs w:val="21"/>
                      <w:highlight w:val="none"/>
                      <w:lang w:val="en-US" w:eastAsia="zh-CN"/>
                    </w:rPr>
                    <w:t>新增，</w:t>
                  </w:r>
                  <w:r>
                    <w:rPr>
                      <w:rFonts w:hint="default" w:ascii="Times New Roman" w:hAnsi="宋体" w:eastAsia="宋体" w:cs="Times New Roman"/>
                      <w:color w:val="auto"/>
                      <w:szCs w:val="21"/>
                      <w:highlight w:val="none"/>
                      <w:lang w:val="en-US" w:eastAsia="zh-CN"/>
                    </w:rPr>
                    <w:t>切割使用</w:t>
                  </w:r>
                </w:p>
              </w:tc>
            </w:tr>
            <w:tr w14:paraId="64EF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Align w:val="center"/>
                </w:tcPr>
                <w:p w14:paraId="20E7EC9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color w:val="auto"/>
                      <w:szCs w:val="21"/>
                      <w:highlight w:val="none"/>
                      <w:lang w:val="en-US" w:eastAsia="zh-CN"/>
                    </w:rPr>
                  </w:pPr>
                  <w:r>
                    <w:rPr>
                      <w:rFonts w:hint="eastAsia"/>
                      <w:color w:val="auto"/>
                      <w:szCs w:val="21"/>
                      <w:highlight w:val="none"/>
                      <w:lang w:val="en-US" w:eastAsia="zh-CN"/>
                    </w:rPr>
                    <w:t>2</w:t>
                  </w:r>
                </w:p>
              </w:tc>
              <w:tc>
                <w:tcPr>
                  <w:tcW w:w="1571" w:type="pct"/>
                  <w:vAlign w:val="center"/>
                </w:tcPr>
                <w:p w14:paraId="58CFE468">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color w:val="auto"/>
                      <w:szCs w:val="21"/>
                      <w:highlight w:val="none"/>
                      <w:lang w:val="en-US" w:eastAsia="zh-CN"/>
                    </w:rPr>
                  </w:pPr>
                  <w:r>
                    <w:rPr>
                      <w:rFonts w:hint="eastAsia"/>
                      <w:color w:val="auto"/>
                      <w:szCs w:val="21"/>
                      <w:highlight w:val="none"/>
                      <w:lang w:val="en-US" w:eastAsia="zh-CN"/>
                    </w:rPr>
                    <w:t>单梁行吊</w:t>
                  </w:r>
                </w:p>
              </w:tc>
              <w:tc>
                <w:tcPr>
                  <w:tcW w:w="832" w:type="pct"/>
                  <w:vAlign w:val="center"/>
                </w:tcPr>
                <w:p w14:paraId="0D94C688">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eastAsia="宋体"/>
                      <w:color w:val="auto"/>
                      <w:szCs w:val="21"/>
                      <w:highlight w:val="none"/>
                      <w:lang w:val="en-US" w:eastAsia="zh-CN"/>
                    </w:rPr>
                  </w:pPr>
                  <w:r>
                    <w:rPr>
                      <w:rFonts w:hint="eastAsia"/>
                      <w:color w:val="auto"/>
                      <w:szCs w:val="21"/>
                      <w:highlight w:val="none"/>
                      <w:lang w:val="en-US" w:eastAsia="zh-CN"/>
                    </w:rPr>
                    <w:t>10t</w:t>
                  </w:r>
                </w:p>
              </w:tc>
              <w:tc>
                <w:tcPr>
                  <w:tcW w:w="622" w:type="pct"/>
                  <w:vAlign w:val="center"/>
                </w:tcPr>
                <w:p w14:paraId="7D2B85CD">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color w:val="auto"/>
                      <w:szCs w:val="21"/>
                      <w:highlight w:val="none"/>
                      <w:lang w:val="en-US" w:eastAsia="zh-CN"/>
                    </w:rPr>
                  </w:pPr>
                  <w:r>
                    <w:rPr>
                      <w:rFonts w:hint="eastAsia"/>
                      <w:color w:val="auto"/>
                      <w:szCs w:val="21"/>
                      <w:highlight w:val="none"/>
                      <w:lang w:val="en-US" w:eastAsia="zh-CN"/>
                    </w:rPr>
                    <w:t>16</w:t>
                  </w:r>
                </w:p>
              </w:tc>
              <w:tc>
                <w:tcPr>
                  <w:tcW w:w="1517" w:type="pct"/>
                  <w:vAlign w:val="center"/>
                </w:tcPr>
                <w:p w14:paraId="43BFD92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color w:val="auto"/>
                      <w:szCs w:val="21"/>
                      <w:highlight w:val="none"/>
                      <w:lang w:val="en-US" w:eastAsia="zh-CN"/>
                    </w:rPr>
                  </w:pPr>
                  <w:r>
                    <w:rPr>
                      <w:rFonts w:hint="eastAsia"/>
                      <w:color w:val="auto"/>
                      <w:szCs w:val="21"/>
                      <w:highlight w:val="none"/>
                      <w:lang w:val="en-US" w:eastAsia="zh-CN"/>
                    </w:rPr>
                    <w:t>新增</w:t>
                  </w:r>
                </w:p>
              </w:tc>
            </w:tr>
            <w:tr w14:paraId="2759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Align w:val="center"/>
                </w:tcPr>
                <w:p w14:paraId="67C4C691">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color w:val="auto"/>
                      <w:szCs w:val="21"/>
                      <w:highlight w:val="none"/>
                      <w:lang w:val="en-US" w:eastAsia="zh-CN"/>
                    </w:rPr>
                  </w:pPr>
                  <w:r>
                    <w:rPr>
                      <w:rFonts w:hint="eastAsia"/>
                      <w:color w:val="auto"/>
                      <w:szCs w:val="21"/>
                      <w:highlight w:val="none"/>
                      <w:lang w:val="en-US" w:eastAsia="zh-CN"/>
                    </w:rPr>
                    <w:t>3</w:t>
                  </w:r>
                </w:p>
              </w:tc>
              <w:tc>
                <w:tcPr>
                  <w:tcW w:w="1571" w:type="pct"/>
                  <w:vAlign w:val="center"/>
                </w:tcPr>
                <w:p w14:paraId="2DD3F7C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eastAsia="宋体"/>
                      <w:color w:val="auto"/>
                      <w:szCs w:val="21"/>
                      <w:highlight w:val="none"/>
                      <w:lang w:val="en-US" w:eastAsia="zh-CN"/>
                    </w:rPr>
                  </w:pPr>
                  <w:r>
                    <w:rPr>
                      <w:rFonts w:hint="eastAsia"/>
                      <w:color w:val="auto"/>
                      <w:szCs w:val="21"/>
                      <w:highlight w:val="none"/>
                      <w:lang w:val="en-US" w:eastAsia="zh-CN"/>
                    </w:rPr>
                    <w:t>二氧化碳保护焊</w:t>
                  </w:r>
                </w:p>
              </w:tc>
              <w:tc>
                <w:tcPr>
                  <w:tcW w:w="832" w:type="pct"/>
                  <w:vAlign w:val="center"/>
                </w:tcPr>
                <w:p w14:paraId="71A24E0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color w:val="auto"/>
                      <w:szCs w:val="21"/>
                      <w:highlight w:val="none"/>
                      <w:lang w:val="en-US" w:eastAsia="zh-CN"/>
                    </w:rPr>
                  </w:pPr>
                  <w:r>
                    <w:rPr>
                      <w:rFonts w:hint="eastAsia"/>
                      <w:color w:val="auto"/>
                      <w:szCs w:val="21"/>
                      <w:highlight w:val="none"/>
                      <w:lang w:val="en-US" w:eastAsia="zh-CN"/>
                    </w:rPr>
                    <w:t>/</w:t>
                  </w:r>
                </w:p>
              </w:tc>
              <w:tc>
                <w:tcPr>
                  <w:tcW w:w="622" w:type="pct"/>
                  <w:vAlign w:val="center"/>
                </w:tcPr>
                <w:p w14:paraId="5A402EF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color w:val="auto"/>
                      <w:szCs w:val="21"/>
                      <w:highlight w:val="none"/>
                    </w:rPr>
                  </w:pPr>
                  <w:r>
                    <w:rPr>
                      <w:rFonts w:hint="eastAsia"/>
                      <w:color w:val="auto"/>
                      <w:szCs w:val="21"/>
                      <w:highlight w:val="none"/>
                      <w:lang w:val="en-US" w:eastAsia="zh-CN"/>
                    </w:rPr>
                    <w:t>25</w:t>
                  </w:r>
                </w:p>
              </w:tc>
              <w:tc>
                <w:tcPr>
                  <w:tcW w:w="1517" w:type="pct"/>
                  <w:vAlign w:val="center"/>
                </w:tcPr>
                <w:p w14:paraId="3977FAD4">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eastAsia="宋体"/>
                      <w:color w:val="auto"/>
                      <w:szCs w:val="21"/>
                      <w:highlight w:val="none"/>
                      <w:lang w:val="en-US" w:eastAsia="zh-CN"/>
                    </w:rPr>
                  </w:pPr>
                  <w:r>
                    <w:rPr>
                      <w:rFonts w:hint="eastAsia"/>
                      <w:color w:val="auto"/>
                      <w:szCs w:val="21"/>
                      <w:highlight w:val="none"/>
                      <w:lang w:val="en-US" w:eastAsia="zh-CN"/>
                    </w:rPr>
                    <w:t>新增，焊接使用</w:t>
                  </w:r>
                </w:p>
              </w:tc>
            </w:tr>
            <w:tr w14:paraId="3352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Align w:val="center"/>
                </w:tcPr>
                <w:p w14:paraId="5EE398E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color w:val="auto"/>
                      <w:szCs w:val="21"/>
                      <w:highlight w:val="none"/>
                      <w:lang w:val="en-US" w:eastAsia="zh-CN"/>
                    </w:rPr>
                  </w:pPr>
                  <w:r>
                    <w:rPr>
                      <w:rFonts w:hint="eastAsia"/>
                      <w:color w:val="auto"/>
                      <w:szCs w:val="21"/>
                      <w:highlight w:val="none"/>
                      <w:lang w:val="en-US" w:eastAsia="zh-CN"/>
                    </w:rPr>
                    <w:t>4</w:t>
                  </w:r>
                </w:p>
              </w:tc>
              <w:tc>
                <w:tcPr>
                  <w:tcW w:w="1571" w:type="pct"/>
                  <w:vAlign w:val="center"/>
                </w:tcPr>
                <w:p w14:paraId="132DE38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color w:val="auto"/>
                      <w:szCs w:val="21"/>
                      <w:highlight w:val="none"/>
                      <w:lang w:val="en-US" w:eastAsia="zh-CN"/>
                    </w:rPr>
                  </w:pPr>
                  <w:r>
                    <w:rPr>
                      <w:rFonts w:hint="eastAsia"/>
                      <w:color w:val="auto"/>
                      <w:szCs w:val="21"/>
                      <w:highlight w:val="none"/>
                      <w:lang w:val="en-US" w:eastAsia="zh-CN"/>
                    </w:rPr>
                    <w:t>激光焊机</w:t>
                  </w:r>
                </w:p>
              </w:tc>
              <w:tc>
                <w:tcPr>
                  <w:tcW w:w="832" w:type="pct"/>
                  <w:vAlign w:val="center"/>
                </w:tcPr>
                <w:p w14:paraId="20FEE46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color w:val="auto"/>
                      <w:szCs w:val="21"/>
                      <w:highlight w:val="none"/>
                    </w:rPr>
                  </w:pPr>
                  <w:r>
                    <w:rPr>
                      <w:rFonts w:hint="eastAsia"/>
                      <w:color w:val="auto"/>
                      <w:szCs w:val="21"/>
                      <w:highlight w:val="none"/>
                      <w:lang w:val="en-US" w:eastAsia="zh-CN"/>
                    </w:rPr>
                    <w:t>/</w:t>
                  </w:r>
                </w:p>
              </w:tc>
              <w:tc>
                <w:tcPr>
                  <w:tcW w:w="622" w:type="pct"/>
                  <w:vAlign w:val="center"/>
                </w:tcPr>
                <w:p w14:paraId="4225963D">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color w:val="auto"/>
                      <w:szCs w:val="21"/>
                      <w:highlight w:val="none"/>
                    </w:rPr>
                  </w:pPr>
                  <w:r>
                    <w:rPr>
                      <w:rFonts w:hint="eastAsia"/>
                      <w:color w:val="auto"/>
                      <w:szCs w:val="21"/>
                      <w:highlight w:val="none"/>
                      <w:lang w:val="en-US" w:eastAsia="zh-CN"/>
                    </w:rPr>
                    <w:t>4</w:t>
                  </w:r>
                </w:p>
              </w:tc>
              <w:tc>
                <w:tcPr>
                  <w:tcW w:w="1517" w:type="pct"/>
                  <w:vAlign w:val="center"/>
                </w:tcPr>
                <w:p w14:paraId="72EC1425">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color w:val="auto"/>
                      <w:szCs w:val="21"/>
                      <w:highlight w:val="none"/>
                    </w:rPr>
                  </w:pPr>
                  <w:r>
                    <w:rPr>
                      <w:rFonts w:hint="eastAsia"/>
                      <w:color w:val="auto"/>
                      <w:szCs w:val="21"/>
                      <w:highlight w:val="none"/>
                      <w:lang w:val="en-US" w:eastAsia="zh-CN"/>
                    </w:rPr>
                    <w:t>新增，焊接使用</w:t>
                  </w:r>
                </w:p>
              </w:tc>
            </w:tr>
            <w:tr w14:paraId="591D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Align w:val="center"/>
                </w:tcPr>
                <w:p w14:paraId="01B26A2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eastAsia" w:eastAsia="宋体"/>
                      <w:color w:val="auto"/>
                      <w:szCs w:val="21"/>
                      <w:highlight w:val="none"/>
                      <w:lang w:val="en-US" w:eastAsia="zh-CN"/>
                    </w:rPr>
                  </w:pPr>
                  <w:r>
                    <w:rPr>
                      <w:rFonts w:hint="eastAsia"/>
                      <w:color w:val="auto"/>
                      <w:szCs w:val="21"/>
                      <w:highlight w:val="none"/>
                      <w:lang w:val="en-US" w:eastAsia="zh-CN"/>
                    </w:rPr>
                    <w:t>5</w:t>
                  </w:r>
                </w:p>
              </w:tc>
              <w:tc>
                <w:tcPr>
                  <w:tcW w:w="1571" w:type="pct"/>
                  <w:vAlign w:val="center"/>
                </w:tcPr>
                <w:p w14:paraId="0167D71C">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eastAsia="宋体"/>
                      <w:color w:val="auto"/>
                      <w:szCs w:val="21"/>
                      <w:highlight w:val="none"/>
                      <w:lang w:val="en-US" w:eastAsia="zh-CN"/>
                    </w:rPr>
                  </w:pPr>
                  <w:r>
                    <w:rPr>
                      <w:rFonts w:hint="eastAsia"/>
                      <w:color w:val="auto"/>
                      <w:szCs w:val="21"/>
                      <w:highlight w:val="none"/>
                      <w:lang w:val="en-US" w:eastAsia="zh-CN"/>
                    </w:rPr>
                    <w:t>机器人焊机</w:t>
                  </w:r>
                </w:p>
              </w:tc>
              <w:tc>
                <w:tcPr>
                  <w:tcW w:w="832" w:type="pct"/>
                  <w:vAlign w:val="center"/>
                </w:tcPr>
                <w:p w14:paraId="469D03D5">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color w:val="auto"/>
                      <w:szCs w:val="21"/>
                      <w:highlight w:val="none"/>
                    </w:rPr>
                  </w:pPr>
                  <w:r>
                    <w:rPr>
                      <w:rFonts w:hint="eastAsia"/>
                      <w:color w:val="auto"/>
                      <w:szCs w:val="21"/>
                      <w:highlight w:val="none"/>
                      <w:lang w:val="en-US" w:eastAsia="zh-CN"/>
                    </w:rPr>
                    <w:t>/</w:t>
                  </w:r>
                </w:p>
              </w:tc>
              <w:tc>
                <w:tcPr>
                  <w:tcW w:w="622" w:type="pct"/>
                  <w:vAlign w:val="center"/>
                </w:tcPr>
                <w:p w14:paraId="2076B6F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color w:val="auto"/>
                      <w:szCs w:val="21"/>
                      <w:highlight w:val="none"/>
                    </w:rPr>
                  </w:pPr>
                  <w:r>
                    <w:rPr>
                      <w:rFonts w:hint="eastAsia"/>
                      <w:color w:val="auto"/>
                      <w:szCs w:val="21"/>
                      <w:highlight w:val="none"/>
                      <w:lang w:val="en-US" w:eastAsia="zh-CN"/>
                    </w:rPr>
                    <w:t>1</w:t>
                  </w:r>
                </w:p>
              </w:tc>
              <w:tc>
                <w:tcPr>
                  <w:tcW w:w="1517" w:type="pct"/>
                  <w:vAlign w:val="center"/>
                </w:tcPr>
                <w:p w14:paraId="42C2801B">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color w:val="auto"/>
                      <w:szCs w:val="21"/>
                      <w:highlight w:val="none"/>
                    </w:rPr>
                  </w:pPr>
                  <w:r>
                    <w:rPr>
                      <w:rFonts w:hint="eastAsia"/>
                      <w:color w:val="auto"/>
                      <w:szCs w:val="21"/>
                      <w:highlight w:val="none"/>
                      <w:lang w:val="en-US" w:eastAsia="zh-CN"/>
                    </w:rPr>
                    <w:t>新增，焊接使用</w:t>
                  </w:r>
                </w:p>
              </w:tc>
            </w:tr>
          </w:tbl>
          <w:p w14:paraId="782A3CA3">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经对照《产业结构调整指导目录</w:t>
            </w:r>
            <w:r>
              <w:rPr>
                <w:rFonts w:hint="eastAsia" w:cs="Times New Roman"/>
                <w:b w:val="0"/>
                <w:bCs/>
                <w:color w:val="auto"/>
                <w:sz w:val="24"/>
                <w:szCs w:val="24"/>
                <w:highlight w:val="none"/>
                <w:lang w:val="en-US" w:eastAsia="zh-CN"/>
              </w:rPr>
              <w:t>（2024年）</w:t>
            </w:r>
            <w:r>
              <w:rPr>
                <w:rFonts w:hint="default"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及《高耗能落后机电设备（产品）淘汰目录》</w:t>
            </w:r>
            <w:r>
              <w:rPr>
                <w:rFonts w:hint="default"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本项目</w:t>
            </w:r>
            <w:r>
              <w:rPr>
                <w:rFonts w:hint="default" w:ascii="Times New Roman" w:hAnsi="Times New Roman" w:eastAsia="宋体" w:cs="Times New Roman"/>
                <w:b w:val="0"/>
                <w:bCs/>
                <w:color w:val="auto"/>
                <w:sz w:val="24"/>
                <w:szCs w:val="24"/>
                <w:highlight w:val="none"/>
                <w:lang w:val="en-US" w:eastAsia="zh-CN"/>
              </w:rPr>
              <w:t>设备均不属于目录中限制类、淘汰类设备。</w:t>
            </w:r>
          </w:p>
          <w:p w14:paraId="4EDA834D">
            <w:pPr>
              <w:keepNext w:val="0"/>
              <w:keepLines w:val="0"/>
              <w:pageBreakBefore w:val="0"/>
              <w:widowControl w:val="0"/>
              <w:tabs>
                <w:tab w:val="left" w:pos="7920"/>
              </w:tabs>
              <w:kinsoku/>
              <w:wordWrap/>
              <w:overflowPunct/>
              <w:topLinePunct w:val="0"/>
              <w:autoSpaceDE/>
              <w:autoSpaceDN/>
              <w:bidi w:val="0"/>
              <w:adjustRightInd/>
              <w:snapToGrid/>
              <w:spacing w:line="520" w:lineRule="exact"/>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eastAsia" w:cs="Times New Roman"/>
                <w:b/>
                <w:bCs/>
                <w:color w:val="auto"/>
                <w:sz w:val="24"/>
                <w:szCs w:val="24"/>
                <w:highlight w:val="none"/>
                <w:vertAlign w:val="baseline"/>
                <w:lang w:val="en-US" w:eastAsia="zh-CN"/>
              </w:rPr>
              <w:t>4</w:t>
            </w:r>
            <w:r>
              <w:rPr>
                <w:rFonts w:hint="default" w:ascii="Times New Roman" w:hAnsi="Times New Roman" w:eastAsia="宋体" w:cs="Times New Roman"/>
                <w:b/>
                <w:bCs/>
                <w:color w:val="auto"/>
                <w:sz w:val="24"/>
                <w:szCs w:val="24"/>
                <w:highlight w:val="none"/>
                <w:vertAlign w:val="baseline"/>
                <w:lang w:val="en-US" w:eastAsia="zh-CN"/>
              </w:rPr>
              <w:t>、主要原辅材料来源及用量</w:t>
            </w:r>
          </w:p>
          <w:p w14:paraId="4BBA5111">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eastAsia" w:cs="Times New Roman"/>
                <w:b/>
                <w:bCs/>
                <w:color w:val="auto"/>
                <w:sz w:val="24"/>
                <w:szCs w:val="24"/>
                <w:highlight w:val="none"/>
                <w:vertAlign w:val="baseline"/>
                <w:lang w:val="en-US" w:eastAsia="zh-CN"/>
              </w:rPr>
              <w:t>4</w:t>
            </w:r>
            <w:r>
              <w:rPr>
                <w:rFonts w:hint="default" w:ascii="Times New Roman" w:hAnsi="Times New Roman" w:cs="Times New Roman"/>
                <w:b/>
                <w:bCs/>
                <w:color w:val="auto"/>
                <w:sz w:val="24"/>
                <w:szCs w:val="24"/>
                <w:highlight w:val="none"/>
                <w:vertAlign w:val="baseline"/>
                <w:lang w:val="en-US" w:eastAsia="zh-CN"/>
              </w:rPr>
              <w:t>.1 原辅材料</w:t>
            </w:r>
          </w:p>
          <w:p w14:paraId="4D7E7BCE">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rPr>
              <w:t>本项目主要原辅材料用量情况见下表。</w:t>
            </w:r>
          </w:p>
          <w:p w14:paraId="6A37D1EB">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表2-</w:t>
            </w:r>
            <w:r>
              <w:rPr>
                <w:rFonts w:hint="eastAsia" w:cs="Times New Roman"/>
                <w:b w:val="0"/>
                <w:bCs w:val="0"/>
                <w:color w:val="auto"/>
                <w:kern w:val="0"/>
                <w:sz w:val="21"/>
                <w:szCs w:val="21"/>
                <w:highlight w:val="none"/>
                <w:vertAlign w:val="baseline"/>
                <w:lang w:val="en-US" w:eastAsia="zh-CN" w:bidi="ar-SA"/>
              </w:rPr>
              <w:t>4</w:t>
            </w:r>
            <w:r>
              <w:rPr>
                <w:rFonts w:hint="default" w:ascii="Times New Roman" w:hAnsi="Times New Roman" w:eastAsia="宋体" w:cs="Times New Roman"/>
                <w:b w:val="0"/>
                <w:bCs w:val="0"/>
                <w:color w:val="auto"/>
                <w:kern w:val="0"/>
                <w:sz w:val="21"/>
                <w:szCs w:val="21"/>
                <w:highlight w:val="none"/>
                <w:vertAlign w:val="baseline"/>
                <w:lang w:val="en-US" w:eastAsia="zh-CN" w:bidi="ar-SA"/>
              </w:rPr>
              <w:t xml:space="preserve">  项目主要原辅材料年使用量一览表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740"/>
              <w:gridCol w:w="1379"/>
              <w:gridCol w:w="2072"/>
              <w:gridCol w:w="1829"/>
            </w:tblGrid>
            <w:tr w14:paraId="314D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0" w:type="pct"/>
                  <w:vAlign w:val="center"/>
                </w:tcPr>
                <w:p w14:paraId="195AACE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序号</w:t>
                  </w:r>
                </w:p>
              </w:tc>
              <w:tc>
                <w:tcPr>
                  <w:tcW w:w="1132" w:type="pct"/>
                  <w:vAlign w:val="center"/>
                </w:tcPr>
                <w:p w14:paraId="5BA4331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color w:val="auto"/>
                      <w:szCs w:val="21"/>
                      <w:highlight w:val="none"/>
                    </w:rPr>
                  </w:pPr>
                  <w:r>
                    <w:rPr>
                      <w:rFonts w:hint="eastAsia"/>
                      <w:color w:val="auto"/>
                      <w:szCs w:val="21"/>
                      <w:highlight w:val="none"/>
                    </w:rPr>
                    <w:t>原辅料</w:t>
                  </w:r>
                </w:p>
              </w:tc>
              <w:tc>
                <w:tcPr>
                  <w:tcW w:w="897" w:type="pct"/>
                  <w:vAlign w:val="center"/>
                </w:tcPr>
                <w:p w14:paraId="078B08DD">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color w:val="auto"/>
                      <w:szCs w:val="21"/>
                      <w:highlight w:val="none"/>
                    </w:rPr>
                  </w:pPr>
                  <w:r>
                    <w:rPr>
                      <w:rFonts w:hint="eastAsia"/>
                      <w:color w:val="auto"/>
                      <w:szCs w:val="21"/>
                      <w:highlight w:val="none"/>
                    </w:rPr>
                    <w:t>年用量</w:t>
                  </w:r>
                </w:p>
              </w:tc>
              <w:tc>
                <w:tcPr>
                  <w:tcW w:w="1348" w:type="pct"/>
                  <w:vAlign w:val="center"/>
                </w:tcPr>
                <w:p w14:paraId="113BF37F">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color w:val="auto"/>
                      <w:szCs w:val="21"/>
                      <w:highlight w:val="none"/>
                    </w:rPr>
                  </w:pPr>
                  <w:r>
                    <w:rPr>
                      <w:rFonts w:hint="eastAsia"/>
                      <w:color w:val="auto"/>
                      <w:szCs w:val="21"/>
                      <w:highlight w:val="none"/>
                    </w:rPr>
                    <w:t>包装方式</w:t>
                  </w:r>
                </w:p>
              </w:tc>
              <w:tc>
                <w:tcPr>
                  <w:tcW w:w="1190" w:type="pct"/>
                  <w:vAlign w:val="center"/>
                </w:tcPr>
                <w:p w14:paraId="339CD552">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eastAsia="zh-CN"/>
                    </w:rPr>
                  </w:pPr>
                  <w:r>
                    <w:rPr>
                      <w:rFonts w:hint="eastAsia"/>
                      <w:color w:val="auto"/>
                      <w:szCs w:val="21"/>
                      <w:highlight w:val="none"/>
                      <w:lang w:val="en-US" w:eastAsia="zh-CN"/>
                    </w:rPr>
                    <w:t>备注</w:t>
                  </w:r>
                </w:p>
              </w:tc>
            </w:tr>
            <w:tr w14:paraId="0F12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14DDE480">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w:t>
                  </w:r>
                </w:p>
              </w:tc>
              <w:tc>
                <w:tcPr>
                  <w:tcW w:w="1132" w:type="pct"/>
                  <w:vAlign w:val="center"/>
                </w:tcPr>
                <w:p w14:paraId="21064A5A">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color w:val="auto"/>
                      <w:szCs w:val="21"/>
                      <w:highlight w:val="none"/>
                      <w:lang w:val="en-US" w:eastAsia="zh-CN"/>
                    </w:rPr>
                  </w:pPr>
                  <w:r>
                    <w:rPr>
                      <w:rFonts w:hint="eastAsia"/>
                      <w:color w:val="auto"/>
                      <w:szCs w:val="21"/>
                      <w:highlight w:val="none"/>
                      <w:lang w:val="en-US" w:eastAsia="zh-CN"/>
                    </w:rPr>
                    <w:t>型材/板材</w:t>
                  </w:r>
                </w:p>
              </w:tc>
              <w:tc>
                <w:tcPr>
                  <w:tcW w:w="897" w:type="pct"/>
                  <w:vAlign w:val="center"/>
                </w:tcPr>
                <w:p w14:paraId="161FA54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5000</w:t>
                  </w:r>
                  <w:r>
                    <w:rPr>
                      <w:rFonts w:hint="eastAsia"/>
                      <w:color w:val="auto"/>
                      <w:szCs w:val="21"/>
                      <w:highlight w:val="none"/>
                    </w:rPr>
                    <w:t>t/a</w:t>
                  </w:r>
                </w:p>
              </w:tc>
              <w:tc>
                <w:tcPr>
                  <w:tcW w:w="1348" w:type="pct"/>
                  <w:vAlign w:val="center"/>
                </w:tcPr>
                <w:p w14:paraId="450C25D0">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val="en-US" w:eastAsia="zh-CN"/>
                    </w:rPr>
                  </w:pPr>
                  <w:r>
                    <w:rPr>
                      <w:rFonts w:hint="eastAsia" w:eastAsia="宋体"/>
                      <w:color w:val="auto"/>
                      <w:szCs w:val="21"/>
                      <w:highlight w:val="none"/>
                      <w:lang w:val="en-US" w:eastAsia="zh-CN"/>
                    </w:rPr>
                    <w:t>散装存放于车间内</w:t>
                  </w:r>
                </w:p>
              </w:tc>
              <w:tc>
                <w:tcPr>
                  <w:tcW w:w="1190" w:type="pct"/>
                  <w:vAlign w:val="center"/>
                </w:tcPr>
                <w:p w14:paraId="7B450CFF">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外购，金属材料</w:t>
                  </w:r>
                </w:p>
              </w:tc>
            </w:tr>
            <w:tr w14:paraId="640D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108B9ABA">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2</w:t>
                  </w:r>
                </w:p>
              </w:tc>
              <w:tc>
                <w:tcPr>
                  <w:tcW w:w="1132" w:type="pct"/>
                  <w:vAlign w:val="center"/>
                </w:tcPr>
                <w:p w14:paraId="1B261DC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color w:val="auto"/>
                      <w:szCs w:val="21"/>
                      <w:highlight w:val="none"/>
                      <w:lang w:val="en-US" w:eastAsia="zh-CN"/>
                    </w:rPr>
                  </w:pPr>
                  <w:r>
                    <w:rPr>
                      <w:rFonts w:hint="eastAsia" w:eastAsia="宋体" w:cs="Times New Roman"/>
                      <w:b w:val="0"/>
                      <w:bCs w:val="0"/>
                      <w:color w:val="auto"/>
                      <w:sz w:val="21"/>
                      <w:szCs w:val="21"/>
                      <w:highlight w:val="none"/>
                      <w:u w:val="none"/>
                      <w:vertAlign w:val="baseline"/>
                      <w:lang w:val="en-US" w:eastAsia="zh-CN"/>
                    </w:rPr>
                    <w:t>实芯</w:t>
                  </w:r>
                  <w:r>
                    <w:rPr>
                      <w:rFonts w:hint="eastAsia"/>
                      <w:color w:val="auto"/>
                      <w:szCs w:val="21"/>
                      <w:highlight w:val="none"/>
                      <w:lang w:val="en-US" w:eastAsia="zh-CN"/>
                    </w:rPr>
                    <w:t>焊丝</w:t>
                  </w:r>
                </w:p>
              </w:tc>
              <w:tc>
                <w:tcPr>
                  <w:tcW w:w="897" w:type="pct"/>
                  <w:vAlign w:val="center"/>
                </w:tcPr>
                <w:p w14:paraId="33B2954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8</w:t>
                  </w:r>
                  <w:r>
                    <w:rPr>
                      <w:rFonts w:hint="eastAsia"/>
                      <w:color w:val="auto"/>
                      <w:szCs w:val="21"/>
                      <w:highlight w:val="none"/>
                    </w:rPr>
                    <w:t>t/a</w:t>
                  </w:r>
                </w:p>
              </w:tc>
              <w:tc>
                <w:tcPr>
                  <w:tcW w:w="1348" w:type="pct"/>
                  <w:vAlign w:val="center"/>
                </w:tcPr>
                <w:p w14:paraId="4C3DB302">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袋装存放</w:t>
                  </w:r>
                </w:p>
              </w:tc>
              <w:tc>
                <w:tcPr>
                  <w:tcW w:w="1190" w:type="pct"/>
                  <w:vAlign w:val="center"/>
                </w:tcPr>
                <w:p w14:paraId="0A5D9A0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外购，焊接使用</w:t>
                  </w:r>
                </w:p>
              </w:tc>
            </w:tr>
            <w:tr w14:paraId="2230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5996BB6A">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3</w:t>
                  </w:r>
                </w:p>
              </w:tc>
              <w:tc>
                <w:tcPr>
                  <w:tcW w:w="1132" w:type="pct"/>
                  <w:vAlign w:val="center"/>
                </w:tcPr>
                <w:p w14:paraId="245DF17C">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振动电机</w:t>
                  </w:r>
                </w:p>
              </w:tc>
              <w:tc>
                <w:tcPr>
                  <w:tcW w:w="897" w:type="pct"/>
                  <w:vAlign w:val="center"/>
                </w:tcPr>
                <w:p w14:paraId="138696B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2000台/a</w:t>
                  </w:r>
                </w:p>
              </w:tc>
              <w:tc>
                <w:tcPr>
                  <w:tcW w:w="1348" w:type="pct"/>
                  <w:vAlign w:val="center"/>
                </w:tcPr>
                <w:p w14:paraId="4A0A4401">
                  <w:pPr>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val="en-US" w:eastAsia="zh-CN"/>
                    </w:rPr>
                  </w:pPr>
                  <w:r>
                    <w:rPr>
                      <w:rFonts w:hint="eastAsia" w:eastAsia="宋体"/>
                      <w:color w:val="auto"/>
                      <w:szCs w:val="21"/>
                      <w:highlight w:val="none"/>
                      <w:lang w:val="en-US" w:eastAsia="zh-CN"/>
                    </w:rPr>
                    <w:t>散装存放于车间内</w:t>
                  </w:r>
                </w:p>
              </w:tc>
              <w:tc>
                <w:tcPr>
                  <w:tcW w:w="1190" w:type="pct"/>
                  <w:vAlign w:val="center"/>
                </w:tcPr>
                <w:p w14:paraId="2550A0B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外购，设备配件</w:t>
                  </w:r>
                </w:p>
              </w:tc>
            </w:tr>
            <w:tr w14:paraId="0F3B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386D6EA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4</w:t>
                  </w:r>
                </w:p>
              </w:tc>
              <w:tc>
                <w:tcPr>
                  <w:tcW w:w="1132" w:type="pct"/>
                  <w:vAlign w:val="center"/>
                </w:tcPr>
                <w:p w14:paraId="4D3FE58A">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控制箱</w:t>
                  </w:r>
                </w:p>
              </w:tc>
              <w:tc>
                <w:tcPr>
                  <w:tcW w:w="897" w:type="pct"/>
                  <w:vAlign w:val="center"/>
                </w:tcPr>
                <w:p w14:paraId="59689AED">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800台/a</w:t>
                  </w:r>
                </w:p>
              </w:tc>
              <w:tc>
                <w:tcPr>
                  <w:tcW w:w="1348" w:type="pct"/>
                  <w:shd w:val="clear" w:color="auto" w:fill="auto"/>
                  <w:vAlign w:val="center"/>
                </w:tcPr>
                <w:p w14:paraId="53A542B9">
                  <w:pPr>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散装存放于车间内</w:t>
                  </w:r>
                </w:p>
              </w:tc>
              <w:tc>
                <w:tcPr>
                  <w:tcW w:w="1190" w:type="pct"/>
                  <w:shd w:val="clear" w:color="auto" w:fill="auto"/>
                  <w:vAlign w:val="center"/>
                </w:tcPr>
                <w:p w14:paraId="4811BED0">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color w:val="auto"/>
                      <w:szCs w:val="21"/>
                      <w:highlight w:val="none"/>
                      <w:lang w:val="en-US" w:eastAsia="zh-CN"/>
                    </w:rPr>
                    <w:t>外购，设备配件</w:t>
                  </w:r>
                </w:p>
              </w:tc>
            </w:tr>
            <w:tr w14:paraId="4F9F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05934BA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5</w:t>
                  </w:r>
                </w:p>
              </w:tc>
              <w:tc>
                <w:tcPr>
                  <w:tcW w:w="1132" w:type="pct"/>
                  <w:vAlign w:val="center"/>
                </w:tcPr>
                <w:p w14:paraId="12982DD4">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筛网拉板</w:t>
                  </w:r>
                </w:p>
              </w:tc>
              <w:tc>
                <w:tcPr>
                  <w:tcW w:w="897" w:type="pct"/>
                  <w:vAlign w:val="center"/>
                </w:tcPr>
                <w:p w14:paraId="0EC9FB9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3000块/a</w:t>
                  </w:r>
                </w:p>
              </w:tc>
              <w:tc>
                <w:tcPr>
                  <w:tcW w:w="1348" w:type="pct"/>
                  <w:shd w:val="clear" w:color="auto" w:fill="auto"/>
                  <w:vAlign w:val="center"/>
                </w:tcPr>
                <w:p w14:paraId="2D996206">
                  <w:pPr>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散装存放于车间内</w:t>
                  </w:r>
                </w:p>
              </w:tc>
              <w:tc>
                <w:tcPr>
                  <w:tcW w:w="1190" w:type="pct"/>
                  <w:shd w:val="clear" w:color="auto" w:fill="auto"/>
                  <w:vAlign w:val="center"/>
                </w:tcPr>
                <w:p w14:paraId="15B7E274">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外购，设备配件</w:t>
                  </w:r>
                </w:p>
              </w:tc>
            </w:tr>
            <w:tr w14:paraId="2B62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23CD3A8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6</w:t>
                  </w:r>
                </w:p>
              </w:tc>
              <w:tc>
                <w:tcPr>
                  <w:tcW w:w="1132" w:type="pct"/>
                  <w:vAlign w:val="center"/>
                </w:tcPr>
                <w:p w14:paraId="788633ED">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振动筛筛网</w:t>
                  </w:r>
                </w:p>
              </w:tc>
              <w:tc>
                <w:tcPr>
                  <w:tcW w:w="897" w:type="pct"/>
                  <w:shd w:val="clear" w:color="auto" w:fill="auto"/>
                  <w:vAlign w:val="center"/>
                </w:tcPr>
                <w:p w14:paraId="55457A2A">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color w:val="auto"/>
                      <w:szCs w:val="21"/>
                      <w:highlight w:val="none"/>
                      <w:lang w:val="en-US" w:eastAsia="zh-CN"/>
                    </w:rPr>
                    <w:t>5000张/a</w:t>
                  </w:r>
                </w:p>
              </w:tc>
              <w:tc>
                <w:tcPr>
                  <w:tcW w:w="1348" w:type="pct"/>
                  <w:shd w:val="clear" w:color="auto" w:fill="auto"/>
                  <w:vAlign w:val="center"/>
                </w:tcPr>
                <w:p w14:paraId="12BE40BA">
                  <w:pPr>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散装存放于车间内</w:t>
                  </w:r>
                </w:p>
              </w:tc>
              <w:tc>
                <w:tcPr>
                  <w:tcW w:w="1190" w:type="pct"/>
                  <w:shd w:val="clear" w:color="auto" w:fill="auto"/>
                  <w:vAlign w:val="center"/>
                </w:tcPr>
                <w:p w14:paraId="5DC05C0B">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外购，设备配件</w:t>
                  </w:r>
                </w:p>
              </w:tc>
            </w:tr>
            <w:tr w14:paraId="4C50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605C7A8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7</w:t>
                  </w:r>
                </w:p>
              </w:tc>
              <w:tc>
                <w:tcPr>
                  <w:tcW w:w="1132" w:type="pct"/>
                  <w:vAlign w:val="center"/>
                </w:tcPr>
                <w:p w14:paraId="75403F70">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color w:val="auto"/>
                      <w:szCs w:val="21"/>
                      <w:highlight w:val="none"/>
                      <w:lang w:val="en-US" w:eastAsia="zh-CN"/>
                    </w:rPr>
                  </w:pPr>
                  <w:r>
                    <w:rPr>
                      <w:rFonts w:hint="eastAsia"/>
                      <w:color w:val="auto"/>
                      <w:szCs w:val="21"/>
                      <w:highlight w:val="none"/>
                      <w:lang w:val="en-US" w:eastAsia="zh-CN"/>
                    </w:rPr>
                    <w:t>切削液</w:t>
                  </w:r>
                </w:p>
              </w:tc>
              <w:tc>
                <w:tcPr>
                  <w:tcW w:w="897" w:type="pct"/>
                  <w:shd w:val="clear" w:color="auto" w:fill="auto"/>
                  <w:vAlign w:val="center"/>
                </w:tcPr>
                <w:p w14:paraId="61ABA1E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0.3</w:t>
                  </w:r>
                  <w:r>
                    <w:rPr>
                      <w:rFonts w:hint="eastAsia"/>
                      <w:color w:val="auto"/>
                      <w:szCs w:val="21"/>
                      <w:highlight w:val="none"/>
                    </w:rPr>
                    <w:t>t/a</w:t>
                  </w:r>
                </w:p>
              </w:tc>
              <w:tc>
                <w:tcPr>
                  <w:tcW w:w="1348" w:type="pct"/>
                  <w:shd w:val="clear" w:color="auto" w:fill="auto"/>
                  <w:vAlign w:val="center"/>
                </w:tcPr>
                <w:p w14:paraId="6D421915">
                  <w:pPr>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val="en-US" w:eastAsia="zh-CN"/>
                    </w:rPr>
                  </w:pPr>
                  <w:r>
                    <w:rPr>
                      <w:rFonts w:hint="eastAsia" w:eastAsia="宋体"/>
                      <w:color w:val="auto"/>
                      <w:szCs w:val="21"/>
                      <w:highlight w:val="none"/>
                      <w:lang w:val="en-US" w:eastAsia="zh-CN"/>
                    </w:rPr>
                    <w:t>桶装存放</w:t>
                  </w:r>
                  <w:r>
                    <w:rPr>
                      <w:rFonts w:hint="eastAsia"/>
                      <w:color w:val="auto"/>
                      <w:szCs w:val="21"/>
                      <w:highlight w:val="none"/>
                      <w:lang w:val="en-US" w:eastAsia="zh-CN"/>
                    </w:rPr>
                    <w:t>，20kg/桶</w:t>
                  </w:r>
                </w:p>
              </w:tc>
              <w:tc>
                <w:tcPr>
                  <w:tcW w:w="1190" w:type="pct"/>
                  <w:shd w:val="clear" w:color="auto" w:fill="auto"/>
                  <w:vAlign w:val="center"/>
                </w:tcPr>
                <w:p w14:paraId="68302FE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宋体" w:eastAsia="宋体" w:cs="Times New Roman"/>
                      <w:color w:val="auto"/>
                      <w:szCs w:val="21"/>
                      <w:highlight w:val="none"/>
                      <w:lang w:val="en-US" w:eastAsia="zh-CN"/>
                    </w:rPr>
                  </w:pPr>
                  <w:r>
                    <w:rPr>
                      <w:rFonts w:hint="default" w:ascii="Times New Roman" w:hAnsi="宋体" w:eastAsia="宋体" w:cs="Times New Roman"/>
                      <w:color w:val="auto"/>
                      <w:szCs w:val="21"/>
                      <w:highlight w:val="none"/>
                      <w:lang w:val="en-US" w:eastAsia="zh-CN"/>
                    </w:rPr>
                    <w:t>切割使用</w:t>
                  </w:r>
                  <w:r>
                    <w:rPr>
                      <w:rFonts w:hint="eastAsia" w:cs="Times New Roman"/>
                      <w:color w:val="auto"/>
                      <w:szCs w:val="21"/>
                      <w:highlight w:val="none"/>
                      <w:lang w:val="en-US" w:eastAsia="zh-CN"/>
                    </w:rPr>
                    <w:t>，最大储存量10桶</w:t>
                  </w:r>
                </w:p>
              </w:tc>
            </w:tr>
            <w:tr w14:paraId="6509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5156C7B4">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8</w:t>
                  </w:r>
                </w:p>
              </w:tc>
              <w:tc>
                <w:tcPr>
                  <w:tcW w:w="1132" w:type="pct"/>
                  <w:vAlign w:val="center"/>
                </w:tcPr>
                <w:p w14:paraId="6B718D92">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color w:val="auto"/>
                      <w:szCs w:val="21"/>
                      <w:highlight w:val="none"/>
                      <w:lang w:val="en-US" w:eastAsia="zh-CN"/>
                    </w:rPr>
                  </w:pPr>
                  <w:r>
                    <w:rPr>
                      <w:rFonts w:hint="eastAsia"/>
                      <w:color w:val="auto"/>
                      <w:szCs w:val="21"/>
                      <w:highlight w:val="none"/>
                      <w:lang w:val="en-US" w:eastAsia="zh-CN"/>
                    </w:rPr>
                    <w:t>防锈油</w:t>
                  </w:r>
                </w:p>
              </w:tc>
              <w:tc>
                <w:tcPr>
                  <w:tcW w:w="897" w:type="pct"/>
                  <w:shd w:val="clear" w:color="auto" w:fill="auto"/>
                  <w:vAlign w:val="center"/>
                </w:tcPr>
                <w:p w14:paraId="590EF26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1.2</w:t>
                  </w:r>
                  <w:r>
                    <w:rPr>
                      <w:rFonts w:hint="eastAsia"/>
                      <w:color w:val="auto"/>
                      <w:szCs w:val="21"/>
                      <w:highlight w:val="none"/>
                    </w:rPr>
                    <w:t>t/a</w:t>
                  </w:r>
                </w:p>
              </w:tc>
              <w:tc>
                <w:tcPr>
                  <w:tcW w:w="1348" w:type="pct"/>
                  <w:shd w:val="clear" w:color="auto" w:fill="auto"/>
                  <w:vAlign w:val="center"/>
                </w:tcPr>
                <w:p w14:paraId="4DB27998">
                  <w:pPr>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lang w:val="en-US" w:eastAsia="zh-CN"/>
                    </w:rPr>
                  </w:pPr>
                  <w:r>
                    <w:rPr>
                      <w:rFonts w:hint="eastAsia" w:eastAsia="宋体"/>
                      <w:color w:val="auto"/>
                      <w:szCs w:val="21"/>
                      <w:highlight w:val="none"/>
                      <w:lang w:val="en-US" w:eastAsia="zh-CN"/>
                    </w:rPr>
                    <w:t>桶装存放</w:t>
                  </w:r>
                  <w:r>
                    <w:rPr>
                      <w:rFonts w:hint="eastAsia"/>
                      <w:color w:val="auto"/>
                      <w:szCs w:val="21"/>
                      <w:highlight w:val="none"/>
                      <w:lang w:val="en-US" w:eastAsia="zh-CN"/>
                    </w:rPr>
                    <w:t>，20kg/桶</w:t>
                  </w:r>
                </w:p>
              </w:tc>
              <w:tc>
                <w:tcPr>
                  <w:tcW w:w="1190" w:type="pct"/>
                  <w:shd w:val="clear" w:color="auto" w:fill="auto"/>
                  <w:vAlign w:val="center"/>
                </w:tcPr>
                <w:p w14:paraId="083C2A3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宋体" w:eastAsia="宋体" w:cs="Times New Roman"/>
                      <w:color w:val="auto"/>
                      <w:szCs w:val="21"/>
                      <w:highlight w:val="none"/>
                      <w:lang w:val="en-US" w:eastAsia="zh-CN"/>
                    </w:rPr>
                  </w:pPr>
                  <w:r>
                    <w:rPr>
                      <w:rFonts w:hint="default" w:ascii="Times New Roman" w:hAnsi="宋体" w:eastAsia="宋体" w:cs="Times New Roman"/>
                      <w:color w:val="auto"/>
                      <w:szCs w:val="21"/>
                      <w:highlight w:val="none"/>
                      <w:lang w:val="en-US" w:eastAsia="zh-CN"/>
                    </w:rPr>
                    <w:t>防锈使用</w:t>
                  </w:r>
                  <w:r>
                    <w:rPr>
                      <w:rFonts w:hint="eastAsia" w:cs="Times New Roman"/>
                      <w:color w:val="auto"/>
                      <w:szCs w:val="21"/>
                      <w:highlight w:val="none"/>
                      <w:lang w:val="en-US" w:eastAsia="zh-CN"/>
                    </w:rPr>
                    <w:t>，最大储存量10桶</w:t>
                  </w:r>
                </w:p>
              </w:tc>
            </w:tr>
            <w:tr w14:paraId="4EC3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109A5E02">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9</w:t>
                  </w:r>
                </w:p>
              </w:tc>
              <w:tc>
                <w:tcPr>
                  <w:tcW w:w="1132" w:type="pct"/>
                  <w:vAlign w:val="center"/>
                </w:tcPr>
                <w:p w14:paraId="6684BF2F">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color w:val="auto"/>
                      <w:szCs w:val="21"/>
                      <w:highlight w:val="none"/>
                      <w:lang w:val="en-US" w:eastAsia="zh-CN"/>
                    </w:rPr>
                  </w:pPr>
                  <w:r>
                    <w:rPr>
                      <w:rFonts w:hint="eastAsia"/>
                      <w:color w:val="auto"/>
                      <w:szCs w:val="21"/>
                      <w:highlight w:val="none"/>
                      <w:lang w:val="en-US" w:eastAsia="zh-CN"/>
                    </w:rPr>
                    <w:t>机油</w:t>
                  </w:r>
                </w:p>
              </w:tc>
              <w:tc>
                <w:tcPr>
                  <w:tcW w:w="897" w:type="pct"/>
                  <w:shd w:val="clear" w:color="auto" w:fill="auto"/>
                  <w:vAlign w:val="center"/>
                </w:tcPr>
                <w:p w14:paraId="740BE460">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0.02</w:t>
                  </w:r>
                  <w:r>
                    <w:rPr>
                      <w:rFonts w:hint="eastAsia"/>
                      <w:color w:val="auto"/>
                      <w:szCs w:val="21"/>
                      <w:highlight w:val="none"/>
                    </w:rPr>
                    <w:t>t/a</w:t>
                  </w:r>
                </w:p>
              </w:tc>
              <w:tc>
                <w:tcPr>
                  <w:tcW w:w="1348" w:type="pct"/>
                  <w:shd w:val="clear" w:color="auto" w:fill="auto"/>
                  <w:vAlign w:val="center"/>
                </w:tcPr>
                <w:p w14:paraId="6E3F2319">
                  <w:pPr>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highlight w:val="none"/>
                      <w:lang w:val="en-US" w:eastAsia="zh-CN"/>
                    </w:rPr>
                  </w:pPr>
                  <w:r>
                    <w:rPr>
                      <w:rFonts w:hint="eastAsia" w:eastAsia="宋体"/>
                      <w:color w:val="auto"/>
                      <w:szCs w:val="21"/>
                      <w:highlight w:val="none"/>
                      <w:lang w:val="en-US" w:eastAsia="zh-CN"/>
                    </w:rPr>
                    <w:t>桶装存放</w:t>
                  </w:r>
                  <w:r>
                    <w:rPr>
                      <w:rFonts w:hint="eastAsia"/>
                      <w:color w:val="auto"/>
                      <w:szCs w:val="21"/>
                      <w:highlight w:val="none"/>
                      <w:lang w:val="en-US" w:eastAsia="zh-CN"/>
                    </w:rPr>
                    <w:t>，20kg/桶</w:t>
                  </w:r>
                </w:p>
              </w:tc>
              <w:tc>
                <w:tcPr>
                  <w:tcW w:w="1190" w:type="pct"/>
                  <w:shd w:val="clear" w:color="auto" w:fill="auto"/>
                  <w:vAlign w:val="center"/>
                </w:tcPr>
                <w:p w14:paraId="5453C38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宋体" w:eastAsia="宋体" w:cs="Times New Roman"/>
                      <w:color w:val="auto"/>
                      <w:szCs w:val="21"/>
                      <w:highlight w:val="none"/>
                      <w:lang w:val="en-US" w:eastAsia="zh-CN"/>
                    </w:rPr>
                  </w:pPr>
                  <w:r>
                    <w:rPr>
                      <w:rFonts w:hint="default" w:ascii="Times New Roman" w:hAnsi="宋体" w:eastAsia="宋体" w:cs="Times New Roman"/>
                      <w:color w:val="auto"/>
                      <w:szCs w:val="21"/>
                      <w:highlight w:val="none"/>
                      <w:lang w:val="en-US" w:eastAsia="zh-CN"/>
                    </w:rPr>
                    <w:t>设备维护</w:t>
                  </w:r>
                  <w:r>
                    <w:rPr>
                      <w:rFonts w:hint="eastAsia" w:cs="Times New Roman"/>
                      <w:color w:val="auto"/>
                      <w:szCs w:val="21"/>
                      <w:highlight w:val="none"/>
                      <w:lang w:val="en-US" w:eastAsia="zh-CN"/>
                    </w:rPr>
                    <w:t>，最大储存量1桶</w:t>
                  </w:r>
                </w:p>
              </w:tc>
            </w:tr>
          </w:tbl>
          <w:p w14:paraId="0EBBD04C">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highlight w:val="none"/>
                <w:vertAlign w:val="baseline"/>
                <w:lang w:eastAsia="zh-CN"/>
              </w:rPr>
            </w:pPr>
            <w:r>
              <w:rPr>
                <w:rFonts w:hint="default" w:ascii="Times New Roman" w:hAnsi="Times New Roman" w:eastAsia="宋体" w:cs="Times New Roman"/>
                <w:b w:val="0"/>
                <w:bCs w:val="0"/>
                <w:color w:val="auto"/>
                <w:sz w:val="24"/>
                <w:szCs w:val="24"/>
                <w:highlight w:val="none"/>
                <w:vertAlign w:val="baseline"/>
                <w:lang w:eastAsia="zh-CN"/>
              </w:rPr>
              <w:t>原料理化性质：</w:t>
            </w:r>
          </w:p>
          <w:p w14:paraId="78850358">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Times New Roman" w:hAnsi="Times New Roman" w:eastAsia="宋体" w:cs="Times New Roman"/>
                <w:b w:val="0"/>
                <w:bCs w:val="0"/>
                <w:color w:val="auto"/>
                <w:kern w:val="0"/>
                <w:sz w:val="21"/>
                <w:szCs w:val="21"/>
                <w:highlight w:val="none"/>
                <w:vertAlign w:val="baseline"/>
                <w:lang w:val="en-US" w:eastAsia="zh-CN" w:bidi="ar-SA"/>
              </w:rPr>
            </w:pPr>
          </w:p>
          <w:p w14:paraId="10FCCA01">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Times New Roman" w:hAnsi="Times New Roman" w:eastAsia="宋体" w:cs="Times New Roman"/>
                <w:b w:val="0"/>
                <w:bCs w:val="0"/>
                <w:color w:val="auto"/>
                <w:kern w:val="0"/>
                <w:sz w:val="21"/>
                <w:szCs w:val="21"/>
                <w:highlight w:val="none"/>
                <w:vertAlign w:val="baseline"/>
                <w:lang w:val="en-US" w:eastAsia="zh-CN" w:bidi="ar-SA"/>
              </w:rPr>
            </w:pPr>
          </w:p>
          <w:p w14:paraId="36D7AA5F">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zh-CN"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 xml:space="preserve">表2-5   </w:t>
            </w:r>
            <w:r>
              <w:rPr>
                <w:rFonts w:hint="default" w:ascii="Times New Roman" w:hAnsi="Times New Roman" w:eastAsia="宋体" w:cs="Times New Roman"/>
                <w:b w:val="0"/>
                <w:bCs w:val="0"/>
                <w:color w:val="auto"/>
                <w:kern w:val="0"/>
                <w:sz w:val="21"/>
                <w:szCs w:val="21"/>
                <w:highlight w:val="none"/>
                <w:vertAlign w:val="baseline"/>
                <w:lang w:val="zh-CN" w:eastAsia="zh-CN" w:bidi="ar-SA"/>
              </w:rPr>
              <w:t>原料理化性质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7"/>
              <w:gridCol w:w="1076"/>
              <w:gridCol w:w="5991"/>
            </w:tblGrid>
            <w:tr w14:paraId="04BA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17" w:type="dxa"/>
                  <w:noWrap w:val="0"/>
                  <w:vAlign w:val="center"/>
                </w:tcPr>
                <w:p w14:paraId="094485A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1076" w:type="dxa"/>
                  <w:noWrap w:val="0"/>
                  <w:vAlign w:val="center"/>
                </w:tcPr>
                <w:p w14:paraId="1CF84008">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化学名称</w:t>
                  </w:r>
                </w:p>
              </w:tc>
              <w:tc>
                <w:tcPr>
                  <w:tcW w:w="5991" w:type="dxa"/>
                  <w:noWrap w:val="0"/>
                  <w:vAlign w:val="center"/>
                </w:tcPr>
                <w:p w14:paraId="71657D9A">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理化性质</w:t>
                  </w:r>
                </w:p>
              </w:tc>
            </w:tr>
            <w:tr w14:paraId="5345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17" w:type="dxa"/>
                  <w:noWrap w:val="0"/>
                  <w:vAlign w:val="center"/>
                </w:tcPr>
                <w:p w14:paraId="7AF00EBF">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1</w:t>
                  </w:r>
                </w:p>
              </w:tc>
              <w:tc>
                <w:tcPr>
                  <w:tcW w:w="1076" w:type="dxa"/>
                  <w:noWrap w:val="0"/>
                  <w:vAlign w:val="center"/>
                </w:tcPr>
                <w:p w14:paraId="7D488324">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切削液</w:t>
                  </w:r>
                </w:p>
              </w:tc>
              <w:tc>
                <w:tcPr>
                  <w:tcW w:w="5991" w:type="dxa"/>
                  <w:noWrap w:val="0"/>
                  <w:vAlign w:val="center"/>
                </w:tcPr>
                <w:p w14:paraId="6724D2B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both"/>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外观:透明，液体颜色：淡黄色，气味:无，pH值:8.5-9.5，相对密度:1.05-1.15g/cm</w:t>
                  </w:r>
                  <w:r>
                    <w:rPr>
                      <w:rFonts w:hint="default" w:ascii="Times New Roman" w:hAnsi="Times New Roman" w:eastAsia="宋体" w:cs="Times New Roman"/>
                      <w:color w:val="auto"/>
                      <w:sz w:val="21"/>
                      <w:szCs w:val="21"/>
                      <w:u w:val="single"/>
                      <w:vertAlign w:val="superscript"/>
                      <w:lang w:val="en-US" w:eastAsia="zh-CN"/>
                    </w:rPr>
                    <w:t>3</w:t>
                  </w:r>
                  <w:r>
                    <w:rPr>
                      <w:rFonts w:hint="eastAsia" w:hAnsi="Times New Roman" w:cs="Times New Roman"/>
                      <w:color w:val="auto"/>
                      <w:sz w:val="21"/>
                      <w:szCs w:val="21"/>
                      <w:u w:val="single"/>
                      <w:vertAlign w:val="baseline"/>
                      <w:lang w:val="en-US" w:eastAsia="zh-CN"/>
                    </w:rPr>
                    <w:t>，</w:t>
                  </w:r>
                  <w:r>
                    <w:rPr>
                      <w:rFonts w:hint="default" w:ascii="Times New Roman" w:hAnsi="Times New Roman" w:eastAsia="宋体" w:cs="Times New Roman"/>
                      <w:color w:val="auto"/>
                      <w:sz w:val="21"/>
                      <w:szCs w:val="21"/>
                      <w:u w:val="single"/>
                      <w:lang w:val="en-US" w:eastAsia="zh-CN"/>
                    </w:rPr>
                    <w:t>闪点</w:t>
                  </w:r>
                  <w:r>
                    <w:rPr>
                      <w:rFonts w:hint="eastAsia" w:hAnsi="Times New Roman"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200℃。本产品稳定，不会分解。反应性:与强氧化剂和强酸反应，产生可燃气体。急性毒性</w:t>
                  </w:r>
                  <w:r>
                    <w:rPr>
                      <w:rFonts w:hint="eastAsia" w:hAnsi="Times New Roman"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口服LD</w:t>
                  </w:r>
                  <w:r>
                    <w:rPr>
                      <w:rFonts w:hint="default" w:ascii="Times New Roman" w:hAnsi="Times New Roman" w:eastAsia="宋体" w:cs="Times New Roman"/>
                      <w:color w:val="auto"/>
                      <w:sz w:val="21"/>
                      <w:szCs w:val="21"/>
                      <w:u w:val="single"/>
                      <w:vertAlign w:val="subscript"/>
                      <w:lang w:val="en-US" w:eastAsia="zh-CN"/>
                    </w:rPr>
                    <w:t>50</w:t>
                  </w:r>
                  <w:r>
                    <w:rPr>
                      <w:rFonts w:hint="eastAsia" w:hAnsi="Times New Roman" w:cs="Times New Roman"/>
                      <w:color w:val="auto"/>
                      <w:sz w:val="21"/>
                      <w:szCs w:val="21"/>
                      <w:u w:val="single"/>
                      <w:vertAlign w:val="subscript"/>
                      <w:lang w:val="en-US" w:eastAsia="zh-CN"/>
                    </w:rPr>
                    <w:t xml:space="preserve"> </w:t>
                  </w:r>
                  <w:r>
                    <w:rPr>
                      <w:rFonts w:hint="default" w:ascii="Times New Roman" w:hAnsi="Times New Roman" w:eastAsia="宋体" w:cs="Times New Roman"/>
                      <w:color w:val="auto"/>
                      <w:sz w:val="21"/>
                      <w:szCs w:val="21"/>
                      <w:u w:val="single"/>
                      <w:lang w:val="en-US" w:eastAsia="zh-CN"/>
                    </w:rPr>
                    <w:t>2000mg/kg</w:t>
                  </w:r>
                </w:p>
                <w:p w14:paraId="39657C58">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both"/>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皮肤接触</w:t>
                  </w:r>
                  <w:r>
                    <w:rPr>
                      <w:rFonts w:hint="eastAsia" w:hAnsi="Times New Roman"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无刺激性；眼睛接触:无刺激性；吸入</w:t>
                  </w:r>
                  <w:r>
                    <w:rPr>
                      <w:rFonts w:hint="eastAsia" w:hAnsi="Times New Roman"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无刺激性；皮肤刺激性</w:t>
                  </w:r>
                  <w:r>
                    <w:rPr>
                      <w:rFonts w:hint="eastAsia" w:hAnsi="Times New Roman"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无。是一种用在金属切、削、磨加工过程中，用来冷却和润滑刀具和加工件的工业用液体。具有一定润滑性可提高刀具寿命20%。提高工效60%。作机床操作时刀具、工件的冷却液。车铣、磨、钻床均可使用。无毒无味，对皮肤无不良反应。</w:t>
                  </w:r>
                </w:p>
              </w:tc>
            </w:tr>
            <w:tr w14:paraId="4193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17" w:type="dxa"/>
                  <w:noWrap w:val="0"/>
                  <w:vAlign w:val="center"/>
                </w:tcPr>
                <w:p w14:paraId="3449E9CB">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w:t>
                  </w:r>
                </w:p>
              </w:tc>
              <w:tc>
                <w:tcPr>
                  <w:tcW w:w="1076" w:type="dxa"/>
                  <w:noWrap w:val="0"/>
                  <w:vAlign w:val="center"/>
                </w:tcPr>
                <w:p w14:paraId="704D6C5A">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防锈油</w:t>
                  </w:r>
                </w:p>
              </w:tc>
              <w:tc>
                <w:tcPr>
                  <w:tcW w:w="5991" w:type="dxa"/>
                  <w:noWrap w:val="0"/>
                  <w:vAlign w:val="center"/>
                </w:tcPr>
                <w:p w14:paraId="6C85E0F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both"/>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以深度精制矿物油为基础油，加入抗氧剂、抗磨剂、防锈剂等调合而成。黄褐色透明液体，黏度15，相对密度（水=1）：0.8</w:t>
                  </w:r>
                  <w:r>
                    <w:rPr>
                      <w:rFonts w:hint="eastAsia" w:hAnsi="Times New Roman" w:cs="Times New Roman"/>
                      <w:color w:val="auto"/>
                      <w:sz w:val="21"/>
                      <w:szCs w:val="21"/>
                      <w:u w:val="single"/>
                      <w:lang w:val="en-US" w:eastAsia="zh-CN"/>
                    </w:rPr>
                    <w:t>5</w:t>
                  </w:r>
                  <w:r>
                    <w:rPr>
                      <w:rFonts w:hint="default" w:ascii="Times New Roman" w:hAnsi="Times New Roman" w:eastAsia="宋体" w:cs="Times New Roman"/>
                      <w:color w:val="auto"/>
                      <w:sz w:val="21"/>
                      <w:szCs w:val="21"/>
                      <w:u w:val="single"/>
                      <w:lang w:val="en-US" w:eastAsia="zh-CN"/>
                    </w:rPr>
                    <w:t>，闪点170~200℃。不溶于水，可与醚、丙酮、苯、二硫化碳、四氯化碳、汽油等混溶。急性吸入，可出现乏力、头晕、头痛、恶心，严重者可引起油脂性肺炎。慢接触者，暴露部位可能发生油性痤疮和接触性皮炎</w:t>
                  </w:r>
                  <w:r>
                    <w:rPr>
                      <w:rFonts w:hint="eastAsia" w:hAnsi="Times New Roman" w:cs="Times New Roman"/>
                      <w:color w:val="auto"/>
                      <w:sz w:val="21"/>
                      <w:szCs w:val="21"/>
                      <w:u w:val="single"/>
                      <w:lang w:val="en-US" w:eastAsia="zh-CN"/>
                    </w:rPr>
                    <w:t>。经折算，本项目防锈油用量为1.41m</w:t>
                  </w:r>
                  <w:r>
                    <w:rPr>
                      <w:rFonts w:hint="eastAsia" w:hAnsi="Times New Roman" w:cs="Times New Roman"/>
                      <w:color w:val="auto"/>
                      <w:sz w:val="21"/>
                      <w:szCs w:val="21"/>
                      <w:u w:val="single"/>
                      <w:vertAlign w:val="superscript"/>
                      <w:lang w:val="en-US" w:eastAsia="zh-CN"/>
                    </w:rPr>
                    <w:t>3</w:t>
                  </w:r>
                  <w:r>
                    <w:rPr>
                      <w:rFonts w:hint="eastAsia" w:hAnsi="Times New Roman" w:cs="Times New Roman"/>
                      <w:color w:val="auto"/>
                      <w:sz w:val="21"/>
                      <w:szCs w:val="21"/>
                      <w:u w:val="single"/>
                      <w:lang w:val="en-US" w:eastAsia="zh-CN"/>
                    </w:rPr>
                    <w:t>/a。</w:t>
                  </w:r>
                </w:p>
              </w:tc>
            </w:tr>
            <w:tr w14:paraId="6135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17" w:type="dxa"/>
                  <w:noWrap w:val="0"/>
                  <w:vAlign w:val="center"/>
                </w:tcPr>
                <w:p w14:paraId="1B2E3E52">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3</w:t>
                  </w:r>
                </w:p>
              </w:tc>
              <w:tc>
                <w:tcPr>
                  <w:tcW w:w="1076" w:type="dxa"/>
                  <w:noWrap w:val="0"/>
                  <w:vAlign w:val="center"/>
                </w:tcPr>
                <w:p w14:paraId="2571A47B">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机油</w:t>
                  </w:r>
                </w:p>
              </w:tc>
              <w:tc>
                <w:tcPr>
                  <w:tcW w:w="5991" w:type="dxa"/>
                  <w:noWrap w:val="0"/>
                  <w:vAlign w:val="center"/>
                </w:tcPr>
                <w:p w14:paraId="27553CE5">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both"/>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淡黄色至褐色油状液体，无气味或略带气味，不溶于水，遇高热、明火可燃。闪点160℃，密度为</w:t>
                  </w:r>
                  <w:r>
                    <w:rPr>
                      <w:rFonts w:hint="eastAsia" w:hAnsi="Times New Roman" w:cs="Times New Roman"/>
                      <w:color w:val="auto"/>
                      <w:sz w:val="21"/>
                      <w:szCs w:val="21"/>
                      <w:u w:val="single"/>
                      <w:lang w:val="en-US" w:eastAsia="zh-CN"/>
                    </w:rPr>
                    <w:t>0.91</w:t>
                  </w:r>
                  <w:r>
                    <w:rPr>
                      <w:rFonts w:hint="default" w:ascii="Times New Roman" w:hAnsi="Times New Roman" w:eastAsia="宋体" w:cs="Times New Roman"/>
                      <w:color w:val="auto"/>
                      <w:sz w:val="21"/>
                      <w:szCs w:val="21"/>
                      <w:u w:val="single"/>
                      <w:lang w:val="en-US" w:eastAsia="zh-CN"/>
                    </w:rPr>
                    <w:t>g/cm</w:t>
                  </w:r>
                  <w:r>
                    <w:rPr>
                      <w:rFonts w:hint="default" w:ascii="Times New Roman" w:hAnsi="Times New Roman" w:eastAsia="宋体" w:cs="Times New Roman"/>
                      <w:color w:val="auto"/>
                      <w:sz w:val="21"/>
                      <w:szCs w:val="21"/>
                      <w:u w:val="single"/>
                      <w:vertAlign w:val="superscript"/>
                      <w:lang w:val="en-US" w:eastAsia="zh-CN"/>
                    </w:rPr>
                    <w:t>3</w:t>
                  </w:r>
                  <w:r>
                    <w:rPr>
                      <w:rFonts w:hint="default" w:ascii="Times New Roman" w:hAnsi="Times New Roman" w:eastAsia="宋体" w:cs="Times New Roman"/>
                      <w:color w:val="auto"/>
                      <w:sz w:val="21"/>
                      <w:szCs w:val="21"/>
                      <w:u w:val="single"/>
                      <w:lang w:val="en-US" w:eastAsia="zh-CN"/>
                    </w:rPr>
                    <w:t>，由基础油和添加剂组成，主要成分为高分子烃类化合物，能对发动机起到润滑减磨、辅助冷却降温、密封防漏、防锈防蚀、减震缓冲等作用，供各种机加设备使用。不可吞食，短期接触无害。</w:t>
                  </w:r>
                </w:p>
              </w:tc>
            </w:tr>
          </w:tbl>
          <w:p w14:paraId="3886C6A0">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宋体" w:cs="Times New Roman"/>
                <w:b w:val="0"/>
                <w:bCs w:val="0"/>
                <w:color w:val="auto"/>
                <w:kern w:val="0"/>
                <w:sz w:val="21"/>
                <w:szCs w:val="21"/>
                <w:highlight w:val="none"/>
                <w:u w:val="single"/>
                <w:vertAlign w:val="baseline"/>
                <w:lang w:val="en-US" w:eastAsia="zh-CN" w:bidi="ar-SA"/>
              </w:rPr>
            </w:pPr>
            <w:r>
              <w:rPr>
                <w:rFonts w:hint="eastAsia" w:ascii="Times New Roman" w:hAnsi="Times New Roman" w:eastAsia="宋体" w:cs="Times New Roman"/>
                <w:b w:val="0"/>
                <w:bCs w:val="0"/>
                <w:color w:val="auto"/>
                <w:kern w:val="0"/>
                <w:sz w:val="21"/>
                <w:szCs w:val="21"/>
                <w:highlight w:val="none"/>
                <w:u w:val="single"/>
                <w:vertAlign w:val="baseline"/>
                <w:lang w:val="en-US" w:eastAsia="zh-CN" w:bidi="ar-SA"/>
              </w:rPr>
              <w:t>表2-6   防锈油成分一览表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1708"/>
              <w:gridCol w:w="1269"/>
              <w:gridCol w:w="2054"/>
              <w:gridCol w:w="1775"/>
            </w:tblGrid>
            <w:tr w14:paraId="6A9B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2DCDF2F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名称</w:t>
                  </w:r>
                </w:p>
              </w:tc>
              <w:tc>
                <w:tcPr>
                  <w:tcW w:w="1708" w:type="dxa"/>
                  <w:vAlign w:val="center"/>
                </w:tcPr>
                <w:p w14:paraId="1577CB72">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成分</w:t>
                  </w:r>
                </w:p>
              </w:tc>
              <w:tc>
                <w:tcPr>
                  <w:tcW w:w="1269" w:type="dxa"/>
                  <w:vAlign w:val="center"/>
                </w:tcPr>
                <w:p w14:paraId="1A9EA5E4">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CAS号</w:t>
                  </w:r>
                </w:p>
              </w:tc>
              <w:tc>
                <w:tcPr>
                  <w:tcW w:w="2054" w:type="dxa"/>
                  <w:vAlign w:val="center"/>
                </w:tcPr>
                <w:p w14:paraId="3AE9B5C1">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浓度或浓度范围/%</w:t>
                  </w:r>
                </w:p>
              </w:tc>
              <w:tc>
                <w:tcPr>
                  <w:tcW w:w="1775" w:type="dxa"/>
                  <w:vAlign w:val="center"/>
                </w:tcPr>
                <w:p w14:paraId="7DE33B52">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备注</w:t>
                  </w:r>
                </w:p>
              </w:tc>
            </w:tr>
            <w:tr w14:paraId="16A3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7ADDA182">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防锈油</w:t>
                  </w:r>
                </w:p>
              </w:tc>
              <w:tc>
                <w:tcPr>
                  <w:tcW w:w="1708" w:type="dxa"/>
                  <w:vAlign w:val="center"/>
                </w:tcPr>
                <w:p w14:paraId="7CF5BC2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碳氢化合物</w:t>
                  </w:r>
                </w:p>
              </w:tc>
              <w:tc>
                <w:tcPr>
                  <w:tcW w:w="1269" w:type="dxa"/>
                  <w:vAlign w:val="center"/>
                </w:tcPr>
                <w:p w14:paraId="4CE9CE4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64742-54-7</w:t>
                  </w:r>
                </w:p>
              </w:tc>
              <w:tc>
                <w:tcPr>
                  <w:tcW w:w="2054" w:type="dxa"/>
                  <w:vAlign w:val="center"/>
                </w:tcPr>
                <w:p w14:paraId="5EDBF2E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0.5~15</w:t>
                  </w:r>
                </w:p>
              </w:tc>
              <w:tc>
                <w:tcPr>
                  <w:tcW w:w="1775" w:type="dxa"/>
                  <w:vMerge w:val="restart"/>
                  <w:vAlign w:val="center"/>
                </w:tcPr>
                <w:p w14:paraId="2B49C7FC">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根据厂家提供的VOCs检测报告，VOCs含量为350g/L</w:t>
                  </w:r>
                </w:p>
              </w:tc>
            </w:tr>
            <w:tr w14:paraId="3388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162E86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sz w:val="21"/>
                      <w:szCs w:val="21"/>
                      <w:u w:val="single"/>
                      <w:lang w:val="en-US" w:eastAsia="zh-CN"/>
                    </w:rPr>
                  </w:pPr>
                </w:p>
              </w:tc>
              <w:tc>
                <w:tcPr>
                  <w:tcW w:w="1708" w:type="dxa"/>
                  <w:vAlign w:val="center"/>
                </w:tcPr>
                <w:p w14:paraId="5EFE2FEF">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碳氢化合物</w:t>
                  </w:r>
                </w:p>
              </w:tc>
              <w:tc>
                <w:tcPr>
                  <w:tcW w:w="1269" w:type="dxa"/>
                  <w:vAlign w:val="center"/>
                </w:tcPr>
                <w:p w14:paraId="15F77DD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64742-54-7</w:t>
                  </w:r>
                </w:p>
              </w:tc>
              <w:tc>
                <w:tcPr>
                  <w:tcW w:w="2054" w:type="dxa"/>
                  <w:vAlign w:val="center"/>
                </w:tcPr>
                <w:p w14:paraId="686FD062">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0.5~35</w:t>
                  </w:r>
                </w:p>
              </w:tc>
              <w:tc>
                <w:tcPr>
                  <w:tcW w:w="1775" w:type="dxa"/>
                  <w:vMerge w:val="continue"/>
                  <w:vAlign w:val="center"/>
                </w:tcPr>
                <w:p w14:paraId="2C48382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sz w:val="21"/>
                      <w:szCs w:val="21"/>
                      <w:u w:val="single"/>
                      <w:lang w:val="en-US" w:eastAsia="zh-CN"/>
                    </w:rPr>
                  </w:pPr>
                </w:p>
              </w:tc>
            </w:tr>
            <w:tr w14:paraId="3E7B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75" w:type="dxa"/>
                  <w:vMerge w:val="continue"/>
                  <w:vAlign w:val="center"/>
                </w:tcPr>
                <w:p w14:paraId="5A851391">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sz w:val="21"/>
                      <w:szCs w:val="21"/>
                      <w:u w:val="single"/>
                      <w:lang w:val="en-US" w:eastAsia="zh-CN"/>
                    </w:rPr>
                  </w:pPr>
                </w:p>
              </w:tc>
              <w:tc>
                <w:tcPr>
                  <w:tcW w:w="1708" w:type="dxa"/>
                  <w:vAlign w:val="center"/>
                </w:tcPr>
                <w:p w14:paraId="29F0A662">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碳氢化合物</w:t>
                  </w:r>
                </w:p>
              </w:tc>
              <w:tc>
                <w:tcPr>
                  <w:tcW w:w="1269" w:type="dxa"/>
                  <w:vAlign w:val="center"/>
                </w:tcPr>
                <w:p w14:paraId="5020D51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64742-54-7</w:t>
                  </w:r>
                </w:p>
              </w:tc>
              <w:tc>
                <w:tcPr>
                  <w:tcW w:w="2054" w:type="dxa"/>
                  <w:vAlign w:val="center"/>
                </w:tcPr>
                <w:p w14:paraId="4388429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0.5~65</w:t>
                  </w:r>
                </w:p>
              </w:tc>
              <w:tc>
                <w:tcPr>
                  <w:tcW w:w="1775" w:type="dxa"/>
                  <w:vMerge w:val="continue"/>
                  <w:vAlign w:val="center"/>
                </w:tcPr>
                <w:p w14:paraId="685B9DB1">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sz w:val="21"/>
                      <w:szCs w:val="21"/>
                      <w:u w:val="single"/>
                      <w:lang w:val="en-US" w:eastAsia="zh-CN"/>
                    </w:rPr>
                  </w:pPr>
                </w:p>
              </w:tc>
            </w:tr>
            <w:tr w14:paraId="3F4B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875" w:type="dxa"/>
                  <w:vMerge w:val="continue"/>
                  <w:vAlign w:val="center"/>
                </w:tcPr>
                <w:p w14:paraId="59095B3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sz w:val="21"/>
                      <w:szCs w:val="21"/>
                      <w:u w:val="single"/>
                      <w:lang w:val="en-US" w:eastAsia="zh-CN"/>
                    </w:rPr>
                  </w:pPr>
                </w:p>
              </w:tc>
              <w:tc>
                <w:tcPr>
                  <w:tcW w:w="1708" w:type="dxa"/>
                  <w:vAlign w:val="center"/>
                </w:tcPr>
                <w:p w14:paraId="7A9E5FA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保密组分</w:t>
                  </w:r>
                </w:p>
              </w:tc>
              <w:tc>
                <w:tcPr>
                  <w:tcW w:w="1269" w:type="dxa"/>
                  <w:vAlign w:val="center"/>
                </w:tcPr>
                <w:p w14:paraId="50625ACD">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eastAsia" w:hAnsi="Times New Roman" w:cs="Times New Roman"/>
                      <w:color w:val="auto"/>
                      <w:sz w:val="21"/>
                      <w:szCs w:val="21"/>
                      <w:u w:val="single"/>
                      <w:lang w:val="en-US" w:eastAsia="zh-CN"/>
                    </w:rPr>
                    <w:t>/</w:t>
                  </w:r>
                </w:p>
              </w:tc>
              <w:tc>
                <w:tcPr>
                  <w:tcW w:w="2054" w:type="dxa"/>
                  <w:vAlign w:val="center"/>
                </w:tcPr>
                <w:p w14:paraId="40E50D21">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sz w:val="21"/>
                      <w:szCs w:val="21"/>
                      <w:u w:val="single"/>
                      <w:lang w:val="en-US" w:eastAsia="zh-CN"/>
                    </w:rPr>
                  </w:pPr>
                  <w:r>
                    <w:rPr>
                      <w:rFonts w:hint="eastAsia" w:hAnsi="Times New Roman" w:cs="Times New Roman"/>
                      <w:color w:val="auto"/>
                      <w:sz w:val="21"/>
                      <w:szCs w:val="21"/>
                      <w:u w:val="single"/>
                      <w:lang w:val="en-US" w:eastAsia="zh-CN"/>
                    </w:rPr>
                    <w:t>2~35</w:t>
                  </w:r>
                </w:p>
              </w:tc>
              <w:tc>
                <w:tcPr>
                  <w:tcW w:w="1775" w:type="dxa"/>
                  <w:vMerge w:val="continue"/>
                  <w:vAlign w:val="center"/>
                </w:tcPr>
                <w:p w14:paraId="3FE2345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sz w:val="21"/>
                      <w:szCs w:val="21"/>
                      <w:u w:val="single"/>
                      <w:lang w:val="en-US" w:eastAsia="zh-CN"/>
                    </w:rPr>
                  </w:pPr>
                </w:p>
              </w:tc>
            </w:tr>
          </w:tbl>
          <w:p w14:paraId="7786D0D2">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eastAsia" w:ascii="Times New Roman" w:hAnsi="Times New Roman" w:eastAsia="宋体" w:cs="Times New Roman"/>
                <w:b w:val="0"/>
                <w:bCs/>
                <w:color w:val="auto"/>
                <w:sz w:val="24"/>
                <w:highlight w:val="none"/>
                <w:u w:val="single"/>
                <w:shd w:val="clear" w:color="auto" w:fill="auto"/>
                <w:lang w:val="en-US" w:eastAsia="zh-CN"/>
              </w:rPr>
            </w:pPr>
            <w:r>
              <w:rPr>
                <w:rFonts w:hint="eastAsia" w:ascii="Times New Roman" w:hAnsi="Times New Roman" w:eastAsia="宋体" w:cs="Times New Roman"/>
                <w:b w:val="0"/>
                <w:bCs/>
                <w:color w:val="auto"/>
                <w:sz w:val="24"/>
                <w:highlight w:val="none"/>
                <w:u w:val="single"/>
                <w:shd w:val="clear" w:color="auto" w:fill="auto"/>
                <w:lang w:val="en-US" w:eastAsia="zh-CN"/>
              </w:rPr>
              <w:t>防锈油的MSDS和VOCs含量检测报告见附件</w:t>
            </w:r>
            <w:r>
              <w:rPr>
                <w:rFonts w:hint="eastAsia" w:cs="Times New Roman"/>
                <w:b w:val="0"/>
                <w:bCs/>
                <w:color w:val="auto"/>
                <w:sz w:val="24"/>
                <w:highlight w:val="none"/>
                <w:u w:val="single"/>
                <w:shd w:val="clear" w:color="auto" w:fill="auto"/>
                <w:lang w:val="en-US" w:eastAsia="zh-CN"/>
              </w:rPr>
              <w:t>7</w:t>
            </w:r>
            <w:r>
              <w:rPr>
                <w:rFonts w:hint="eastAsia" w:ascii="Times New Roman" w:hAnsi="Times New Roman" w:eastAsia="宋体" w:cs="Times New Roman"/>
                <w:b w:val="0"/>
                <w:bCs/>
                <w:color w:val="auto"/>
                <w:sz w:val="24"/>
                <w:highlight w:val="none"/>
                <w:u w:val="single"/>
                <w:shd w:val="clear" w:color="auto" w:fill="auto"/>
                <w:lang w:val="en-US" w:eastAsia="zh-CN"/>
              </w:rPr>
              <w:t>。</w:t>
            </w:r>
          </w:p>
          <w:p w14:paraId="2A461054">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eastAsia" w:cs="Times New Roman"/>
                <w:b/>
                <w:bCs/>
                <w:color w:val="auto"/>
                <w:sz w:val="24"/>
                <w:szCs w:val="24"/>
                <w:highlight w:val="none"/>
                <w:vertAlign w:val="baseline"/>
                <w:lang w:val="en-US" w:eastAsia="zh-CN"/>
              </w:rPr>
              <w:t>4</w:t>
            </w:r>
            <w:r>
              <w:rPr>
                <w:rFonts w:hint="default" w:ascii="Times New Roman" w:hAnsi="Times New Roman" w:cs="Times New Roman"/>
                <w:b/>
                <w:bCs/>
                <w:color w:val="auto"/>
                <w:sz w:val="24"/>
                <w:szCs w:val="24"/>
                <w:highlight w:val="none"/>
                <w:vertAlign w:val="baseline"/>
                <w:lang w:val="en-US" w:eastAsia="zh-CN"/>
              </w:rPr>
              <w:t>.2能源消耗</w:t>
            </w:r>
          </w:p>
          <w:p w14:paraId="3991B2E0">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表2-</w:t>
            </w:r>
            <w:r>
              <w:rPr>
                <w:rFonts w:hint="eastAsia" w:cs="Times New Roman"/>
                <w:b w:val="0"/>
                <w:bCs w:val="0"/>
                <w:color w:val="auto"/>
                <w:kern w:val="0"/>
                <w:sz w:val="21"/>
                <w:szCs w:val="21"/>
                <w:highlight w:val="none"/>
                <w:vertAlign w:val="baseline"/>
                <w:lang w:val="en-US" w:eastAsia="zh-CN" w:bidi="ar-SA"/>
              </w:rPr>
              <w:t xml:space="preserve">5  </w:t>
            </w:r>
            <w:r>
              <w:rPr>
                <w:rFonts w:hint="default" w:ascii="Times New Roman" w:hAnsi="Times New Roman" w:eastAsia="宋体" w:cs="Times New Roman"/>
                <w:b w:val="0"/>
                <w:bCs w:val="0"/>
                <w:color w:val="auto"/>
                <w:kern w:val="0"/>
                <w:sz w:val="21"/>
                <w:szCs w:val="21"/>
                <w:highlight w:val="none"/>
                <w:vertAlign w:val="baseline"/>
                <w:lang w:val="en-US" w:eastAsia="zh-CN" w:bidi="ar-SA"/>
              </w:rPr>
              <w:t xml:space="preserve"> 项目能源消耗表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640"/>
              <w:gridCol w:w="1654"/>
              <w:gridCol w:w="3181"/>
            </w:tblGrid>
            <w:tr w14:paraId="3D95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Align w:val="center"/>
                </w:tcPr>
                <w:p w14:paraId="451183C4">
                  <w:pPr>
                    <w:keepNext w:val="0"/>
                    <w:keepLines w:val="0"/>
                    <w:pageBreakBefore w:val="0"/>
                    <w:widowControl w:val="0"/>
                    <w:tabs>
                      <w:tab w:val="left" w:pos="7920"/>
                    </w:tabs>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b w:val="0"/>
                      <w:bCs w:val="0"/>
                      <w:color w:val="auto"/>
                      <w:kern w:val="0"/>
                      <w:szCs w:val="21"/>
                      <w:highlight w:val="none"/>
                      <w:u w:val="none"/>
                      <w:lang w:val="en-US" w:eastAsia="zh-CN"/>
                    </w:rPr>
                    <w:t>序号</w:t>
                  </w:r>
                </w:p>
              </w:tc>
              <w:tc>
                <w:tcPr>
                  <w:tcW w:w="1067" w:type="pct"/>
                  <w:vAlign w:val="center"/>
                </w:tcPr>
                <w:p w14:paraId="535CDB2F">
                  <w:pPr>
                    <w:keepNext w:val="0"/>
                    <w:keepLines w:val="0"/>
                    <w:pageBreakBefore w:val="0"/>
                    <w:widowControl w:val="0"/>
                    <w:tabs>
                      <w:tab w:val="left" w:pos="7920"/>
                    </w:tabs>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b w:val="0"/>
                      <w:bCs w:val="0"/>
                      <w:color w:val="auto"/>
                      <w:kern w:val="0"/>
                      <w:szCs w:val="21"/>
                      <w:highlight w:val="none"/>
                      <w:u w:val="none"/>
                      <w:lang w:val="en-US" w:eastAsia="zh-CN"/>
                    </w:rPr>
                    <w:t>类别</w:t>
                  </w:r>
                </w:p>
              </w:tc>
              <w:tc>
                <w:tcPr>
                  <w:tcW w:w="1076" w:type="pct"/>
                  <w:vAlign w:val="center"/>
                </w:tcPr>
                <w:p w14:paraId="1AEEBCF2">
                  <w:pPr>
                    <w:keepNext w:val="0"/>
                    <w:keepLines w:val="0"/>
                    <w:pageBreakBefore w:val="0"/>
                    <w:widowControl w:val="0"/>
                    <w:tabs>
                      <w:tab w:val="left" w:pos="7920"/>
                    </w:tabs>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b w:val="0"/>
                      <w:bCs w:val="0"/>
                      <w:color w:val="auto"/>
                      <w:kern w:val="0"/>
                      <w:szCs w:val="21"/>
                      <w:highlight w:val="none"/>
                      <w:u w:val="none"/>
                      <w:lang w:val="en-US" w:eastAsia="zh-CN"/>
                    </w:rPr>
                    <w:t>消耗量</w:t>
                  </w:r>
                </w:p>
              </w:tc>
              <w:tc>
                <w:tcPr>
                  <w:tcW w:w="2070" w:type="pct"/>
                  <w:vAlign w:val="center"/>
                </w:tcPr>
                <w:p w14:paraId="4A7023F1">
                  <w:pPr>
                    <w:keepNext w:val="0"/>
                    <w:keepLines w:val="0"/>
                    <w:pageBreakBefore w:val="0"/>
                    <w:widowControl w:val="0"/>
                    <w:tabs>
                      <w:tab w:val="left" w:pos="7920"/>
                    </w:tabs>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b w:val="0"/>
                      <w:bCs w:val="0"/>
                      <w:color w:val="auto"/>
                      <w:kern w:val="0"/>
                      <w:szCs w:val="21"/>
                      <w:highlight w:val="none"/>
                      <w:u w:val="none"/>
                      <w:lang w:val="en-US" w:eastAsia="zh-CN"/>
                    </w:rPr>
                    <w:t>来源</w:t>
                  </w:r>
                </w:p>
              </w:tc>
            </w:tr>
            <w:tr w14:paraId="1E9A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Align w:val="center"/>
                </w:tcPr>
                <w:p w14:paraId="192B9E96">
                  <w:pPr>
                    <w:keepNext w:val="0"/>
                    <w:keepLines w:val="0"/>
                    <w:pageBreakBefore w:val="0"/>
                    <w:widowControl w:val="0"/>
                    <w:tabs>
                      <w:tab w:val="left" w:pos="7920"/>
                    </w:tabs>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0"/>
                      <w:szCs w:val="21"/>
                      <w:highlight w:val="none"/>
                      <w:u w:val="none"/>
                      <w:lang w:val="en-US" w:eastAsia="zh-CN"/>
                    </w:rPr>
                  </w:pPr>
                  <w:r>
                    <w:rPr>
                      <w:rFonts w:hint="eastAsia" w:cs="Times New Roman"/>
                      <w:b w:val="0"/>
                      <w:bCs w:val="0"/>
                      <w:color w:val="auto"/>
                      <w:kern w:val="0"/>
                      <w:szCs w:val="21"/>
                      <w:highlight w:val="none"/>
                      <w:u w:val="none"/>
                      <w:lang w:val="en-US" w:eastAsia="zh-CN"/>
                    </w:rPr>
                    <w:t>1</w:t>
                  </w:r>
                </w:p>
              </w:tc>
              <w:tc>
                <w:tcPr>
                  <w:tcW w:w="1067" w:type="pct"/>
                  <w:vAlign w:val="center"/>
                </w:tcPr>
                <w:p w14:paraId="0D0B4737">
                  <w:pPr>
                    <w:keepNext w:val="0"/>
                    <w:keepLines w:val="0"/>
                    <w:pageBreakBefore w:val="0"/>
                    <w:widowControl w:val="0"/>
                    <w:tabs>
                      <w:tab w:val="left" w:pos="7920"/>
                    </w:tabs>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0"/>
                      <w:szCs w:val="21"/>
                      <w:highlight w:val="none"/>
                      <w:u w:val="none"/>
                      <w:lang w:val="en-US" w:eastAsia="zh-CN"/>
                    </w:rPr>
                  </w:pPr>
                  <w:r>
                    <w:rPr>
                      <w:rFonts w:hint="eastAsia" w:cs="Times New Roman"/>
                      <w:b w:val="0"/>
                      <w:bCs w:val="0"/>
                      <w:color w:val="auto"/>
                      <w:kern w:val="0"/>
                      <w:szCs w:val="21"/>
                      <w:highlight w:val="none"/>
                      <w:u w:val="none"/>
                      <w:lang w:val="en-US" w:eastAsia="zh-CN"/>
                    </w:rPr>
                    <w:t>水</w:t>
                  </w:r>
                </w:p>
              </w:tc>
              <w:tc>
                <w:tcPr>
                  <w:tcW w:w="1076" w:type="pct"/>
                  <w:vAlign w:val="center"/>
                </w:tcPr>
                <w:p w14:paraId="76B57151">
                  <w:pPr>
                    <w:keepNext w:val="0"/>
                    <w:keepLines w:val="0"/>
                    <w:pageBreakBefore w:val="0"/>
                    <w:widowControl w:val="0"/>
                    <w:tabs>
                      <w:tab w:val="left" w:pos="7920"/>
                    </w:tabs>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0"/>
                      <w:szCs w:val="21"/>
                      <w:highlight w:val="none"/>
                      <w:u w:val="none"/>
                      <w:lang w:val="en-US" w:eastAsia="zh-CN"/>
                    </w:rPr>
                  </w:pPr>
                  <w:r>
                    <w:rPr>
                      <w:rFonts w:hint="eastAsia" w:cs="Times New Roman"/>
                      <w:b w:val="0"/>
                      <w:bCs w:val="0"/>
                      <w:color w:val="auto"/>
                      <w:kern w:val="0"/>
                      <w:szCs w:val="21"/>
                      <w:highlight w:val="none"/>
                      <w:u w:val="none"/>
                      <w:lang w:val="en-US" w:eastAsia="zh-CN"/>
                    </w:rPr>
                    <w:t>660m</w:t>
                  </w:r>
                  <w:r>
                    <w:rPr>
                      <w:rFonts w:hint="eastAsia" w:cs="Times New Roman"/>
                      <w:b w:val="0"/>
                      <w:bCs w:val="0"/>
                      <w:color w:val="auto"/>
                      <w:kern w:val="0"/>
                      <w:szCs w:val="21"/>
                      <w:highlight w:val="none"/>
                      <w:u w:val="none"/>
                      <w:vertAlign w:val="superscript"/>
                      <w:lang w:val="en-US" w:eastAsia="zh-CN"/>
                    </w:rPr>
                    <w:t>3</w:t>
                  </w:r>
                  <w:r>
                    <w:rPr>
                      <w:rFonts w:hint="eastAsia" w:cs="Times New Roman"/>
                      <w:b w:val="0"/>
                      <w:bCs w:val="0"/>
                      <w:color w:val="auto"/>
                      <w:kern w:val="0"/>
                      <w:szCs w:val="21"/>
                      <w:highlight w:val="none"/>
                      <w:u w:val="none"/>
                      <w:lang w:val="en-US" w:eastAsia="zh-CN"/>
                    </w:rPr>
                    <w:t>/a</w:t>
                  </w:r>
                </w:p>
              </w:tc>
              <w:tc>
                <w:tcPr>
                  <w:tcW w:w="2070" w:type="pct"/>
                  <w:vAlign w:val="center"/>
                </w:tcPr>
                <w:p w14:paraId="54CED6B5">
                  <w:pPr>
                    <w:keepNext w:val="0"/>
                    <w:keepLines w:val="0"/>
                    <w:pageBreakBefore w:val="0"/>
                    <w:widowControl w:val="0"/>
                    <w:tabs>
                      <w:tab w:val="left" w:pos="7920"/>
                    </w:tabs>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0"/>
                      <w:szCs w:val="21"/>
                      <w:highlight w:val="none"/>
                      <w:u w:val="none"/>
                      <w:lang w:val="en-US" w:eastAsia="zh-CN"/>
                    </w:rPr>
                  </w:pPr>
                  <w:r>
                    <w:rPr>
                      <w:rFonts w:hint="eastAsia"/>
                      <w:color w:val="auto"/>
                      <w:szCs w:val="21"/>
                      <w:highlight w:val="none"/>
                    </w:rPr>
                    <w:t>市政管网供给</w:t>
                  </w:r>
                </w:p>
              </w:tc>
            </w:tr>
            <w:tr w14:paraId="2861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Align w:val="center"/>
                </w:tcPr>
                <w:p w14:paraId="14C361CD">
                  <w:pPr>
                    <w:keepNext w:val="0"/>
                    <w:keepLines w:val="0"/>
                    <w:pageBreakBefore w:val="0"/>
                    <w:widowControl w:val="0"/>
                    <w:tabs>
                      <w:tab w:val="left" w:pos="7920"/>
                    </w:tabs>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0"/>
                      <w:szCs w:val="21"/>
                      <w:highlight w:val="none"/>
                      <w:u w:val="none"/>
                      <w:lang w:val="en-US" w:eastAsia="zh-CN"/>
                    </w:rPr>
                  </w:pPr>
                  <w:r>
                    <w:rPr>
                      <w:rFonts w:hint="default" w:ascii="Times New Roman" w:hAnsi="Times New Roman" w:eastAsia="宋体" w:cs="Times New Roman"/>
                      <w:b w:val="0"/>
                      <w:bCs w:val="0"/>
                      <w:color w:val="auto"/>
                      <w:kern w:val="0"/>
                      <w:szCs w:val="21"/>
                      <w:highlight w:val="none"/>
                      <w:u w:val="none"/>
                      <w:lang w:val="en-US" w:eastAsia="zh-CN"/>
                    </w:rPr>
                    <w:t>2</w:t>
                  </w:r>
                </w:p>
              </w:tc>
              <w:tc>
                <w:tcPr>
                  <w:tcW w:w="1067" w:type="pct"/>
                  <w:vAlign w:val="center"/>
                </w:tcPr>
                <w:p w14:paraId="595B8DC7">
                  <w:pPr>
                    <w:keepNext w:val="0"/>
                    <w:keepLines w:val="0"/>
                    <w:pageBreakBefore w:val="0"/>
                    <w:widowControl w:val="0"/>
                    <w:tabs>
                      <w:tab w:val="left" w:pos="7920"/>
                    </w:tabs>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0"/>
                      <w:szCs w:val="21"/>
                      <w:highlight w:val="none"/>
                      <w:u w:val="none"/>
                      <w:lang w:val="en-US" w:eastAsia="zh-CN"/>
                    </w:rPr>
                  </w:pPr>
                  <w:r>
                    <w:rPr>
                      <w:rFonts w:hint="default" w:ascii="Times New Roman" w:hAnsi="Times New Roman" w:eastAsia="宋体" w:cs="Times New Roman"/>
                      <w:b w:val="0"/>
                      <w:bCs w:val="0"/>
                      <w:color w:val="auto"/>
                      <w:kern w:val="0"/>
                      <w:szCs w:val="21"/>
                      <w:highlight w:val="none"/>
                      <w:u w:val="none"/>
                      <w:lang w:val="en-US" w:eastAsia="zh-CN"/>
                    </w:rPr>
                    <w:t>电</w:t>
                  </w:r>
                </w:p>
              </w:tc>
              <w:tc>
                <w:tcPr>
                  <w:tcW w:w="1076" w:type="pct"/>
                  <w:vAlign w:val="center"/>
                </w:tcPr>
                <w:p w14:paraId="27B735B1">
                  <w:pPr>
                    <w:keepNext w:val="0"/>
                    <w:keepLines w:val="0"/>
                    <w:pageBreakBefore w:val="0"/>
                    <w:widowControl w:val="0"/>
                    <w:tabs>
                      <w:tab w:val="left" w:pos="7920"/>
                    </w:tabs>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0"/>
                      <w:szCs w:val="21"/>
                      <w:highlight w:val="none"/>
                      <w:u w:val="none"/>
                      <w:lang w:val="en-US" w:eastAsia="zh-CN"/>
                    </w:rPr>
                  </w:pPr>
                  <w:r>
                    <w:rPr>
                      <w:rFonts w:hint="eastAsia" w:cs="Times New Roman"/>
                      <w:b w:val="0"/>
                      <w:bCs w:val="0"/>
                      <w:color w:val="auto"/>
                      <w:kern w:val="0"/>
                      <w:szCs w:val="21"/>
                      <w:highlight w:val="none"/>
                      <w:u w:val="none"/>
                      <w:lang w:val="en-US" w:eastAsia="zh-CN"/>
                    </w:rPr>
                    <w:t>60</w:t>
                  </w:r>
                  <w:r>
                    <w:rPr>
                      <w:rFonts w:hint="default" w:ascii="Times New Roman" w:hAnsi="Times New Roman" w:eastAsia="宋体" w:cs="Times New Roman"/>
                      <w:b w:val="0"/>
                      <w:bCs w:val="0"/>
                      <w:color w:val="auto"/>
                      <w:kern w:val="0"/>
                      <w:szCs w:val="21"/>
                      <w:highlight w:val="none"/>
                      <w:u w:val="none"/>
                      <w:lang w:val="en-US" w:eastAsia="zh-CN"/>
                    </w:rPr>
                    <w:t>万kWh/a</w:t>
                  </w:r>
                </w:p>
              </w:tc>
              <w:tc>
                <w:tcPr>
                  <w:tcW w:w="2070" w:type="pct"/>
                  <w:vAlign w:val="center"/>
                </w:tcPr>
                <w:p w14:paraId="18436C3D">
                  <w:pPr>
                    <w:keepNext w:val="0"/>
                    <w:keepLines w:val="0"/>
                    <w:pageBreakBefore w:val="0"/>
                    <w:widowControl w:val="0"/>
                    <w:tabs>
                      <w:tab w:val="left" w:pos="7920"/>
                    </w:tabs>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0"/>
                      <w:szCs w:val="21"/>
                      <w:highlight w:val="none"/>
                      <w:u w:val="none"/>
                      <w:lang w:val="en-US" w:eastAsia="zh-CN"/>
                    </w:rPr>
                  </w:pPr>
                  <w:r>
                    <w:rPr>
                      <w:rFonts w:hint="default" w:ascii="Times New Roman" w:hAnsi="Times New Roman" w:eastAsia="宋体" w:cs="Times New Roman"/>
                      <w:b w:val="0"/>
                      <w:bCs w:val="0"/>
                      <w:color w:val="auto"/>
                      <w:kern w:val="2"/>
                      <w:sz w:val="21"/>
                      <w:szCs w:val="21"/>
                      <w:highlight w:val="none"/>
                      <w:u w:val="none"/>
                      <w:vertAlign w:val="baseline"/>
                      <w:lang w:val="en-US" w:eastAsia="zh-CN" w:bidi="ar-SA"/>
                    </w:rPr>
                    <w:t>由</w:t>
                  </w:r>
                  <w:r>
                    <w:rPr>
                      <w:rFonts w:hint="eastAsia" w:cs="Times New Roman"/>
                      <w:b w:val="0"/>
                      <w:bCs w:val="0"/>
                      <w:color w:val="auto"/>
                      <w:kern w:val="2"/>
                      <w:sz w:val="21"/>
                      <w:szCs w:val="21"/>
                      <w:highlight w:val="none"/>
                      <w:u w:val="none"/>
                      <w:vertAlign w:val="baseline"/>
                      <w:lang w:val="en-US" w:eastAsia="zh-CN" w:bidi="ar-SA"/>
                    </w:rPr>
                    <w:t>供电管网</w:t>
                  </w:r>
                  <w:r>
                    <w:rPr>
                      <w:rFonts w:hint="default" w:ascii="Times New Roman" w:hAnsi="Times New Roman" w:eastAsia="宋体" w:cs="Times New Roman"/>
                      <w:b w:val="0"/>
                      <w:bCs w:val="0"/>
                      <w:color w:val="auto"/>
                      <w:kern w:val="2"/>
                      <w:sz w:val="21"/>
                      <w:szCs w:val="21"/>
                      <w:highlight w:val="none"/>
                      <w:u w:val="none"/>
                      <w:vertAlign w:val="baseline"/>
                      <w:lang w:val="en-US" w:eastAsia="zh-CN" w:bidi="ar-SA"/>
                    </w:rPr>
                    <w:t>统一供给</w:t>
                  </w:r>
                </w:p>
              </w:tc>
            </w:tr>
          </w:tbl>
          <w:p w14:paraId="2EF701F4">
            <w:pPr>
              <w:keepNext w:val="0"/>
              <w:keepLines w:val="0"/>
              <w:pageBreakBefore w:val="0"/>
              <w:widowControl w:val="0"/>
              <w:tabs>
                <w:tab w:val="left" w:pos="7920"/>
              </w:tabs>
              <w:kinsoku/>
              <w:wordWrap/>
              <w:overflowPunct/>
              <w:topLinePunct w:val="0"/>
              <w:autoSpaceDE/>
              <w:autoSpaceDN/>
              <w:bidi w:val="0"/>
              <w:adjustRightInd/>
              <w:snapToGrid/>
              <w:spacing w:line="520" w:lineRule="exact"/>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eastAsia" w:cs="Times New Roman"/>
                <w:b/>
                <w:bCs/>
                <w:color w:val="auto"/>
                <w:sz w:val="24"/>
                <w:szCs w:val="24"/>
                <w:highlight w:val="none"/>
                <w:vertAlign w:val="baseline"/>
                <w:lang w:val="en-US" w:eastAsia="zh-CN"/>
              </w:rPr>
              <w:t>5</w:t>
            </w:r>
            <w:r>
              <w:rPr>
                <w:rFonts w:hint="default" w:ascii="Times New Roman" w:hAnsi="Times New Roman" w:cs="Times New Roman"/>
                <w:b/>
                <w:bCs/>
                <w:color w:val="auto"/>
                <w:sz w:val="24"/>
                <w:szCs w:val="24"/>
                <w:highlight w:val="none"/>
                <w:vertAlign w:val="baseline"/>
                <w:lang w:val="en-US" w:eastAsia="zh-CN"/>
              </w:rPr>
              <w:t>、</w:t>
            </w:r>
            <w:r>
              <w:rPr>
                <w:rFonts w:hint="default" w:ascii="Times New Roman" w:hAnsi="Times New Roman" w:eastAsia="宋体" w:cs="Times New Roman"/>
                <w:b/>
                <w:bCs/>
                <w:color w:val="auto"/>
                <w:sz w:val="24"/>
                <w:szCs w:val="24"/>
                <w:highlight w:val="none"/>
                <w:vertAlign w:val="baseline"/>
                <w:lang w:val="en-US" w:eastAsia="zh-CN"/>
              </w:rPr>
              <w:t>公用工程</w:t>
            </w:r>
          </w:p>
          <w:p w14:paraId="669A0189">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both"/>
              <w:textAlignment w:val="auto"/>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5</w:t>
            </w:r>
            <w:r>
              <w:rPr>
                <w:rFonts w:hint="default" w:ascii="Times New Roman" w:hAnsi="Times New Roman" w:cs="Times New Roman"/>
                <w:b/>
                <w:bCs/>
                <w:color w:val="auto"/>
                <w:sz w:val="24"/>
                <w:highlight w:val="none"/>
                <w:lang w:val="en-US" w:eastAsia="zh-CN"/>
              </w:rPr>
              <w:t xml:space="preserve">.1 </w:t>
            </w:r>
            <w:r>
              <w:rPr>
                <w:rFonts w:hint="default" w:ascii="Times New Roman" w:hAnsi="Times New Roman" w:eastAsia="宋体" w:cs="Times New Roman"/>
                <w:b/>
                <w:bCs/>
                <w:color w:val="auto"/>
                <w:sz w:val="24"/>
                <w:highlight w:val="none"/>
                <w:lang w:val="en-US" w:eastAsia="zh-CN"/>
              </w:rPr>
              <w:t>给</w:t>
            </w:r>
            <w:r>
              <w:rPr>
                <w:rFonts w:hint="eastAsia" w:cs="Times New Roman"/>
                <w:b/>
                <w:bCs/>
                <w:color w:val="auto"/>
                <w:sz w:val="24"/>
                <w:highlight w:val="none"/>
                <w:lang w:val="en-US" w:eastAsia="zh-CN"/>
              </w:rPr>
              <w:t>排水</w:t>
            </w:r>
          </w:p>
          <w:p w14:paraId="17F29CB5">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 w:val="0"/>
                <w:bCs/>
                <w:color w:val="auto"/>
                <w:sz w:val="24"/>
                <w:highlight w:val="none"/>
                <w:u w:val="none"/>
                <w:shd w:val="clear" w:color="auto" w:fill="auto"/>
                <w:lang w:val="en-US" w:eastAsia="zh-CN"/>
              </w:rPr>
            </w:pPr>
            <w:r>
              <w:rPr>
                <w:rFonts w:hint="default" w:ascii="Times New Roman" w:hAnsi="Times New Roman" w:cs="Times New Roman"/>
                <w:b w:val="0"/>
                <w:bCs/>
                <w:color w:val="auto"/>
                <w:sz w:val="24"/>
                <w:highlight w:val="none"/>
                <w:u w:val="none"/>
                <w:shd w:val="clear" w:color="auto" w:fill="auto"/>
                <w:lang w:val="en-US" w:eastAsia="zh-CN"/>
              </w:rPr>
              <w:t>给水：项目采用自来水管网供水。</w:t>
            </w:r>
          </w:p>
          <w:p w14:paraId="482AB927">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 w:val="0"/>
                <w:bCs/>
                <w:color w:val="auto"/>
                <w:sz w:val="24"/>
                <w:highlight w:val="none"/>
                <w:u w:val="none"/>
                <w:shd w:val="clear" w:color="auto" w:fill="auto"/>
                <w:lang w:val="en-US" w:eastAsia="zh-CN"/>
              </w:rPr>
            </w:pPr>
            <w:r>
              <w:rPr>
                <w:rFonts w:hint="default" w:ascii="Times New Roman" w:hAnsi="Times New Roman" w:cs="Times New Roman"/>
                <w:b w:val="0"/>
                <w:bCs/>
                <w:color w:val="auto"/>
                <w:sz w:val="24"/>
                <w:highlight w:val="none"/>
                <w:u w:val="none"/>
                <w:shd w:val="clear" w:color="auto" w:fill="auto"/>
                <w:lang w:val="en-US" w:eastAsia="zh-CN"/>
              </w:rPr>
              <w:t>排水：本项目劳动定员</w:t>
            </w:r>
            <w:r>
              <w:rPr>
                <w:rFonts w:hint="eastAsia" w:cs="Times New Roman"/>
                <w:b w:val="0"/>
                <w:bCs/>
                <w:color w:val="auto"/>
                <w:sz w:val="24"/>
                <w:highlight w:val="none"/>
                <w:u w:val="none"/>
                <w:shd w:val="clear" w:color="auto" w:fill="auto"/>
                <w:lang w:val="en-US" w:eastAsia="zh-CN"/>
              </w:rPr>
              <w:t>30</w:t>
            </w:r>
            <w:r>
              <w:rPr>
                <w:rFonts w:hint="default" w:ascii="Times New Roman" w:hAnsi="Times New Roman" w:cs="Times New Roman"/>
                <w:b w:val="0"/>
                <w:bCs/>
                <w:color w:val="auto"/>
                <w:sz w:val="24"/>
                <w:highlight w:val="none"/>
                <w:u w:val="none"/>
                <w:shd w:val="clear" w:color="auto" w:fill="auto"/>
                <w:lang w:val="en-US" w:eastAsia="zh-CN"/>
              </w:rPr>
              <w:t>人，年工作日300天，参照河南省地方标准《工业与城镇生活用水定额》（DB41/T385-2020）：“机关单位（无食堂）生活用水定额通用值为22m</w:t>
            </w:r>
            <w:r>
              <w:rPr>
                <w:rFonts w:hint="default" w:ascii="Times New Roman" w:hAnsi="Times New Roman" w:cs="Times New Roman"/>
                <w:b w:val="0"/>
                <w:bCs/>
                <w:color w:val="auto"/>
                <w:sz w:val="24"/>
                <w:highlight w:val="none"/>
                <w:u w:val="none"/>
                <w:shd w:val="clear" w:color="auto" w:fill="auto"/>
                <w:vertAlign w:val="superscript"/>
                <w:lang w:val="en-US" w:eastAsia="zh-CN"/>
              </w:rPr>
              <w:t>3</w:t>
            </w:r>
            <w:r>
              <w:rPr>
                <w:rFonts w:hint="default" w:ascii="Times New Roman" w:hAnsi="Times New Roman" w:cs="Times New Roman"/>
                <w:b w:val="0"/>
                <w:bCs/>
                <w:color w:val="auto"/>
                <w:sz w:val="24"/>
                <w:highlight w:val="none"/>
                <w:u w:val="none"/>
                <w:shd w:val="clear" w:color="auto" w:fill="auto"/>
                <w:lang w:val="en-US" w:eastAsia="zh-CN"/>
              </w:rPr>
              <w:t>/（人·a）”，用水量约为</w:t>
            </w:r>
            <w:r>
              <w:rPr>
                <w:rFonts w:hint="eastAsia" w:cs="Times New Roman"/>
                <w:b w:val="0"/>
                <w:bCs/>
                <w:color w:val="auto"/>
                <w:sz w:val="24"/>
                <w:highlight w:val="none"/>
                <w:u w:val="none"/>
                <w:shd w:val="clear" w:color="auto" w:fill="auto"/>
                <w:lang w:val="en-US" w:eastAsia="zh-CN"/>
              </w:rPr>
              <w:t>2.2</w:t>
            </w:r>
            <w:r>
              <w:rPr>
                <w:rFonts w:hint="default" w:ascii="Times New Roman" w:hAnsi="Times New Roman" w:cs="Times New Roman"/>
                <w:b w:val="0"/>
                <w:bCs/>
                <w:color w:val="auto"/>
                <w:sz w:val="24"/>
                <w:highlight w:val="none"/>
                <w:u w:val="none"/>
                <w:shd w:val="clear" w:color="auto" w:fill="auto"/>
                <w:lang w:val="en-US" w:eastAsia="zh-CN"/>
              </w:rPr>
              <w:t>m</w:t>
            </w:r>
            <w:r>
              <w:rPr>
                <w:rFonts w:hint="default" w:ascii="Times New Roman" w:hAnsi="Times New Roman" w:cs="Times New Roman"/>
                <w:b w:val="0"/>
                <w:bCs/>
                <w:color w:val="auto"/>
                <w:sz w:val="24"/>
                <w:highlight w:val="none"/>
                <w:u w:val="none"/>
                <w:shd w:val="clear" w:color="auto" w:fill="auto"/>
                <w:vertAlign w:val="superscript"/>
                <w:lang w:val="en-US" w:eastAsia="zh-CN"/>
              </w:rPr>
              <w:t>3</w:t>
            </w:r>
            <w:r>
              <w:rPr>
                <w:rFonts w:hint="default" w:ascii="Times New Roman" w:hAnsi="Times New Roman" w:cs="Times New Roman"/>
                <w:b w:val="0"/>
                <w:bCs/>
                <w:color w:val="auto"/>
                <w:sz w:val="24"/>
                <w:highlight w:val="none"/>
                <w:u w:val="none"/>
                <w:shd w:val="clear" w:color="auto" w:fill="auto"/>
                <w:lang w:val="en-US" w:eastAsia="zh-CN"/>
              </w:rPr>
              <w:t>/d（</w:t>
            </w:r>
            <w:r>
              <w:rPr>
                <w:rFonts w:hint="eastAsia" w:cs="Times New Roman"/>
                <w:b w:val="0"/>
                <w:bCs/>
                <w:color w:val="auto"/>
                <w:sz w:val="24"/>
                <w:highlight w:val="none"/>
                <w:u w:val="none"/>
                <w:shd w:val="clear" w:color="auto" w:fill="auto"/>
                <w:lang w:val="en-US" w:eastAsia="zh-CN"/>
              </w:rPr>
              <w:t>66</w:t>
            </w:r>
            <w:r>
              <w:rPr>
                <w:rFonts w:hint="default" w:ascii="Times New Roman" w:hAnsi="Times New Roman" w:cs="Times New Roman"/>
                <w:b w:val="0"/>
                <w:bCs/>
                <w:color w:val="auto"/>
                <w:sz w:val="24"/>
                <w:highlight w:val="none"/>
                <w:u w:val="none"/>
                <w:shd w:val="clear" w:color="auto" w:fill="auto"/>
                <w:lang w:val="en-US" w:eastAsia="zh-CN"/>
              </w:rPr>
              <w:t>0m</w:t>
            </w:r>
            <w:r>
              <w:rPr>
                <w:rFonts w:hint="default" w:ascii="Times New Roman" w:hAnsi="Times New Roman" w:cs="Times New Roman"/>
                <w:b w:val="0"/>
                <w:bCs/>
                <w:color w:val="auto"/>
                <w:sz w:val="24"/>
                <w:highlight w:val="none"/>
                <w:u w:val="none"/>
                <w:shd w:val="clear" w:color="auto" w:fill="auto"/>
                <w:vertAlign w:val="superscript"/>
                <w:lang w:val="en-US" w:eastAsia="zh-CN"/>
              </w:rPr>
              <w:t>3</w:t>
            </w:r>
            <w:r>
              <w:rPr>
                <w:rFonts w:hint="default" w:ascii="Times New Roman" w:hAnsi="Times New Roman" w:cs="Times New Roman"/>
                <w:b w:val="0"/>
                <w:bCs/>
                <w:color w:val="auto"/>
                <w:sz w:val="24"/>
                <w:highlight w:val="none"/>
                <w:u w:val="none"/>
                <w:shd w:val="clear" w:color="auto" w:fill="auto"/>
                <w:lang w:val="en-US" w:eastAsia="zh-CN"/>
              </w:rPr>
              <w:t>/a）；废水排放量按用水量的80%计，则废水排放量约为1</w:t>
            </w:r>
            <w:r>
              <w:rPr>
                <w:rFonts w:hint="eastAsia" w:cs="Times New Roman"/>
                <w:b w:val="0"/>
                <w:bCs/>
                <w:color w:val="auto"/>
                <w:sz w:val="24"/>
                <w:highlight w:val="none"/>
                <w:u w:val="none"/>
                <w:shd w:val="clear" w:color="auto" w:fill="auto"/>
                <w:lang w:val="en-US" w:eastAsia="zh-CN"/>
              </w:rPr>
              <w:t>.76</w:t>
            </w:r>
            <w:r>
              <w:rPr>
                <w:rFonts w:hint="default" w:ascii="Times New Roman" w:hAnsi="Times New Roman" w:cs="Times New Roman"/>
                <w:b w:val="0"/>
                <w:bCs/>
                <w:color w:val="auto"/>
                <w:sz w:val="24"/>
                <w:highlight w:val="none"/>
                <w:u w:val="none"/>
                <w:shd w:val="clear" w:color="auto" w:fill="auto"/>
                <w:lang w:val="en-US" w:eastAsia="zh-CN"/>
              </w:rPr>
              <w:t>m</w:t>
            </w:r>
            <w:r>
              <w:rPr>
                <w:rFonts w:hint="default" w:ascii="Times New Roman" w:hAnsi="Times New Roman" w:cs="Times New Roman"/>
                <w:b w:val="0"/>
                <w:bCs/>
                <w:color w:val="auto"/>
                <w:sz w:val="24"/>
                <w:highlight w:val="none"/>
                <w:u w:val="none"/>
                <w:shd w:val="clear" w:color="auto" w:fill="auto"/>
                <w:vertAlign w:val="superscript"/>
                <w:lang w:val="en-US" w:eastAsia="zh-CN"/>
              </w:rPr>
              <w:t>3</w:t>
            </w:r>
            <w:r>
              <w:rPr>
                <w:rFonts w:hint="default" w:ascii="Times New Roman" w:hAnsi="Times New Roman" w:cs="Times New Roman"/>
                <w:b w:val="0"/>
                <w:bCs/>
                <w:color w:val="auto"/>
                <w:sz w:val="24"/>
                <w:highlight w:val="none"/>
                <w:u w:val="none"/>
                <w:shd w:val="clear" w:color="auto" w:fill="auto"/>
                <w:lang w:val="en-US" w:eastAsia="zh-CN"/>
              </w:rPr>
              <w:t>/d（</w:t>
            </w:r>
            <w:r>
              <w:rPr>
                <w:rFonts w:hint="eastAsia" w:cs="Times New Roman"/>
                <w:b w:val="0"/>
                <w:bCs/>
                <w:color w:val="auto"/>
                <w:sz w:val="24"/>
                <w:highlight w:val="none"/>
                <w:u w:val="none"/>
                <w:shd w:val="clear" w:color="auto" w:fill="auto"/>
                <w:lang w:val="en-US" w:eastAsia="zh-CN"/>
              </w:rPr>
              <w:t>528</w:t>
            </w:r>
            <w:r>
              <w:rPr>
                <w:rFonts w:hint="default" w:ascii="Times New Roman" w:hAnsi="Times New Roman" w:cs="Times New Roman"/>
                <w:b w:val="0"/>
                <w:bCs/>
                <w:color w:val="auto"/>
                <w:sz w:val="24"/>
                <w:highlight w:val="none"/>
                <w:u w:val="none"/>
                <w:shd w:val="clear" w:color="auto" w:fill="auto"/>
                <w:lang w:val="en-US" w:eastAsia="zh-CN"/>
              </w:rPr>
              <w:t>m</w:t>
            </w:r>
            <w:r>
              <w:rPr>
                <w:rFonts w:hint="default" w:ascii="Times New Roman" w:hAnsi="Times New Roman" w:cs="Times New Roman"/>
                <w:b w:val="0"/>
                <w:bCs/>
                <w:color w:val="auto"/>
                <w:sz w:val="24"/>
                <w:highlight w:val="none"/>
                <w:u w:val="none"/>
                <w:shd w:val="clear" w:color="auto" w:fill="auto"/>
                <w:vertAlign w:val="superscript"/>
                <w:lang w:val="en-US" w:eastAsia="zh-CN"/>
              </w:rPr>
              <w:t>3</w:t>
            </w:r>
            <w:r>
              <w:rPr>
                <w:rFonts w:hint="default" w:ascii="Times New Roman" w:hAnsi="Times New Roman" w:cs="Times New Roman"/>
                <w:b w:val="0"/>
                <w:bCs/>
                <w:color w:val="auto"/>
                <w:sz w:val="24"/>
                <w:highlight w:val="none"/>
                <w:u w:val="none"/>
                <w:shd w:val="clear" w:color="auto" w:fill="auto"/>
                <w:lang w:val="en-US" w:eastAsia="zh-CN"/>
              </w:rPr>
              <w:t>/a）生活污水化粪池处理后进清丰中州水务有限公司第二污水处理厂。</w:t>
            </w:r>
          </w:p>
          <w:p w14:paraId="50443DA8">
            <w:pPr>
              <w:spacing w:line="360" w:lineRule="auto"/>
              <w:jc w:val="center"/>
              <w:rPr>
                <w:rFonts w:hint="default" w:ascii="Times New Roman" w:hAnsi="Times New Roman" w:cs="Times New Roman"/>
                <w:b w:val="0"/>
                <w:bCs w:val="0"/>
                <w:color w:val="auto"/>
                <w:sz w:val="24"/>
                <w:highlight w:val="none"/>
                <w:u w:val="none"/>
                <w:lang w:eastAsia="zh-CN"/>
              </w:rPr>
            </w:pPr>
            <w:r>
              <w:rPr>
                <w:rFonts w:hint="default" w:ascii="Times New Roman" w:hAnsi="Times New Roman" w:cs="Times New Roman"/>
                <w:b w:val="0"/>
                <w:bCs w:val="0"/>
                <w:color w:val="auto"/>
                <w:sz w:val="24"/>
                <w:highlight w:val="none"/>
                <w:u w:val="none"/>
                <w:lang w:eastAsia="zh-CN"/>
              </w:rPr>
              <w:drawing>
                <wp:inline distT="0" distB="0" distL="114300" distR="114300">
                  <wp:extent cx="4670425" cy="904875"/>
                  <wp:effectExtent l="0" t="0" r="15875" b="0"/>
                  <wp:docPr id="7" name="ECB019B1-382A-4266-B25C-5B523AA43C14-1" descr="C:/Users/ASUS/AppData/Local/Temp/wps.VUeRZ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ASUS/AppData/Local/Temp/wps.VUeRZAwps"/>
                          <pic:cNvPicPr>
                            <a:picLocks noChangeAspect="1"/>
                          </pic:cNvPicPr>
                        </pic:nvPicPr>
                        <pic:blipFill>
                          <a:blip r:embed="rId16"/>
                          <a:srcRect l="4700" t="3023" r="3020" b="78251"/>
                          <a:stretch>
                            <a:fillRect/>
                          </a:stretch>
                        </pic:blipFill>
                        <pic:spPr>
                          <a:xfrm>
                            <a:off x="0" y="0"/>
                            <a:ext cx="4670425" cy="904875"/>
                          </a:xfrm>
                          <a:prstGeom prst="rect">
                            <a:avLst/>
                          </a:prstGeom>
                        </pic:spPr>
                      </pic:pic>
                    </a:graphicData>
                  </a:graphic>
                </wp:inline>
              </w:drawing>
            </w:r>
          </w:p>
          <w:p w14:paraId="1B028A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val="0"/>
                <w:bCs w:val="0"/>
                <w:color w:val="auto"/>
                <w:sz w:val="21"/>
                <w:szCs w:val="21"/>
                <w:highlight w:val="none"/>
                <w:u w:val="none"/>
                <w:lang w:val="en-US" w:eastAsia="zh-CN"/>
              </w:rPr>
            </w:pPr>
            <w:r>
              <w:rPr>
                <w:rFonts w:hint="default" w:ascii="Times New Roman" w:hAnsi="Times New Roman" w:cs="Times New Roman"/>
                <w:b w:val="0"/>
                <w:bCs w:val="0"/>
                <w:color w:val="auto"/>
                <w:sz w:val="21"/>
                <w:szCs w:val="21"/>
                <w:highlight w:val="none"/>
                <w:u w:val="none"/>
                <w:lang w:val="en-US" w:eastAsia="zh-CN"/>
              </w:rPr>
              <w:t>图2-</w:t>
            </w:r>
            <w:r>
              <w:rPr>
                <w:rFonts w:hint="eastAsia" w:cs="Times New Roman"/>
                <w:b w:val="0"/>
                <w:bCs w:val="0"/>
                <w:color w:val="auto"/>
                <w:sz w:val="21"/>
                <w:szCs w:val="21"/>
                <w:highlight w:val="none"/>
                <w:u w:val="none"/>
                <w:lang w:val="en-US" w:eastAsia="zh-CN"/>
              </w:rPr>
              <w:t>1</w:t>
            </w:r>
            <w:r>
              <w:rPr>
                <w:rFonts w:hint="default" w:ascii="Times New Roman" w:hAnsi="Times New Roman" w:cs="Times New Roman"/>
                <w:b w:val="0"/>
                <w:bCs w:val="0"/>
                <w:color w:val="auto"/>
                <w:sz w:val="21"/>
                <w:szCs w:val="21"/>
                <w:highlight w:val="none"/>
                <w:u w:val="none"/>
                <w:lang w:val="en-US" w:eastAsia="zh-CN"/>
              </w:rPr>
              <w:t xml:space="preserve">  </w:t>
            </w:r>
            <w:r>
              <w:rPr>
                <w:rFonts w:hint="eastAsia" w:cs="Times New Roman"/>
                <w:b w:val="0"/>
                <w:bCs w:val="0"/>
                <w:color w:val="auto"/>
                <w:sz w:val="21"/>
                <w:szCs w:val="21"/>
                <w:highlight w:val="none"/>
                <w:u w:val="none"/>
                <w:lang w:val="en-US" w:eastAsia="zh-CN"/>
              </w:rPr>
              <w:t>本</w:t>
            </w:r>
            <w:r>
              <w:rPr>
                <w:rFonts w:hint="default" w:ascii="Times New Roman" w:hAnsi="Times New Roman" w:eastAsia="宋体" w:cs="Times New Roman"/>
                <w:b w:val="0"/>
                <w:bCs w:val="0"/>
                <w:color w:val="auto"/>
                <w:sz w:val="21"/>
                <w:szCs w:val="21"/>
                <w:highlight w:val="none"/>
                <w:u w:val="none"/>
                <w:lang w:val="en-US" w:eastAsia="zh-CN"/>
              </w:rPr>
              <w:t>项目水平衡图  单位：m</w:t>
            </w:r>
            <w:r>
              <w:rPr>
                <w:rFonts w:hint="default" w:ascii="Times New Roman" w:hAnsi="Times New Roman" w:cs="Times New Roman"/>
                <w:b w:val="0"/>
                <w:bCs w:val="0"/>
                <w:color w:val="auto"/>
                <w:sz w:val="21"/>
                <w:szCs w:val="21"/>
                <w:highlight w:val="none"/>
                <w:u w:val="none"/>
                <w:lang w:val="en-US" w:eastAsia="zh-CN"/>
              </w:rPr>
              <w:t>³</w:t>
            </w:r>
            <w:r>
              <w:rPr>
                <w:rFonts w:hint="default" w:ascii="Times New Roman" w:hAnsi="Times New Roman" w:eastAsia="宋体" w:cs="Times New Roman"/>
                <w:b w:val="0"/>
                <w:bCs w:val="0"/>
                <w:color w:val="auto"/>
                <w:sz w:val="21"/>
                <w:szCs w:val="21"/>
                <w:highlight w:val="none"/>
                <w:u w:val="none"/>
                <w:lang w:val="en-US" w:eastAsia="zh-CN"/>
              </w:rPr>
              <w:t>/</w:t>
            </w:r>
            <w:r>
              <w:rPr>
                <w:rFonts w:hint="default" w:ascii="Times New Roman" w:hAnsi="Times New Roman" w:cs="Times New Roman"/>
                <w:b w:val="0"/>
                <w:bCs w:val="0"/>
                <w:color w:val="auto"/>
                <w:sz w:val="21"/>
                <w:szCs w:val="21"/>
                <w:highlight w:val="none"/>
                <w:u w:val="none"/>
                <w:lang w:val="en-US" w:eastAsia="zh-CN"/>
              </w:rPr>
              <w:t>a</w:t>
            </w:r>
          </w:p>
          <w:p w14:paraId="6AD2485C">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both"/>
              <w:textAlignment w:val="auto"/>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lang w:val="en-US" w:eastAsia="zh-CN"/>
              </w:rPr>
              <w:t>供电</w:t>
            </w:r>
          </w:p>
          <w:p w14:paraId="21E846B0">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本项目用电由供电管网统一供给</w:t>
            </w:r>
            <w:r>
              <w:rPr>
                <w:rFonts w:hint="default" w:ascii="Times New Roman" w:hAnsi="Times New Roman" w:eastAsia="宋体" w:cs="Times New Roman"/>
                <w:b w:val="0"/>
                <w:bCs w:val="0"/>
                <w:color w:val="auto"/>
                <w:sz w:val="24"/>
                <w:highlight w:val="none"/>
                <w:lang w:val="en-US" w:eastAsia="zh-CN"/>
              </w:rPr>
              <w:t>，可满足项目需求</w:t>
            </w:r>
            <w:r>
              <w:rPr>
                <w:rFonts w:hint="default" w:ascii="Times New Roman" w:hAnsi="Times New Roman" w:eastAsia="宋体" w:cs="Times New Roman"/>
                <w:color w:val="auto"/>
                <w:sz w:val="24"/>
                <w:highlight w:val="none"/>
              </w:rPr>
              <w:t>。</w:t>
            </w:r>
          </w:p>
          <w:p w14:paraId="282DE6B3">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val="en-US" w:eastAsia="zh-CN"/>
              </w:rPr>
              <w:t>、劳动定员及工作</w:t>
            </w:r>
            <w:r>
              <w:rPr>
                <w:rFonts w:hint="default" w:ascii="Times New Roman" w:hAnsi="Times New Roman" w:eastAsia="宋体" w:cs="Times New Roman"/>
                <w:b/>
                <w:bCs/>
                <w:color w:val="auto"/>
                <w:sz w:val="24"/>
                <w:szCs w:val="24"/>
                <w:highlight w:val="none"/>
                <w:lang w:val="en-US" w:eastAsia="zh-CN"/>
              </w:rPr>
              <w:t>制度</w:t>
            </w:r>
          </w:p>
          <w:p w14:paraId="74BDE438">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新增</w:t>
            </w:r>
            <w:r>
              <w:rPr>
                <w:rFonts w:hint="default" w:ascii="Times New Roman" w:hAnsi="Times New Roman" w:eastAsia="宋体" w:cs="Times New Roman"/>
                <w:color w:val="auto"/>
                <w:sz w:val="24"/>
                <w:szCs w:val="24"/>
                <w:highlight w:val="none"/>
              </w:rPr>
              <w:t>劳动定员</w:t>
            </w:r>
            <w:r>
              <w:rPr>
                <w:rFonts w:hint="eastAsia" w:cs="Times New Roman"/>
                <w:color w:val="auto"/>
                <w:sz w:val="24"/>
                <w:szCs w:val="24"/>
                <w:highlight w:val="none"/>
                <w:lang w:val="en-US" w:eastAsia="zh-CN"/>
              </w:rPr>
              <w:t>30人</w:t>
            </w:r>
            <w:r>
              <w:rPr>
                <w:rFonts w:hint="default" w:ascii="Times New Roman" w:hAnsi="Times New Roman" w:cs="Times New Roman"/>
                <w:color w:val="auto"/>
                <w:sz w:val="24"/>
                <w:szCs w:val="24"/>
                <w:highlight w:val="none"/>
                <w:lang w:val="en-US" w:eastAsia="zh-CN"/>
              </w:rPr>
              <w:t>。实行</w:t>
            </w:r>
            <w:r>
              <w:rPr>
                <w:rFonts w:hint="eastAsia" w:cs="Times New Roman"/>
                <w:color w:val="auto"/>
                <w:sz w:val="24"/>
                <w:szCs w:val="24"/>
                <w:highlight w:val="none"/>
                <w:lang w:val="en-US" w:eastAsia="zh-CN"/>
              </w:rPr>
              <w:t>单</w:t>
            </w:r>
            <w:r>
              <w:rPr>
                <w:rFonts w:hint="default" w:ascii="Times New Roman" w:hAnsi="Times New Roman" w:cs="Times New Roman"/>
                <w:color w:val="auto"/>
                <w:sz w:val="24"/>
                <w:szCs w:val="24"/>
                <w:highlight w:val="none"/>
                <w:lang w:val="en-US" w:eastAsia="zh-CN"/>
              </w:rPr>
              <w:t>班8小时工作制</w:t>
            </w:r>
            <w:r>
              <w:rPr>
                <w:rFonts w:hint="default" w:ascii="Times New Roman" w:hAnsi="Times New Roman" w:eastAsia="宋体" w:cs="Times New Roman"/>
                <w:color w:val="auto"/>
                <w:sz w:val="24"/>
                <w:szCs w:val="24"/>
                <w:highlight w:val="none"/>
              </w:rPr>
              <w:t>，年工作3</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0天</w:t>
            </w:r>
            <w:r>
              <w:rPr>
                <w:rFonts w:hint="default" w:ascii="Times New Roman" w:hAnsi="Times New Roman" w:eastAsia="宋体" w:cs="Times New Roman"/>
                <w:color w:val="auto"/>
                <w:sz w:val="24"/>
                <w:szCs w:val="24"/>
                <w:highlight w:val="none"/>
                <w:lang w:eastAsia="zh-CN"/>
              </w:rPr>
              <w:t>。</w:t>
            </w:r>
          </w:p>
          <w:p w14:paraId="3026D056">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both"/>
              <w:textAlignment w:val="auto"/>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7</w:t>
            </w:r>
            <w:r>
              <w:rPr>
                <w:rFonts w:hint="default" w:ascii="Times New Roman" w:hAnsi="Times New Roman" w:eastAsia="宋体" w:cs="Times New Roman"/>
                <w:b/>
                <w:bCs w:val="0"/>
                <w:color w:val="auto"/>
                <w:sz w:val="24"/>
                <w:szCs w:val="24"/>
                <w:highlight w:val="none"/>
                <w:lang w:val="en-US" w:eastAsia="zh-CN"/>
              </w:rPr>
              <w:t>、总平面布局</w:t>
            </w:r>
          </w:p>
          <w:p w14:paraId="340A9DAC">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本项目生产车间布置于厂区</w:t>
            </w:r>
            <w:r>
              <w:rPr>
                <w:rFonts w:hint="eastAsia"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val="en-US" w:eastAsia="zh-CN"/>
              </w:rPr>
              <w:t>侧</w:t>
            </w:r>
            <w:r>
              <w:rPr>
                <w:rFonts w:hint="eastAsia" w:cs="Times New Roman"/>
                <w:color w:val="auto"/>
                <w:sz w:val="24"/>
                <w:szCs w:val="24"/>
                <w:highlight w:val="none"/>
                <w:lang w:val="en-US" w:eastAsia="zh-CN"/>
              </w:rPr>
              <w:t>、东南侧</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lang w:val="en-US" w:eastAsia="zh-CN"/>
              </w:rPr>
              <w:t>侧布置办公区，生产线全部布置于密闭车间内，能够减少无组织废气对于项目四周的影响。项目设备按照生产线紧邻布置，各个工序相互衔接，减少了物料运输距离，可有效提高工作效率。因此，项目平面布局合理。项目平面布置图详见附图。</w:t>
            </w:r>
          </w:p>
        </w:tc>
      </w:tr>
      <w:tr w14:paraId="1028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359" w:type="pct"/>
            <w:vAlign w:val="center"/>
          </w:tcPr>
          <w:p w14:paraId="529811DF">
            <w:pPr>
              <w:pStyle w:val="25"/>
              <w:keepNext w:val="0"/>
              <w:keepLines w:val="0"/>
              <w:pageBreakBefore w:val="0"/>
              <w:widowControl/>
              <w:kinsoku/>
              <w:wordWrap/>
              <w:overflowPunct/>
              <w:topLinePunct w:val="0"/>
              <w:autoSpaceDE/>
              <w:autoSpaceDN/>
              <w:bidi w:val="0"/>
              <w:adjustRightInd/>
              <w:snapToGrid/>
              <w:spacing w:before="0" w:beforeAutospacing="0" w:after="157" w:afterLines="50" w:afterAutospacing="0"/>
              <w:jc w:val="center"/>
              <w:textAlignment w:val="auto"/>
              <w:outlineLvl w:val="0"/>
              <w:rPr>
                <w:rFonts w:hint="default" w:ascii="Times New Roman" w:hAnsi="Times New Roman" w:eastAsia="宋体" w:cs="Times New Roman"/>
                <w:b w:val="0"/>
                <w:bCs w:val="0"/>
                <w:color w:val="auto"/>
                <w:sz w:val="24"/>
                <w:szCs w:val="24"/>
                <w:highlight w:val="none"/>
              </w:rPr>
            </w:pPr>
            <w:bookmarkStart w:id="15" w:name="_Toc25000"/>
            <w:r>
              <w:rPr>
                <w:rFonts w:hint="default" w:ascii="Times New Roman" w:hAnsi="Times New Roman" w:eastAsia="宋体" w:cs="Times New Roman"/>
                <w:b w:val="0"/>
                <w:bCs w:val="0"/>
                <w:color w:val="auto"/>
                <w:sz w:val="24"/>
                <w:szCs w:val="24"/>
                <w:highlight w:val="none"/>
              </w:rPr>
              <w:t>工艺流程和产排污环节</w:t>
            </w:r>
            <w:bookmarkEnd w:id="15"/>
          </w:p>
        </w:tc>
        <w:tc>
          <w:tcPr>
            <w:tcW w:w="4640" w:type="pct"/>
          </w:tcPr>
          <w:p w14:paraId="2AAAE732">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1、施工期工艺流程及产排污环节分析</w:t>
            </w:r>
          </w:p>
          <w:p w14:paraId="52774BD0">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cs="Times New Roman"/>
                <w:b/>
                <w:bCs/>
                <w:color w:val="auto"/>
                <w:sz w:val="24"/>
                <w:szCs w:val="22"/>
                <w:highlight w:val="none"/>
                <w:lang w:val="en-US" w:eastAsia="zh-CN"/>
              </w:rPr>
              <w:t>1.1 施工期工艺流程简述</w:t>
            </w:r>
          </w:p>
          <w:p w14:paraId="25EC3E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drawing>
                <wp:inline distT="0" distB="0" distL="114300" distR="114300">
                  <wp:extent cx="3383915" cy="979170"/>
                  <wp:effectExtent l="0" t="0" r="6985" b="11430"/>
                  <wp:docPr id="44" name="图片 44" descr="7e7f5522a33ed4c4b23542b3f996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e7f5522a33ed4c4b23542b3f996eab"/>
                          <pic:cNvPicPr>
                            <a:picLocks noChangeAspect="1"/>
                          </pic:cNvPicPr>
                        </pic:nvPicPr>
                        <pic:blipFill>
                          <a:blip r:embed="rId17"/>
                          <a:stretch>
                            <a:fillRect/>
                          </a:stretch>
                        </pic:blipFill>
                        <pic:spPr>
                          <a:xfrm>
                            <a:off x="0" y="0"/>
                            <a:ext cx="3383915" cy="979170"/>
                          </a:xfrm>
                          <a:prstGeom prst="rect">
                            <a:avLst/>
                          </a:prstGeom>
                        </pic:spPr>
                      </pic:pic>
                    </a:graphicData>
                  </a:graphic>
                </wp:inline>
              </w:drawing>
            </w:r>
          </w:p>
          <w:p w14:paraId="3E160FB2">
            <w:pPr>
              <w:keepNext w:val="0"/>
              <w:keepLines w:val="0"/>
              <w:pageBreakBefore w:val="0"/>
              <w:widowControl w:val="0"/>
              <w:tabs>
                <w:tab w:val="left" w:pos="7920"/>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0"/>
                <w:highlight w:val="none"/>
                <w:lang w:val="zh-CN" w:eastAsia="zh-CN"/>
              </w:rPr>
            </w:pPr>
            <w:r>
              <w:rPr>
                <w:rFonts w:hint="default" w:ascii="Times New Roman" w:hAnsi="Times New Roman" w:eastAsia="宋体" w:cs="Times New Roman"/>
                <w:b w:val="0"/>
                <w:bCs w:val="0"/>
                <w:color w:val="auto"/>
                <w:sz w:val="21"/>
                <w:szCs w:val="20"/>
                <w:highlight w:val="none"/>
                <w:lang w:val="en-US" w:eastAsia="zh-CN"/>
              </w:rPr>
              <w:t>图</w:t>
            </w:r>
            <w:r>
              <w:rPr>
                <w:rFonts w:hint="eastAsia" w:ascii="Times New Roman" w:hAnsi="Times New Roman" w:eastAsia="宋体" w:cs="Times New Roman"/>
                <w:b w:val="0"/>
                <w:bCs w:val="0"/>
                <w:color w:val="auto"/>
                <w:sz w:val="21"/>
                <w:szCs w:val="20"/>
                <w:highlight w:val="none"/>
                <w:lang w:val="en-US" w:eastAsia="zh-CN"/>
              </w:rPr>
              <w:t>2-</w:t>
            </w:r>
            <w:r>
              <w:rPr>
                <w:rFonts w:hint="eastAsia" w:cs="Times New Roman"/>
                <w:b w:val="0"/>
                <w:bCs w:val="0"/>
                <w:color w:val="auto"/>
                <w:sz w:val="21"/>
                <w:szCs w:val="20"/>
                <w:highlight w:val="none"/>
                <w:lang w:val="en-US" w:eastAsia="zh-CN"/>
              </w:rPr>
              <w:t>2</w:t>
            </w:r>
            <w:r>
              <w:rPr>
                <w:rFonts w:hint="default" w:ascii="Times New Roman" w:hAnsi="Times New Roman" w:eastAsia="宋体" w:cs="Times New Roman"/>
                <w:b w:val="0"/>
                <w:bCs w:val="0"/>
                <w:color w:val="auto"/>
                <w:sz w:val="21"/>
                <w:szCs w:val="20"/>
                <w:highlight w:val="none"/>
                <w:lang w:val="en-US" w:eastAsia="zh-CN"/>
              </w:rPr>
              <w:t xml:space="preserve">  施工流程及产污节点示意图</w:t>
            </w:r>
          </w:p>
          <w:p w14:paraId="642C331E">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本项目</w:t>
            </w:r>
            <w:r>
              <w:rPr>
                <w:rFonts w:hint="default" w:ascii="Times New Roman" w:hAnsi="Times New Roman" w:eastAsia="宋体" w:cs="Times New Roman"/>
                <w:color w:val="auto"/>
                <w:sz w:val="24"/>
                <w:szCs w:val="24"/>
                <w:highlight w:val="none"/>
                <w:lang w:val="en-US" w:eastAsia="zh-CN"/>
              </w:rPr>
              <w:t>土建工程主要为生产车间、研发楼</w:t>
            </w:r>
            <w:r>
              <w:rPr>
                <w:rFonts w:hint="eastAsia" w:ascii="Times New Roman" w:hAnsi="Times New Roman" w:eastAsia="宋体" w:cs="Times New Roman"/>
                <w:color w:val="auto"/>
                <w:sz w:val="24"/>
                <w:szCs w:val="24"/>
                <w:highlight w:val="none"/>
                <w:lang w:val="en-US" w:eastAsia="zh-CN"/>
              </w:rPr>
              <w:t>及办公楼</w:t>
            </w:r>
            <w:r>
              <w:rPr>
                <w:rFonts w:hint="default" w:ascii="Times New Roman" w:hAnsi="Times New Roman" w:eastAsia="宋体" w:cs="Times New Roman"/>
                <w:color w:val="auto"/>
                <w:sz w:val="24"/>
                <w:szCs w:val="24"/>
                <w:highlight w:val="none"/>
                <w:lang w:val="en-US" w:eastAsia="zh-CN"/>
              </w:rPr>
              <w:t>建设，及厂区地面硬化处理。</w:t>
            </w:r>
          </w:p>
          <w:p w14:paraId="474DC75E">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1、废气</w:t>
            </w:r>
          </w:p>
          <w:p w14:paraId="03589FB7">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主要为新建生产车间、研发中心楼等设施土建工程、物料运输及堆放等过程产生的扬尘。</w:t>
            </w:r>
          </w:p>
          <w:p w14:paraId="45CAB698">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2、废水</w:t>
            </w:r>
          </w:p>
          <w:p w14:paraId="0DCAEFB7">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主要为设备冲洗废水与施工人员的洗漱废水。</w:t>
            </w:r>
          </w:p>
          <w:p w14:paraId="09C030DA">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3、噪声</w:t>
            </w:r>
          </w:p>
          <w:p w14:paraId="786A8848">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施工期的噪声主要来源于包括施工现场的各类施工机械设备产生的噪声和运输物料的交通噪声，在施工期阶段可能会对周边环境造成一定影响。</w:t>
            </w:r>
          </w:p>
          <w:p w14:paraId="0753C70E">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4、固体废物</w:t>
            </w:r>
          </w:p>
          <w:p w14:paraId="2FD5881B">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主要为施工人员产生的生活垃圾及施工过程中产生的建筑垃圾。</w:t>
            </w:r>
          </w:p>
          <w:p w14:paraId="795A0F92">
            <w:pPr>
              <w:keepNext w:val="0"/>
              <w:keepLines w:val="0"/>
              <w:pageBreakBefore w:val="0"/>
              <w:widowControl w:val="0"/>
              <w:numPr>
                <w:ilvl w:val="0"/>
                <w:numId w:val="0"/>
              </w:numPr>
              <w:tabs>
                <w:tab w:val="left" w:pos="7920"/>
              </w:tabs>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kern w:val="2"/>
                <w:sz w:val="24"/>
                <w:szCs w:val="24"/>
                <w:vertAlign w:val="baseline"/>
                <w:lang w:val="en-US" w:eastAsia="zh-CN" w:bidi="ar-SA"/>
              </w:rPr>
              <w:t>2、</w:t>
            </w:r>
            <w:r>
              <w:rPr>
                <w:rFonts w:hint="default" w:ascii="Times New Roman" w:hAnsi="Times New Roman" w:cs="Times New Roman"/>
                <w:b/>
                <w:bCs/>
                <w:color w:val="auto"/>
                <w:sz w:val="24"/>
                <w:szCs w:val="32"/>
                <w:highlight w:val="none"/>
                <w:vertAlign w:val="baseline"/>
                <w:lang w:val="en-US" w:eastAsia="zh-CN"/>
              </w:rPr>
              <w:t>营运期</w:t>
            </w:r>
            <w:r>
              <w:rPr>
                <w:rFonts w:hint="default" w:ascii="Times New Roman" w:hAnsi="Times New Roman" w:eastAsia="宋体" w:cs="Times New Roman"/>
                <w:b/>
                <w:bCs/>
                <w:color w:val="auto"/>
                <w:sz w:val="24"/>
                <w:szCs w:val="24"/>
                <w:highlight w:val="none"/>
                <w:vertAlign w:val="baseline"/>
                <w:lang w:val="en-US" w:eastAsia="zh-CN"/>
              </w:rPr>
              <w:t>工艺流程及产排污环节分析</w:t>
            </w:r>
          </w:p>
          <w:p w14:paraId="51A98E7F">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bCs/>
                <w:color w:val="auto"/>
                <w:sz w:val="24"/>
                <w:szCs w:val="22"/>
                <w:highlight w:val="none"/>
                <w:u w:val="none"/>
                <w:lang w:val="en-US" w:eastAsia="zh-CN"/>
              </w:rPr>
            </w:pPr>
            <w:r>
              <w:rPr>
                <w:rFonts w:hint="eastAsia" w:cs="Times New Roman"/>
                <w:b/>
                <w:bCs/>
                <w:color w:val="auto"/>
                <w:sz w:val="24"/>
                <w:szCs w:val="22"/>
                <w:highlight w:val="none"/>
                <w:u w:val="none"/>
                <w:lang w:val="en-US" w:eastAsia="zh-CN"/>
              </w:rPr>
              <w:t xml:space="preserve">2.1 </w:t>
            </w:r>
            <w:r>
              <w:rPr>
                <w:rFonts w:hint="default" w:ascii="Times New Roman" w:hAnsi="Times New Roman" w:cs="Times New Roman"/>
                <w:b/>
                <w:bCs/>
                <w:color w:val="auto"/>
                <w:sz w:val="24"/>
                <w:szCs w:val="32"/>
                <w:highlight w:val="none"/>
                <w:u w:val="none"/>
                <w:vertAlign w:val="baseline"/>
                <w:lang w:val="en-US" w:eastAsia="zh-CN"/>
              </w:rPr>
              <w:t>营运期</w:t>
            </w:r>
            <w:r>
              <w:rPr>
                <w:rFonts w:hint="default" w:ascii="Times New Roman" w:hAnsi="Times New Roman" w:eastAsia="宋体" w:cs="Times New Roman"/>
                <w:b/>
                <w:bCs/>
                <w:color w:val="auto"/>
                <w:sz w:val="24"/>
                <w:szCs w:val="24"/>
                <w:highlight w:val="none"/>
                <w:u w:val="none"/>
                <w:vertAlign w:val="baseline"/>
                <w:lang w:val="en-US" w:eastAsia="zh-CN"/>
              </w:rPr>
              <w:t>工艺流程</w:t>
            </w:r>
            <w:r>
              <w:rPr>
                <w:rFonts w:hint="eastAsia" w:ascii="Times New Roman" w:hAnsi="Times New Roman" w:cs="Times New Roman"/>
                <w:b/>
                <w:bCs/>
                <w:color w:val="auto"/>
                <w:sz w:val="24"/>
                <w:szCs w:val="24"/>
                <w:highlight w:val="none"/>
                <w:u w:val="none"/>
                <w:vertAlign w:val="baseline"/>
                <w:lang w:val="en-US" w:eastAsia="zh-CN"/>
              </w:rPr>
              <w:t>分析</w:t>
            </w:r>
          </w:p>
          <w:p w14:paraId="0E721FE8">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2"/>
                <w:highlight w:val="none"/>
                <w:u w:val="single"/>
                <w:lang w:val="en-US" w:eastAsia="zh-CN"/>
              </w:rPr>
            </w:pPr>
            <w:r>
              <w:rPr>
                <w:rFonts w:hint="eastAsia" w:cs="Times New Roman"/>
                <w:color w:val="auto"/>
                <w:sz w:val="24"/>
                <w:szCs w:val="22"/>
                <w:highlight w:val="none"/>
                <w:u w:val="single"/>
                <w:lang w:val="en-US" w:eastAsia="zh-CN"/>
              </w:rPr>
              <w:t>（1）工艺流程</w:t>
            </w:r>
          </w:p>
          <w:p w14:paraId="4E99B887">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2"/>
                <w:highlight w:val="none"/>
                <w:u w:val="single"/>
                <w:lang w:val="en-US" w:eastAsia="zh-CN"/>
              </w:rPr>
            </w:pPr>
            <w:r>
              <w:rPr>
                <w:rFonts w:hint="default" w:ascii="Times New Roman" w:hAnsi="Times New Roman" w:eastAsia="宋体" w:cs="Times New Roman"/>
                <w:color w:val="auto"/>
                <w:sz w:val="24"/>
                <w:szCs w:val="22"/>
                <w:highlight w:val="none"/>
                <w:u w:val="single"/>
                <w:lang w:val="en-US" w:eastAsia="zh-CN"/>
              </w:rPr>
              <w:t>本项目运营期以</w:t>
            </w:r>
            <w:r>
              <w:rPr>
                <w:rFonts w:hint="eastAsia" w:cs="Times New Roman"/>
                <w:color w:val="auto"/>
                <w:sz w:val="24"/>
                <w:szCs w:val="22"/>
                <w:highlight w:val="none"/>
                <w:u w:val="single"/>
                <w:lang w:val="en-US" w:eastAsia="zh-CN"/>
              </w:rPr>
              <w:t>型材、板材</w:t>
            </w:r>
            <w:r>
              <w:rPr>
                <w:rFonts w:hint="default" w:ascii="Times New Roman" w:hAnsi="Times New Roman" w:eastAsia="宋体" w:cs="Times New Roman"/>
                <w:color w:val="auto"/>
                <w:sz w:val="24"/>
                <w:szCs w:val="22"/>
                <w:highlight w:val="none"/>
                <w:u w:val="single"/>
                <w:lang w:val="en-US" w:eastAsia="zh-CN"/>
              </w:rPr>
              <w:t>为原料，经加工后生产</w:t>
            </w:r>
            <w:r>
              <w:rPr>
                <w:rFonts w:hint="eastAsia" w:cs="Times New Roman"/>
                <w:color w:val="auto"/>
                <w:sz w:val="24"/>
                <w:szCs w:val="22"/>
                <w:highlight w:val="none"/>
                <w:u w:val="single"/>
                <w:lang w:val="en-US" w:eastAsia="zh-CN"/>
              </w:rPr>
              <w:t>石油固控设备</w:t>
            </w:r>
            <w:r>
              <w:rPr>
                <w:rFonts w:hint="default" w:ascii="Times New Roman" w:hAnsi="Times New Roman" w:eastAsia="宋体" w:cs="Times New Roman"/>
                <w:color w:val="auto"/>
                <w:sz w:val="24"/>
                <w:szCs w:val="22"/>
                <w:highlight w:val="none"/>
                <w:u w:val="single"/>
                <w:lang w:val="en-US" w:eastAsia="zh-CN"/>
              </w:rPr>
              <w:t>。同时，对现有生产线进行提档升级，并新增原外协</w:t>
            </w:r>
            <w:r>
              <w:rPr>
                <w:rFonts w:hint="eastAsia" w:cs="Times New Roman"/>
                <w:color w:val="auto"/>
                <w:sz w:val="24"/>
                <w:szCs w:val="22"/>
                <w:highlight w:val="none"/>
                <w:u w:val="single"/>
                <w:lang w:val="en-US" w:eastAsia="zh-CN"/>
              </w:rPr>
              <w:t>的防锈</w:t>
            </w:r>
            <w:r>
              <w:rPr>
                <w:rFonts w:hint="default" w:ascii="Times New Roman" w:hAnsi="Times New Roman" w:eastAsia="宋体" w:cs="Times New Roman"/>
                <w:color w:val="auto"/>
                <w:sz w:val="24"/>
                <w:szCs w:val="22"/>
                <w:highlight w:val="none"/>
                <w:u w:val="single"/>
                <w:lang w:val="en-US" w:eastAsia="zh-CN"/>
              </w:rPr>
              <w:t>工艺。</w:t>
            </w:r>
          </w:p>
          <w:p w14:paraId="0FDB78B2">
            <w:pPr>
              <w:keepNext w:val="0"/>
              <w:keepLines w:val="0"/>
              <w:pageBreakBefore w:val="0"/>
              <w:widowControl w:val="0"/>
              <w:numPr>
                <w:ilvl w:val="0"/>
                <w:numId w:val="0"/>
              </w:numPr>
              <w:tabs>
                <w:tab w:val="left" w:pos="7920"/>
              </w:tabs>
              <w:kinsoku/>
              <w:wordWrap/>
              <w:overflowPunct/>
              <w:topLinePunct w:val="0"/>
              <w:autoSpaceDE/>
              <w:autoSpaceDN/>
              <w:bidi w:val="0"/>
              <w:adjustRightInd/>
              <w:snapToGrid/>
              <w:spacing w:line="360" w:lineRule="auto"/>
              <w:ind w:leftChars="0"/>
              <w:jc w:val="center"/>
              <w:textAlignment w:val="auto"/>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drawing>
                <wp:inline distT="0" distB="0" distL="114300" distR="114300">
                  <wp:extent cx="4860290" cy="1427480"/>
                  <wp:effectExtent l="0" t="0" r="0" b="0"/>
                  <wp:docPr id="66" name="ECB019B1-382A-4266-B25C-5B523AA43C14-2" descr="C:/Users/ASUS/AppData/Local/Temp/wps.gOOCT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CB019B1-382A-4266-B25C-5B523AA43C14-2" descr="C:/Users/ASUS/AppData/Local/Temp/wps.gOOCTvwps"/>
                          <pic:cNvPicPr>
                            <a:picLocks noChangeAspect="1"/>
                          </pic:cNvPicPr>
                        </pic:nvPicPr>
                        <pic:blipFill>
                          <a:blip r:embed="rId18"/>
                          <a:srcRect l="2189" t="3123" r="1837" b="8222"/>
                          <a:stretch>
                            <a:fillRect/>
                          </a:stretch>
                        </pic:blipFill>
                        <pic:spPr>
                          <a:xfrm>
                            <a:off x="0" y="0"/>
                            <a:ext cx="4860290" cy="1427480"/>
                          </a:xfrm>
                          <a:prstGeom prst="rect">
                            <a:avLst/>
                          </a:prstGeom>
                        </pic:spPr>
                      </pic:pic>
                    </a:graphicData>
                  </a:graphic>
                </wp:inline>
              </w:drawing>
            </w:r>
          </w:p>
          <w:p w14:paraId="2C208898">
            <w:pPr>
              <w:keepNext w:val="0"/>
              <w:keepLines w:val="0"/>
              <w:pageBreakBefore w:val="0"/>
              <w:widowControl w:val="0"/>
              <w:tabs>
                <w:tab w:val="left" w:pos="7920"/>
              </w:tabs>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val="0"/>
                <w:bCs w:val="0"/>
                <w:color w:val="auto"/>
                <w:sz w:val="21"/>
                <w:szCs w:val="20"/>
                <w:highlight w:val="none"/>
                <w:lang w:val="en-US" w:eastAsia="zh-CN"/>
              </w:rPr>
            </w:pPr>
            <w:r>
              <w:rPr>
                <w:rFonts w:hint="eastAsia" w:ascii="Times New Roman" w:hAnsi="Times New Roman" w:cs="Times New Roman"/>
                <w:b w:val="0"/>
                <w:bCs w:val="0"/>
                <w:color w:val="auto"/>
                <w:sz w:val="21"/>
                <w:szCs w:val="20"/>
                <w:highlight w:val="none"/>
                <w:lang w:val="en-US" w:eastAsia="zh-CN"/>
              </w:rPr>
              <w:t>图2-</w:t>
            </w:r>
            <w:r>
              <w:rPr>
                <w:rFonts w:hint="eastAsia" w:cs="Times New Roman"/>
                <w:b w:val="0"/>
                <w:bCs w:val="0"/>
                <w:color w:val="auto"/>
                <w:sz w:val="21"/>
                <w:szCs w:val="20"/>
                <w:highlight w:val="none"/>
                <w:lang w:val="en-US" w:eastAsia="zh-CN"/>
              </w:rPr>
              <w:t>3</w:t>
            </w:r>
            <w:r>
              <w:rPr>
                <w:rFonts w:hint="eastAsia" w:ascii="Times New Roman" w:hAnsi="Times New Roman" w:cs="Times New Roman"/>
                <w:b w:val="0"/>
                <w:bCs w:val="0"/>
                <w:color w:val="auto"/>
                <w:sz w:val="21"/>
                <w:szCs w:val="20"/>
                <w:highlight w:val="none"/>
                <w:lang w:val="en-US" w:eastAsia="zh-CN"/>
              </w:rPr>
              <w:t xml:space="preserve">   </w:t>
            </w:r>
            <w:r>
              <w:rPr>
                <w:rFonts w:hint="eastAsia" w:cs="Times New Roman"/>
                <w:b w:val="0"/>
                <w:bCs w:val="0"/>
                <w:color w:val="auto"/>
                <w:sz w:val="21"/>
                <w:szCs w:val="20"/>
                <w:highlight w:val="none"/>
                <w:lang w:val="en-US" w:eastAsia="zh-CN"/>
              </w:rPr>
              <w:t>项目</w:t>
            </w:r>
            <w:r>
              <w:rPr>
                <w:rFonts w:hint="eastAsia" w:ascii="Times New Roman" w:hAnsi="Times New Roman" w:cs="Times New Roman"/>
                <w:b w:val="0"/>
                <w:bCs w:val="0"/>
                <w:color w:val="auto"/>
                <w:sz w:val="21"/>
                <w:szCs w:val="20"/>
                <w:highlight w:val="none"/>
                <w:lang w:val="en-US" w:eastAsia="zh-CN"/>
              </w:rPr>
              <w:t>工艺流程及产污环节示意图</w:t>
            </w:r>
          </w:p>
          <w:p w14:paraId="5A6DA8CE">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工艺流程简述</w:t>
            </w:r>
            <w:r>
              <w:rPr>
                <w:rFonts w:hint="default" w:ascii="Times New Roman" w:hAnsi="Times New Roman" w:cs="Times New Roman"/>
                <w:color w:val="auto"/>
                <w:sz w:val="24"/>
                <w:szCs w:val="22"/>
                <w:highlight w:val="none"/>
                <w:lang w:val="en-US" w:eastAsia="zh-CN"/>
              </w:rPr>
              <w:t>：</w:t>
            </w:r>
          </w:p>
          <w:p w14:paraId="0D187931">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2"/>
                <w:highlight w:val="none"/>
                <w:lang w:val="en-US" w:eastAsia="zh-CN"/>
              </w:rPr>
            </w:pPr>
            <w:r>
              <w:rPr>
                <w:rFonts w:hint="eastAsia" w:cs="Times New Roman"/>
                <w:color w:val="auto"/>
                <w:sz w:val="24"/>
                <w:szCs w:val="22"/>
                <w:highlight w:val="none"/>
                <w:lang w:val="en-US" w:eastAsia="zh-CN"/>
              </w:rPr>
              <w:t>①切割</w:t>
            </w:r>
            <w:r>
              <w:rPr>
                <w:rFonts w:hint="default" w:ascii="Times New Roman" w:hAnsi="Times New Roman" w:cs="Times New Roman"/>
                <w:color w:val="auto"/>
                <w:sz w:val="24"/>
                <w:szCs w:val="22"/>
                <w:highlight w:val="none"/>
                <w:lang w:val="en-US" w:eastAsia="zh-CN"/>
              </w:rPr>
              <w:t>：外购</w:t>
            </w:r>
            <w:r>
              <w:rPr>
                <w:rFonts w:hint="eastAsia" w:cs="Times New Roman"/>
                <w:color w:val="auto"/>
                <w:sz w:val="24"/>
                <w:szCs w:val="22"/>
                <w:highlight w:val="none"/>
                <w:lang w:val="en-US" w:eastAsia="zh-CN"/>
              </w:rPr>
              <w:t>已打磨抛丸好的型材、板材</w:t>
            </w:r>
            <w:r>
              <w:rPr>
                <w:rFonts w:hint="default" w:ascii="Times New Roman" w:hAnsi="Times New Roman" w:cs="Times New Roman"/>
                <w:color w:val="auto"/>
                <w:sz w:val="24"/>
                <w:szCs w:val="22"/>
                <w:highlight w:val="none"/>
                <w:lang w:val="en-US" w:eastAsia="zh-CN"/>
              </w:rPr>
              <w:t>等原料，在通过切割机切割成合适尺寸。此过程主要产生</w:t>
            </w:r>
            <w:r>
              <w:rPr>
                <w:rFonts w:hint="eastAsia" w:cs="Times New Roman"/>
                <w:color w:val="auto"/>
                <w:sz w:val="24"/>
                <w:szCs w:val="22"/>
                <w:highlight w:val="none"/>
                <w:lang w:val="en-US" w:eastAsia="zh-CN"/>
              </w:rPr>
              <w:t>切割粉尘、</w:t>
            </w:r>
            <w:r>
              <w:rPr>
                <w:rFonts w:hint="default" w:ascii="Times New Roman" w:hAnsi="Times New Roman" w:cs="Times New Roman"/>
                <w:color w:val="auto"/>
                <w:sz w:val="24"/>
                <w:szCs w:val="22"/>
                <w:highlight w:val="none"/>
                <w:lang w:val="en-US" w:eastAsia="zh-CN"/>
              </w:rPr>
              <w:t>噪声及废边角料。</w:t>
            </w:r>
          </w:p>
          <w:p w14:paraId="09F39AD7">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2"/>
                <w:highlight w:val="none"/>
                <w:lang w:val="en-US" w:eastAsia="zh-CN"/>
              </w:rPr>
            </w:pPr>
            <w:r>
              <w:rPr>
                <w:rFonts w:hint="eastAsia" w:cs="Times New Roman"/>
                <w:color w:val="auto"/>
                <w:sz w:val="24"/>
                <w:szCs w:val="22"/>
                <w:highlight w:val="none"/>
                <w:lang w:val="en-US" w:eastAsia="zh-CN"/>
              </w:rPr>
              <w:t>②焊接</w:t>
            </w:r>
            <w:r>
              <w:rPr>
                <w:rFonts w:hint="default" w:ascii="Times New Roman" w:hAnsi="Times New Roman" w:cs="Times New Roman"/>
                <w:color w:val="auto"/>
                <w:sz w:val="24"/>
                <w:szCs w:val="22"/>
                <w:highlight w:val="none"/>
                <w:lang w:val="en-US" w:eastAsia="zh-CN"/>
              </w:rPr>
              <w:t>：利用焊接机将</w:t>
            </w:r>
            <w:r>
              <w:rPr>
                <w:rFonts w:hint="eastAsia" w:cs="Times New Roman"/>
                <w:color w:val="auto"/>
                <w:sz w:val="24"/>
                <w:szCs w:val="22"/>
                <w:highlight w:val="none"/>
                <w:lang w:val="en-US" w:eastAsia="zh-CN"/>
              </w:rPr>
              <w:t>切割好的型材、板材</w:t>
            </w:r>
            <w:r>
              <w:rPr>
                <w:rFonts w:hint="default" w:ascii="Times New Roman" w:hAnsi="Times New Roman" w:cs="Times New Roman"/>
                <w:color w:val="auto"/>
                <w:sz w:val="24"/>
                <w:szCs w:val="22"/>
                <w:highlight w:val="none"/>
                <w:lang w:val="en-US" w:eastAsia="zh-CN"/>
              </w:rPr>
              <w:t>焊接在一起，</w:t>
            </w:r>
            <w:r>
              <w:rPr>
                <w:rFonts w:hint="eastAsia" w:cs="Times New Roman"/>
                <w:color w:val="auto"/>
                <w:sz w:val="24"/>
                <w:szCs w:val="22"/>
                <w:highlight w:val="none"/>
                <w:lang w:val="en-US" w:eastAsia="zh-CN"/>
              </w:rPr>
              <w:t>加工成为本项目产品的部分配件（筛箱底座、震动筛箱、震动筛框）。</w:t>
            </w:r>
            <w:r>
              <w:rPr>
                <w:rFonts w:hint="default" w:ascii="Times New Roman" w:hAnsi="Times New Roman" w:cs="Times New Roman"/>
                <w:color w:val="auto"/>
                <w:sz w:val="24"/>
                <w:szCs w:val="22"/>
                <w:highlight w:val="none"/>
                <w:lang w:val="en-US" w:eastAsia="zh-CN"/>
              </w:rPr>
              <w:t>焊接过程会产生</w:t>
            </w:r>
            <w:r>
              <w:rPr>
                <w:rFonts w:hint="eastAsia" w:cs="Times New Roman"/>
                <w:color w:val="auto"/>
                <w:sz w:val="24"/>
                <w:szCs w:val="22"/>
                <w:highlight w:val="none"/>
                <w:lang w:val="en-US" w:eastAsia="zh-CN"/>
              </w:rPr>
              <w:t>焊接烟尘</w:t>
            </w:r>
            <w:r>
              <w:rPr>
                <w:rFonts w:hint="default" w:ascii="Times New Roman" w:hAnsi="Times New Roman" w:cs="Times New Roman"/>
                <w:color w:val="auto"/>
                <w:sz w:val="24"/>
                <w:szCs w:val="22"/>
                <w:highlight w:val="none"/>
                <w:lang w:val="en-US" w:eastAsia="zh-CN"/>
              </w:rPr>
              <w:t>、噪声。</w:t>
            </w:r>
          </w:p>
          <w:p w14:paraId="5FBDC3CD">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eastAsia" w:cs="Times New Roman"/>
                <w:color w:val="auto"/>
                <w:sz w:val="24"/>
                <w:szCs w:val="22"/>
                <w:highlight w:val="none"/>
                <w:lang w:val="en-US" w:eastAsia="zh-CN"/>
              </w:rPr>
            </w:pPr>
            <w:r>
              <w:rPr>
                <w:rFonts w:hint="eastAsia" w:cs="Times New Roman"/>
                <w:color w:val="auto"/>
                <w:sz w:val="24"/>
                <w:szCs w:val="22"/>
                <w:highlight w:val="none"/>
                <w:lang w:val="en-US" w:eastAsia="zh-CN"/>
              </w:rPr>
              <w:t>③组装、加固</w:t>
            </w:r>
            <w:r>
              <w:rPr>
                <w:rFonts w:hint="default" w:ascii="Times New Roman" w:hAnsi="Times New Roman" w:cs="Times New Roman"/>
                <w:color w:val="auto"/>
                <w:sz w:val="24"/>
                <w:szCs w:val="22"/>
                <w:highlight w:val="none"/>
                <w:lang w:val="en-US" w:eastAsia="zh-CN"/>
              </w:rPr>
              <w:t>：</w:t>
            </w:r>
            <w:r>
              <w:rPr>
                <w:rFonts w:hint="eastAsia" w:cs="Times New Roman"/>
                <w:color w:val="auto"/>
                <w:sz w:val="24"/>
                <w:szCs w:val="22"/>
                <w:highlight w:val="none"/>
                <w:lang w:val="en-US" w:eastAsia="zh-CN"/>
              </w:rPr>
              <w:t>将外购的配件（振动电机、控制箱、筛网拉板、震动筛筛网）经检验合格后，与加工好的配件进行人工架构组装、加固。</w:t>
            </w:r>
          </w:p>
          <w:p w14:paraId="3177442E">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2"/>
                <w:highlight w:val="none"/>
                <w:u w:val="single"/>
                <w:lang w:val="en-US" w:eastAsia="zh-CN"/>
              </w:rPr>
            </w:pPr>
            <w:r>
              <w:rPr>
                <w:rFonts w:hint="eastAsia" w:cs="Times New Roman"/>
                <w:color w:val="auto"/>
                <w:sz w:val="24"/>
                <w:szCs w:val="22"/>
                <w:highlight w:val="none"/>
                <w:u w:val="single"/>
                <w:lang w:val="en-US" w:eastAsia="zh-CN"/>
              </w:rPr>
              <w:t>④</w:t>
            </w:r>
            <w:r>
              <w:rPr>
                <w:rFonts w:hint="default" w:ascii="Times New Roman" w:hAnsi="Times New Roman" w:cs="Times New Roman"/>
                <w:color w:val="auto"/>
                <w:sz w:val="24"/>
                <w:szCs w:val="22"/>
                <w:highlight w:val="none"/>
                <w:u w:val="single"/>
                <w:lang w:val="en-US" w:eastAsia="zh-CN"/>
              </w:rPr>
              <w:t>防锈处理：成品工程机械配件包装前进行</w:t>
            </w:r>
            <w:r>
              <w:rPr>
                <w:rFonts w:hint="eastAsia" w:cs="Times New Roman"/>
                <w:color w:val="auto"/>
                <w:sz w:val="24"/>
                <w:szCs w:val="22"/>
                <w:highlight w:val="none"/>
                <w:u w:val="single"/>
                <w:lang w:val="en-US" w:eastAsia="zh-CN"/>
              </w:rPr>
              <w:t>防锈处理</w:t>
            </w:r>
            <w:r>
              <w:rPr>
                <w:rFonts w:hint="default" w:ascii="Times New Roman" w:hAnsi="Times New Roman" w:cs="Times New Roman"/>
                <w:color w:val="auto"/>
                <w:sz w:val="24"/>
                <w:szCs w:val="22"/>
                <w:highlight w:val="none"/>
                <w:u w:val="single"/>
                <w:lang w:val="en-US" w:eastAsia="zh-CN"/>
              </w:rPr>
              <w:t>，</w:t>
            </w:r>
            <w:r>
              <w:rPr>
                <w:rFonts w:hint="eastAsia" w:cs="Times New Roman"/>
                <w:color w:val="auto"/>
                <w:sz w:val="24"/>
                <w:szCs w:val="22"/>
                <w:highlight w:val="none"/>
                <w:u w:val="single"/>
                <w:lang w:val="en-US" w:eastAsia="zh-CN"/>
              </w:rPr>
              <w:t>本项目产品防锈处理分为两步，组装好的成品首先委外喷漆，喷完漆后的成品再返回厂内针对未喷漆的部位进行</w:t>
            </w:r>
            <w:r>
              <w:rPr>
                <w:rFonts w:hint="default" w:ascii="Times New Roman" w:hAnsi="Times New Roman" w:cs="Times New Roman"/>
                <w:color w:val="auto"/>
                <w:sz w:val="24"/>
                <w:szCs w:val="22"/>
                <w:highlight w:val="none"/>
                <w:u w:val="single"/>
                <w:lang w:val="en-US" w:eastAsia="zh-CN"/>
              </w:rPr>
              <w:t>人工</w:t>
            </w:r>
            <w:r>
              <w:rPr>
                <w:rFonts w:hint="eastAsia" w:cs="Times New Roman"/>
                <w:color w:val="auto"/>
                <w:sz w:val="24"/>
                <w:szCs w:val="22"/>
                <w:highlight w:val="none"/>
                <w:u w:val="single"/>
                <w:lang w:val="en-US" w:eastAsia="zh-CN"/>
              </w:rPr>
              <w:t>涂刷防锈油。项目在厂房内设置一间防锈间，防锈间内设置防锈油收集槽，收集涂刷过程中工件滴落的废防锈油</w:t>
            </w:r>
            <w:r>
              <w:rPr>
                <w:rFonts w:hint="default" w:ascii="Times New Roman" w:hAnsi="Times New Roman" w:cs="Times New Roman"/>
                <w:color w:val="auto"/>
                <w:sz w:val="24"/>
                <w:szCs w:val="22"/>
                <w:highlight w:val="none"/>
                <w:u w:val="single"/>
                <w:lang w:val="en-US" w:eastAsia="zh-CN"/>
              </w:rPr>
              <w:t>。此过程主要产生有机废气</w:t>
            </w:r>
            <w:r>
              <w:rPr>
                <w:rFonts w:hint="eastAsia" w:cs="Times New Roman"/>
                <w:color w:val="auto"/>
                <w:sz w:val="24"/>
                <w:szCs w:val="22"/>
                <w:highlight w:val="none"/>
                <w:u w:val="single"/>
                <w:lang w:val="en-US" w:eastAsia="zh-CN"/>
              </w:rPr>
              <w:t>、废防锈油</w:t>
            </w:r>
            <w:r>
              <w:rPr>
                <w:rFonts w:hint="default" w:ascii="Times New Roman" w:hAnsi="Times New Roman" w:cs="Times New Roman"/>
                <w:color w:val="auto"/>
                <w:sz w:val="24"/>
                <w:szCs w:val="22"/>
                <w:highlight w:val="none"/>
                <w:u w:val="single"/>
                <w:lang w:val="en-US" w:eastAsia="zh-CN"/>
              </w:rPr>
              <w:t>。</w:t>
            </w:r>
          </w:p>
          <w:p w14:paraId="3BB1DD4B">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color w:val="auto"/>
                <w:sz w:val="24"/>
                <w:szCs w:val="22"/>
                <w:highlight w:val="none"/>
                <w:lang w:val="en-US" w:eastAsia="zh-CN"/>
              </w:rPr>
            </w:pPr>
            <w:r>
              <w:rPr>
                <w:rFonts w:hint="eastAsia" w:cs="Times New Roman"/>
                <w:color w:val="auto"/>
                <w:sz w:val="24"/>
                <w:szCs w:val="22"/>
                <w:highlight w:val="none"/>
                <w:lang w:val="en-US" w:eastAsia="zh-CN"/>
              </w:rPr>
              <w:t>⑤</w:t>
            </w:r>
            <w:r>
              <w:rPr>
                <w:rFonts w:hint="default" w:ascii="Times New Roman" w:hAnsi="Times New Roman" w:cs="Times New Roman"/>
                <w:color w:val="auto"/>
                <w:sz w:val="24"/>
                <w:szCs w:val="22"/>
                <w:highlight w:val="none"/>
                <w:lang w:val="en-US" w:eastAsia="zh-CN"/>
              </w:rPr>
              <w:t>检验：人工检验产品外观性能，合格品打包待售，不合格品</w:t>
            </w:r>
            <w:r>
              <w:rPr>
                <w:rFonts w:hint="eastAsia" w:cs="Times New Roman"/>
                <w:color w:val="auto"/>
                <w:sz w:val="24"/>
                <w:szCs w:val="22"/>
                <w:highlight w:val="none"/>
                <w:lang w:val="en-US" w:eastAsia="zh-CN"/>
              </w:rPr>
              <w:t>返回工序重新组装</w:t>
            </w:r>
            <w:r>
              <w:rPr>
                <w:rFonts w:hint="default" w:ascii="Times New Roman" w:hAnsi="Times New Roman" w:cs="Times New Roman"/>
                <w:color w:val="auto"/>
                <w:sz w:val="24"/>
                <w:szCs w:val="22"/>
                <w:highlight w:val="none"/>
                <w:lang w:val="en-US" w:eastAsia="zh-CN"/>
              </w:rPr>
              <w:t>。</w:t>
            </w:r>
          </w:p>
          <w:p w14:paraId="03B3466E">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b w:val="0"/>
                <w:bCs/>
                <w:color w:val="auto"/>
                <w:sz w:val="24"/>
                <w:highlight w:val="none"/>
                <w:u w:val="single"/>
                <w:shd w:val="clear" w:color="auto" w:fill="auto"/>
                <w:lang w:val="en-US" w:eastAsia="zh-CN"/>
              </w:rPr>
            </w:pPr>
            <w:r>
              <w:rPr>
                <w:rFonts w:hint="eastAsia" w:cs="Times New Roman"/>
                <w:b w:val="0"/>
                <w:bCs/>
                <w:color w:val="auto"/>
                <w:sz w:val="24"/>
                <w:highlight w:val="none"/>
                <w:u w:val="single"/>
                <w:shd w:val="clear" w:color="auto" w:fill="auto"/>
                <w:lang w:val="en-US" w:eastAsia="zh-CN"/>
              </w:rPr>
              <w:t>（2）相关物料平衡</w:t>
            </w:r>
          </w:p>
          <w:p w14:paraId="20019259">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eastAsia" w:ascii="Times New Roman" w:hAnsi="Times New Roman" w:eastAsia="宋体" w:cs="Times New Roman"/>
                <w:b w:val="0"/>
                <w:bCs/>
                <w:color w:val="auto"/>
                <w:sz w:val="24"/>
                <w:highlight w:val="none"/>
                <w:u w:val="single"/>
                <w:shd w:val="clear" w:color="auto" w:fill="auto"/>
                <w:lang w:val="en-US" w:eastAsia="zh-CN"/>
              </w:rPr>
            </w:pPr>
            <w:r>
              <w:rPr>
                <w:rFonts w:hint="eastAsia" w:cs="Times New Roman"/>
                <w:b w:val="0"/>
                <w:bCs/>
                <w:color w:val="auto"/>
                <w:sz w:val="24"/>
                <w:highlight w:val="none"/>
                <w:u w:val="single"/>
                <w:shd w:val="clear" w:color="auto" w:fill="auto"/>
                <w:lang w:val="en-US" w:eastAsia="zh-CN"/>
              </w:rPr>
              <w:t>根据企业提供经验数据，每套产品需进行人工涂刷防锈油的面积为3m</w:t>
            </w:r>
            <w:r>
              <w:rPr>
                <w:rFonts w:hint="eastAsia" w:cs="Times New Roman"/>
                <w:b w:val="0"/>
                <w:bCs/>
                <w:color w:val="auto"/>
                <w:sz w:val="24"/>
                <w:highlight w:val="none"/>
                <w:u w:val="single"/>
                <w:shd w:val="clear" w:color="auto" w:fill="auto"/>
                <w:vertAlign w:val="superscript"/>
                <w:lang w:val="en-US" w:eastAsia="zh-CN"/>
              </w:rPr>
              <w:t>2</w:t>
            </w:r>
            <w:r>
              <w:rPr>
                <w:rFonts w:hint="eastAsia" w:cs="Times New Roman"/>
                <w:b w:val="0"/>
                <w:bCs/>
                <w:color w:val="auto"/>
                <w:sz w:val="24"/>
                <w:highlight w:val="none"/>
                <w:u w:val="single"/>
                <w:shd w:val="clear" w:color="auto" w:fill="auto"/>
                <w:lang w:val="en-US" w:eastAsia="zh-CN"/>
              </w:rPr>
              <w:t>~5m</w:t>
            </w:r>
            <w:r>
              <w:rPr>
                <w:rFonts w:hint="eastAsia" w:cs="Times New Roman"/>
                <w:b w:val="0"/>
                <w:bCs/>
                <w:color w:val="auto"/>
                <w:sz w:val="24"/>
                <w:highlight w:val="none"/>
                <w:u w:val="single"/>
                <w:shd w:val="clear" w:color="auto" w:fill="auto"/>
                <w:vertAlign w:val="superscript"/>
                <w:lang w:val="en-US" w:eastAsia="zh-CN"/>
              </w:rPr>
              <w:t>2</w:t>
            </w:r>
            <w:r>
              <w:rPr>
                <w:rFonts w:hint="eastAsia" w:cs="Times New Roman"/>
                <w:b w:val="0"/>
                <w:bCs/>
                <w:color w:val="auto"/>
                <w:sz w:val="24"/>
                <w:highlight w:val="none"/>
                <w:u w:val="single"/>
                <w:shd w:val="clear" w:color="auto" w:fill="auto"/>
                <w:lang w:val="en-US" w:eastAsia="zh-CN"/>
              </w:rPr>
              <w:t>，防锈油的涂刷量为0.1~0.3kg/m</w:t>
            </w:r>
            <w:r>
              <w:rPr>
                <w:rFonts w:hint="eastAsia" w:cs="Times New Roman"/>
                <w:b w:val="0"/>
                <w:bCs/>
                <w:color w:val="auto"/>
                <w:sz w:val="24"/>
                <w:highlight w:val="none"/>
                <w:u w:val="single"/>
                <w:shd w:val="clear" w:color="auto" w:fill="auto"/>
                <w:vertAlign w:val="superscript"/>
                <w:lang w:val="en-US" w:eastAsia="zh-CN"/>
              </w:rPr>
              <w:t>2</w:t>
            </w:r>
            <w:r>
              <w:rPr>
                <w:rFonts w:hint="eastAsia" w:cs="Times New Roman"/>
                <w:b w:val="0"/>
                <w:bCs/>
                <w:color w:val="auto"/>
                <w:sz w:val="24"/>
                <w:highlight w:val="none"/>
                <w:u w:val="single"/>
                <w:shd w:val="clear" w:color="auto" w:fill="auto"/>
                <w:lang w:val="en-US" w:eastAsia="zh-CN"/>
              </w:rPr>
              <w:t>，本次评价取最大值。本项目防锈油用量1.2t/a，约为1.41m</w:t>
            </w:r>
            <w:r>
              <w:rPr>
                <w:rFonts w:hint="eastAsia" w:cs="Times New Roman"/>
                <w:b w:val="0"/>
                <w:bCs/>
                <w:color w:val="auto"/>
                <w:sz w:val="24"/>
                <w:highlight w:val="none"/>
                <w:u w:val="single"/>
                <w:shd w:val="clear" w:color="auto" w:fill="auto"/>
                <w:vertAlign w:val="superscript"/>
                <w:lang w:val="en-US" w:eastAsia="zh-CN"/>
              </w:rPr>
              <w:t>3</w:t>
            </w:r>
            <w:r>
              <w:rPr>
                <w:rFonts w:hint="eastAsia" w:cs="Times New Roman"/>
                <w:b w:val="0"/>
                <w:bCs/>
                <w:color w:val="auto"/>
                <w:sz w:val="24"/>
                <w:highlight w:val="none"/>
                <w:u w:val="single"/>
                <w:shd w:val="clear" w:color="auto" w:fill="auto"/>
                <w:lang w:val="en-US" w:eastAsia="zh-CN"/>
              </w:rPr>
              <w:t>/a，其中，根据厂家提供的VOCs检测报告，VOCs含量为350g/L，则</w:t>
            </w:r>
            <w:r>
              <w:rPr>
                <w:rFonts w:hint="eastAsia" w:ascii="Times New Roman" w:hAnsi="Times New Roman" w:eastAsia="宋体" w:cs="Times New Roman"/>
                <w:b w:val="0"/>
                <w:bCs/>
                <w:color w:val="auto"/>
                <w:sz w:val="24"/>
                <w:highlight w:val="none"/>
                <w:u w:val="single"/>
                <w:shd w:val="clear" w:color="auto" w:fill="auto"/>
                <w:lang w:val="en-US" w:eastAsia="zh-CN"/>
              </w:rPr>
              <w:t>防锈油的物料平衡见下</w:t>
            </w:r>
            <w:r>
              <w:rPr>
                <w:rFonts w:hint="eastAsia" w:cs="Times New Roman"/>
                <w:b w:val="0"/>
                <w:bCs/>
                <w:color w:val="auto"/>
                <w:sz w:val="24"/>
                <w:highlight w:val="none"/>
                <w:u w:val="single"/>
                <w:shd w:val="clear" w:color="auto" w:fill="auto"/>
                <w:lang w:val="en-US" w:eastAsia="zh-CN"/>
              </w:rPr>
              <w:t>图</w:t>
            </w:r>
            <w:r>
              <w:rPr>
                <w:rFonts w:hint="eastAsia" w:ascii="Times New Roman" w:hAnsi="Times New Roman" w:eastAsia="宋体" w:cs="Times New Roman"/>
                <w:b w:val="0"/>
                <w:bCs/>
                <w:color w:val="auto"/>
                <w:sz w:val="24"/>
                <w:highlight w:val="none"/>
                <w:u w:val="single"/>
                <w:shd w:val="clear" w:color="auto" w:fill="auto"/>
                <w:lang w:val="en-US" w:eastAsia="zh-CN"/>
              </w:rPr>
              <w:t>。</w:t>
            </w:r>
          </w:p>
          <w:p w14:paraId="73A975F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val="0"/>
                <w:bCs/>
                <w:color w:val="auto"/>
                <w:sz w:val="24"/>
                <w:highlight w:val="none"/>
                <w:u w:val="single"/>
                <w:shd w:val="clear" w:color="auto" w:fill="auto"/>
                <w:lang w:val="en-US" w:eastAsia="zh-CN"/>
              </w:rPr>
            </w:pPr>
            <w:r>
              <w:rPr>
                <w:rFonts w:hint="eastAsia" w:ascii="Times New Roman" w:hAnsi="Times New Roman" w:eastAsia="宋体" w:cs="Times New Roman"/>
                <w:b w:val="0"/>
                <w:bCs/>
                <w:color w:val="auto"/>
                <w:sz w:val="24"/>
                <w:highlight w:val="none"/>
                <w:u w:val="single"/>
                <w:shd w:val="clear" w:color="auto" w:fill="auto"/>
                <w:lang w:val="en-US" w:eastAsia="zh-CN"/>
              </w:rPr>
              <w:drawing>
                <wp:inline distT="0" distB="0" distL="114300" distR="114300">
                  <wp:extent cx="4427855" cy="1108710"/>
                  <wp:effectExtent l="0" t="0" r="10795" b="15240"/>
                  <wp:docPr id="68" name="ECB019B1-382A-4266-B25C-5B523AA43C14-3" descr="C:/Users/ASUS/AppData/Local/Temp/wps.wnbrY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CB019B1-382A-4266-B25C-5B523AA43C14-3" descr="C:/Users/ASUS/AppData/Local/Temp/wps.wnbrYxwps"/>
                          <pic:cNvPicPr>
                            <a:picLocks noChangeAspect="1"/>
                          </pic:cNvPicPr>
                        </pic:nvPicPr>
                        <pic:blipFill>
                          <a:blip r:embed="rId19"/>
                          <a:srcRect l="5242" t="15212" r="3941" b="13898"/>
                          <a:stretch>
                            <a:fillRect/>
                          </a:stretch>
                        </pic:blipFill>
                        <pic:spPr>
                          <a:xfrm>
                            <a:off x="0" y="0"/>
                            <a:ext cx="4427855" cy="1108710"/>
                          </a:xfrm>
                          <a:prstGeom prst="rect">
                            <a:avLst/>
                          </a:prstGeom>
                        </pic:spPr>
                      </pic:pic>
                    </a:graphicData>
                  </a:graphic>
                </wp:inline>
              </w:drawing>
            </w:r>
          </w:p>
          <w:p w14:paraId="1171CBE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图2-</w:t>
            </w:r>
            <w:r>
              <w:rPr>
                <w:rFonts w:hint="eastAsia" w:cs="Times New Roman"/>
                <w:b w:val="0"/>
                <w:bCs w:val="0"/>
                <w:color w:val="auto"/>
                <w:sz w:val="21"/>
                <w:szCs w:val="21"/>
                <w:highlight w:val="none"/>
                <w:u w:val="single"/>
                <w:lang w:val="en-US" w:eastAsia="zh-CN"/>
              </w:rPr>
              <w:t>4</w:t>
            </w:r>
            <w:r>
              <w:rPr>
                <w:rFonts w:hint="eastAsia" w:ascii="Times New Roman" w:hAnsi="Times New Roman" w:eastAsia="宋体" w:cs="Times New Roman"/>
                <w:b w:val="0"/>
                <w:bCs w:val="0"/>
                <w:color w:val="auto"/>
                <w:sz w:val="21"/>
                <w:szCs w:val="21"/>
                <w:highlight w:val="none"/>
                <w:u w:val="single"/>
                <w:lang w:val="en-US" w:eastAsia="zh-CN"/>
              </w:rPr>
              <w:t xml:space="preserve">   防锈油物料平衡图（单位：t/a）</w:t>
            </w:r>
          </w:p>
          <w:p w14:paraId="6D0C40B4">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eastAsia"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2.2 主要污染工序</w:t>
            </w:r>
          </w:p>
          <w:p w14:paraId="09918B8C">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auto"/>
                <w:sz w:val="24"/>
                <w:szCs w:val="22"/>
                <w:highlight w:val="none"/>
                <w:lang w:val="en-US" w:eastAsia="zh-CN"/>
              </w:rPr>
            </w:pPr>
            <w:r>
              <w:rPr>
                <w:rFonts w:hint="eastAsia" w:ascii="Times New Roman" w:hAnsi="Times New Roman" w:cs="Times New Roman"/>
                <w:color w:val="auto"/>
                <w:sz w:val="24"/>
                <w:szCs w:val="22"/>
                <w:highlight w:val="none"/>
                <w:lang w:val="en-US" w:eastAsia="zh-CN"/>
              </w:rPr>
              <w:t>本项目主要污染物来源及排放方式如下表所示。</w:t>
            </w:r>
          </w:p>
          <w:p w14:paraId="498B96FC">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表2-6  主要污染工序一览表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209"/>
              <w:gridCol w:w="2238"/>
              <w:gridCol w:w="3109"/>
            </w:tblGrid>
            <w:tr w14:paraId="3A1C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vAlign w:val="center"/>
                </w:tcPr>
                <w:p w14:paraId="1105AB69">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r>
                    <w:rPr>
                      <w:rFonts w:hint="eastAsia"/>
                      <w:color w:val="auto"/>
                    </w:rPr>
                    <w:t>污染类别</w:t>
                  </w:r>
                </w:p>
              </w:tc>
              <w:tc>
                <w:tcPr>
                  <w:tcW w:w="787" w:type="pct"/>
                  <w:vAlign w:val="center"/>
                </w:tcPr>
                <w:p w14:paraId="4F413C93">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r>
                    <w:rPr>
                      <w:rFonts w:hint="eastAsia"/>
                      <w:color w:val="auto"/>
                    </w:rPr>
                    <w:t>来源</w:t>
                  </w:r>
                </w:p>
              </w:tc>
              <w:tc>
                <w:tcPr>
                  <w:tcW w:w="1456" w:type="pct"/>
                  <w:vAlign w:val="center"/>
                </w:tcPr>
                <w:p w14:paraId="7E676D9C">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r>
                    <w:rPr>
                      <w:rFonts w:hint="eastAsia"/>
                      <w:color w:val="auto"/>
                    </w:rPr>
                    <w:t>主要污染物</w:t>
                  </w:r>
                </w:p>
              </w:tc>
              <w:tc>
                <w:tcPr>
                  <w:tcW w:w="2023" w:type="pct"/>
                  <w:vAlign w:val="center"/>
                </w:tcPr>
                <w:p w14:paraId="4F2D419E">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r>
                    <w:rPr>
                      <w:rFonts w:hint="eastAsia"/>
                      <w:color w:val="auto"/>
                    </w:rPr>
                    <w:t>排放方式</w:t>
                  </w:r>
                </w:p>
              </w:tc>
            </w:tr>
            <w:tr w14:paraId="1453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32" w:type="pct"/>
                  <w:vMerge w:val="restart"/>
                  <w:vAlign w:val="center"/>
                </w:tcPr>
                <w:p w14:paraId="12F5DD72">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r>
                    <w:rPr>
                      <w:rFonts w:hint="eastAsia"/>
                      <w:color w:val="auto"/>
                    </w:rPr>
                    <w:t>废气</w:t>
                  </w:r>
                </w:p>
              </w:tc>
              <w:tc>
                <w:tcPr>
                  <w:tcW w:w="787" w:type="pct"/>
                  <w:vAlign w:val="center"/>
                </w:tcPr>
                <w:p w14:paraId="2800CD4F">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default"/>
                      <w:color w:val="auto"/>
                      <w:lang w:val="en-US"/>
                    </w:rPr>
                  </w:pPr>
                  <w:r>
                    <w:rPr>
                      <w:rFonts w:hint="eastAsia"/>
                      <w:color w:val="auto"/>
                      <w:lang w:val="en-US" w:eastAsia="zh-CN"/>
                    </w:rPr>
                    <w:t>切割、焊接工序</w:t>
                  </w:r>
                </w:p>
              </w:tc>
              <w:tc>
                <w:tcPr>
                  <w:tcW w:w="1456" w:type="pct"/>
                  <w:vAlign w:val="center"/>
                </w:tcPr>
                <w:p w14:paraId="35659228">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eastAsia="宋体"/>
                      <w:color w:val="auto"/>
                      <w:lang w:val="en-US" w:eastAsia="zh-CN"/>
                    </w:rPr>
                  </w:pPr>
                  <w:r>
                    <w:rPr>
                      <w:rFonts w:hint="eastAsia"/>
                      <w:color w:val="auto"/>
                      <w:lang w:val="en-US" w:eastAsia="zh-CN"/>
                    </w:rPr>
                    <w:t>颗粒物</w:t>
                  </w:r>
                </w:p>
              </w:tc>
              <w:tc>
                <w:tcPr>
                  <w:tcW w:w="2023" w:type="pct"/>
                  <w:vAlign w:val="center"/>
                </w:tcPr>
                <w:p w14:paraId="134BFA27">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default" w:eastAsia="宋体"/>
                      <w:color w:val="auto"/>
                      <w:lang w:val="en-US" w:eastAsia="zh-CN"/>
                    </w:rPr>
                  </w:pPr>
                  <w:r>
                    <w:rPr>
                      <w:rFonts w:hint="eastAsia" w:ascii="Times New Roman" w:hAnsi="Times New Roman" w:eastAsia="宋体" w:cs="Times New Roman"/>
                      <w:color w:val="auto"/>
                      <w:szCs w:val="21"/>
                      <w:highlight w:val="none"/>
                      <w:lang w:val="en-US" w:eastAsia="zh-CN"/>
                    </w:rPr>
                    <w:t>集气装置</w:t>
                  </w:r>
                  <w:r>
                    <w:rPr>
                      <w:rFonts w:hint="eastAsia"/>
                      <w:color w:val="auto"/>
                      <w:lang w:val="en-US" w:eastAsia="zh-CN"/>
                    </w:rPr>
                    <w:t>+袋式除尘器+15m排气筒排放（DA001）</w:t>
                  </w:r>
                </w:p>
              </w:tc>
            </w:tr>
            <w:tr w14:paraId="39DA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32" w:type="pct"/>
                  <w:vMerge w:val="continue"/>
                  <w:vAlign w:val="center"/>
                </w:tcPr>
                <w:p w14:paraId="50B80387">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p>
              </w:tc>
              <w:tc>
                <w:tcPr>
                  <w:tcW w:w="787" w:type="pct"/>
                  <w:vAlign w:val="center"/>
                </w:tcPr>
                <w:p w14:paraId="00BF8BB5">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lang w:val="en-US" w:eastAsia="zh-CN"/>
                    </w:rPr>
                  </w:pPr>
                  <w:r>
                    <w:rPr>
                      <w:rFonts w:hint="eastAsia"/>
                      <w:color w:val="auto"/>
                      <w:lang w:val="en-US" w:eastAsia="zh-CN"/>
                    </w:rPr>
                    <w:t>防锈处理</w:t>
                  </w:r>
                </w:p>
              </w:tc>
              <w:tc>
                <w:tcPr>
                  <w:tcW w:w="1456" w:type="pct"/>
                  <w:vAlign w:val="center"/>
                </w:tcPr>
                <w:p w14:paraId="296E226A">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default"/>
                      <w:color w:val="auto"/>
                      <w:lang w:val="en-US" w:eastAsia="zh-CN"/>
                    </w:rPr>
                  </w:pPr>
                  <w:r>
                    <w:rPr>
                      <w:rFonts w:hint="eastAsia"/>
                      <w:color w:val="auto"/>
                      <w:lang w:val="en-US" w:eastAsia="zh-CN"/>
                    </w:rPr>
                    <w:t>非甲烷总烃</w:t>
                  </w:r>
                </w:p>
              </w:tc>
              <w:tc>
                <w:tcPr>
                  <w:tcW w:w="2023" w:type="pct"/>
                  <w:vAlign w:val="center"/>
                </w:tcPr>
                <w:p w14:paraId="4A06452B">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r>
                    <w:rPr>
                      <w:rFonts w:hint="eastAsia" w:ascii="Times New Roman" w:hAnsi="Times New Roman" w:eastAsia="宋体" w:cs="Times New Roman"/>
                      <w:color w:val="auto"/>
                      <w:szCs w:val="21"/>
                      <w:highlight w:val="none"/>
                      <w:lang w:val="en-US" w:eastAsia="zh-CN"/>
                    </w:rPr>
                    <w:t>负压收集</w:t>
                  </w:r>
                  <w:r>
                    <w:rPr>
                      <w:rFonts w:hint="eastAsia"/>
                      <w:color w:val="auto"/>
                      <w:lang w:val="en-US" w:eastAsia="zh-CN"/>
                    </w:rPr>
                    <w:t>+</w:t>
                  </w:r>
                  <w:r>
                    <w:rPr>
                      <w:rFonts w:hint="eastAsia" w:cs="Times New Roman"/>
                      <w:color w:val="auto"/>
                      <w:sz w:val="21"/>
                      <w:szCs w:val="21"/>
                      <w:highlight w:val="none"/>
                      <w:lang w:eastAsia="zh-CN"/>
                    </w:rPr>
                    <w:t>活性炭+分子筛吸附</w:t>
                  </w:r>
                  <w:r>
                    <w:rPr>
                      <w:rFonts w:hint="eastAsia"/>
                      <w:color w:val="auto"/>
                      <w:lang w:val="en-US" w:eastAsia="zh-CN"/>
                    </w:rPr>
                    <w:t>+15m排气筒排放（DA002）</w:t>
                  </w:r>
                </w:p>
              </w:tc>
            </w:tr>
            <w:tr w14:paraId="67B5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vAlign w:val="center"/>
                </w:tcPr>
                <w:p w14:paraId="637BE675">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r>
                    <w:rPr>
                      <w:rFonts w:hint="eastAsia"/>
                      <w:color w:val="auto"/>
                    </w:rPr>
                    <w:t>废水</w:t>
                  </w:r>
                </w:p>
              </w:tc>
              <w:tc>
                <w:tcPr>
                  <w:tcW w:w="787" w:type="pct"/>
                  <w:vAlign w:val="center"/>
                </w:tcPr>
                <w:p w14:paraId="2DDCEA34">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eastAsia="宋体"/>
                      <w:color w:val="auto"/>
                      <w:lang w:eastAsia="zh-CN"/>
                    </w:rPr>
                  </w:pPr>
                  <w:r>
                    <w:rPr>
                      <w:rFonts w:hint="eastAsia" w:eastAsia="宋体"/>
                      <w:color w:val="auto"/>
                      <w:lang w:eastAsia="zh-CN"/>
                    </w:rPr>
                    <w:t>办公生活</w:t>
                  </w:r>
                </w:p>
              </w:tc>
              <w:tc>
                <w:tcPr>
                  <w:tcW w:w="1456" w:type="pct"/>
                  <w:vAlign w:val="center"/>
                </w:tcPr>
                <w:p w14:paraId="33F7DF5A">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default" w:eastAsia="宋体"/>
                      <w:color w:val="auto"/>
                      <w:lang w:val="en-US" w:eastAsia="zh-CN"/>
                    </w:rPr>
                  </w:pPr>
                  <w:r>
                    <w:rPr>
                      <w:rFonts w:hint="eastAsia"/>
                      <w:color w:val="auto"/>
                      <w:lang w:val="en-US" w:eastAsia="zh-CN"/>
                    </w:rPr>
                    <w:t>pH、</w:t>
                  </w:r>
                  <w:r>
                    <w:rPr>
                      <w:rFonts w:hint="eastAsia"/>
                      <w:color w:val="auto"/>
                    </w:rPr>
                    <w:t>CODcr、BOD</w:t>
                  </w:r>
                  <w:r>
                    <w:rPr>
                      <w:rFonts w:hint="eastAsia"/>
                      <w:color w:val="auto"/>
                      <w:vertAlign w:val="subscript"/>
                    </w:rPr>
                    <w:t>5</w:t>
                  </w:r>
                  <w:r>
                    <w:rPr>
                      <w:rFonts w:hint="eastAsia"/>
                      <w:color w:val="auto"/>
                    </w:rPr>
                    <w:t>、SS、NH</w:t>
                  </w:r>
                  <w:r>
                    <w:rPr>
                      <w:rFonts w:hint="eastAsia"/>
                      <w:color w:val="auto"/>
                      <w:vertAlign w:val="subscript"/>
                    </w:rPr>
                    <w:t>3</w:t>
                  </w:r>
                  <w:r>
                    <w:rPr>
                      <w:rFonts w:hint="eastAsia"/>
                      <w:color w:val="auto"/>
                    </w:rPr>
                    <w:t>-N</w:t>
                  </w:r>
                </w:p>
              </w:tc>
              <w:tc>
                <w:tcPr>
                  <w:tcW w:w="2023" w:type="pct"/>
                  <w:vAlign w:val="center"/>
                </w:tcPr>
                <w:p w14:paraId="319D19F9">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r>
                    <w:rPr>
                      <w:rFonts w:hint="eastAsia"/>
                      <w:color w:val="auto"/>
                    </w:rPr>
                    <w:t>化粪池处理后进清丰中州水务有限公司第二污水处理厂</w:t>
                  </w:r>
                </w:p>
              </w:tc>
            </w:tr>
            <w:tr w14:paraId="2E8D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vAlign w:val="center"/>
                </w:tcPr>
                <w:p w14:paraId="7564E4D8">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r>
                    <w:rPr>
                      <w:rFonts w:hint="eastAsia"/>
                      <w:color w:val="auto"/>
                    </w:rPr>
                    <w:t>噪声</w:t>
                  </w:r>
                </w:p>
              </w:tc>
              <w:tc>
                <w:tcPr>
                  <w:tcW w:w="787" w:type="pct"/>
                  <w:vAlign w:val="center"/>
                </w:tcPr>
                <w:p w14:paraId="1235C467">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r>
                    <w:rPr>
                      <w:rFonts w:hint="eastAsia"/>
                      <w:color w:val="auto"/>
                    </w:rPr>
                    <w:t>设备</w:t>
                  </w:r>
                </w:p>
              </w:tc>
              <w:tc>
                <w:tcPr>
                  <w:tcW w:w="1456" w:type="pct"/>
                  <w:vAlign w:val="center"/>
                </w:tcPr>
                <w:p w14:paraId="0A3CAD20">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r>
                    <w:rPr>
                      <w:rFonts w:hint="eastAsia"/>
                      <w:color w:val="auto"/>
                    </w:rPr>
                    <w:t>LAeq</w:t>
                  </w:r>
                </w:p>
              </w:tc>
              <w:tc>
                <w:tcPr>
                  <w:tcW w:w="2023" w:type="pct"/>
                  <w:vAlign w:val="center"/>
                </w:tcPr>
                <w:p w14:paraId="725EADF4">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eastAsia="宋体"/>
                      <w:color w:val="auto"/>
                      <w:lang w:val="en-US" w:eastAsia="zh-CN"/>
                    </w:rPr>
                  </w:pPr>
                  <w:r>
                    <w:rPr>
                      <w:rFonts w:hint="eastAsia"/>
                      <w:color w:val="auto"/>
                      <w:lang w:val="en-US" w:eastAsia="zh-CN"/>
                    </w:rPr>
                    <w:t>/</w:t>
                  </w:r>
                </w:p>
              </w:tc>
            </w:tr>
            <w:tr w14:paraId="10C8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32" w:type="pct"/>
                  <w:vMerge w:val="restart"/>
                  <w:vAlign w:val="center"/>
                </w:tcPr>
                <w:p w14:paraId="7B43445E">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r>
                    <w:rPr>
                      <w:rFonts w:hint="eastAsia"/>
                      <w:color w:val="auto"/>
                    </w:rPr>
                    <w:t>固体废物</w:t>
                  </w:r>
                </w:p>
              </w:tc>
              <w:tc>
                <w:tcPr>
                  <w:tcW w:w="787" w:type="pct"/>
                  <w:vMerge w:val="restart"/>
                  <w:vAlign w:val="center"/>
                </w:tcPr>
                <w:p w14:paraId="220D0C68">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u w:val="single"/>
                    </w:rPr>
                  </w:pPr>
                  <w:r>
                    <w:rPr>
                      <w:rFonts w:hint="eastAsia"/>
                      <w:color w:val="auto"/>
                      <w:u w:val="single"/>
                    </w:rPr>
                    <w:t>生产工序</w:t>
                  </w:r>
                </w:p>
              </w:tc>
              <w:tc>
                <w:tcPr>
                  <w:tcW w:w="1456" w:type="pct"/>
                  <w:vAlign w:val="center"/>
                </w:tcPr>
                <w:p w14:paraId="38E2F169">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default"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val="en-US" w:eastAsia="zh-CN"/>
                    </w:rPr>
                    <w:t>废边角料</w:t>
                  </w:r>
                  <w:r>
                    <w:rPr>
                      <w:rFonts w:hint="eastAsia" w:cs="Times New Roman"/>
                      <w:color w:val="auto"/>
                      <w:u w:val="single"/>
                      <w:lang w:val="en-US" w:eastAsia="zh-CN"/>
                    </w:rPr>
                    <w:t>、</w:t>
                  </w:r>
                  <w:r>
                    <w:rPr>
                      <w:rFonts w:hint="eastAsia" w:ascii="Times New Roman" w:hAnsi="Times New Roman" w:eastAsia="宋体" w:cs="Times New Roman"/>
                      <w:color w:val="auto"/>
                      <w:u w:val="single"/>
                      <w:lang w:val="en-US" w:eastAsia="zh-CN"/>
                    </w:rPr>
                    <w:t>集尘灰、废焊材、</w:t>
                  </w:r>
                  <w:r>
                    <w:rPr>
                      <w:rFonts w:hint="eastAsia" w:cs="Times New Roman"/>
                      <w:color w:val="auto"/>
                      <w:u w:val="single"/>
                      <w:lang w:val="en-US" w:eastAsia="zh-CN"/>
                    </w:rPr>
                    <w:t>除尘器废布袋</w:t>
                  </w:r>
                </w:p>
              </w:tc>
              <w:tc>
                <w:tcPr>
                  <w:tcW w:w="2023" w:type="pct"/>
                  <w:vAlign w:val="center"/>
                </w:tcPr>
                <w:p w14:paraId="5CA81BDD">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eastAsia="宋体"/>
                      <w:color w:val="auto"/>
                      <w:u w:val="single"/>
                      <w:lang w:val="en-US" w:eastAsia="zh-CN"/>
                    </w:rPr>
                  </w:pPr>
                  <w:r>
                    <w:rPr>
                      <w:rFonts w:hint="eastAsia"/>
                      <w:color w:val="auto"/>
                      <w:u w:val="single"/>
                      <w:lang w:val="en-US" w:eastAsia="zh-CN"/>
                    </w:rPr>
                    <w:t>环卫部门定期清运</w:t>
                  </w:r>
                </w:p>
              </w:tc>
            </w:tr>
            <w:tr w14:paraId="17A5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32" w:type="pct"/>
                  <w:vMerge w:val="continue"/>
                  <w:vAlign w:val="center"/>
                </w:tcPr>
                <w:p w14:paraId="0831F243">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p>
              </w:tc>
              <w:tc>
                <w:tcPr>
                  <w:tcW w:w="787" w:type="pct"/>
                  <w:vMerge w:val="continue"/>
                  <w:vAlign w:val="center"/>
                </w:tcPr>
                <w:p w14:paraId="1648DEEA">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u w:val="single"/>
                    </w:rPr>
                  </w:pPr>
                </w:p>
              </w:tc>
              <w:tc>
                <w:tcPr>
                  <w:tcW w:w="1456" w:type="pct"/>
                  <w:shd w:val="clear" w:color="auto" w:fill="auto"/>
                  <w:vAlign w:val="center"/>
                </w:tcPr>
                <w:p w14:paraId="217FE9F7">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default" w:eastAsia="宋体"/>
                      <w:color w:val="auto"/>
                      <w:u w:val="single"/>
                      <w:lang w:val="en-US" w:eastAsia="zh-CN"/>
                    </w:rPr>
                  </w:pPr>
                  <w:r>
                    <w:rPr>
                      <w:rFonts w:hint="eastAsia" w:cs="Times New Roman"/>
                      <w:color w:val="auto"/>
                      <w:u w:val="single"/>
                      <w:lang w:val="en-US" w:eastAsia="zh-CN"/>
                    </w:rPr>
                    <w:t>废防锈油、</w:t>
                  </w:r>
                  <w:r>
                    <w:rPr>
                      <w:rFonts w:hint="default" w:ascii="Times New Roman" w:hAnsi="Times New Roman" w:eastAsia="宋体" w:cs="Times New Roman"/>
                      <w:color w:val="auto"/>
                      <w:u w:val="single"/>
                      <w:lang w:val="en-US" w:eastAsia="zh-CN"/>
                    </w:rPr>
                    <w:t>废切削液</w:t>
                  </w:r>
                  <w:r>
                    <w:rPr>
                      <w:rFonts w:hint="eastAsia" w:cs="Times New Roman"/>
                      <w:color w:val="auto"/>
                      <w:u w:val="single"/>
                      <w:lang w:val="en-US" w:eastAsia="zh-CN"/>
                    </w:rPr>
                    <w:t>、</w:t>
                  </w:r>
                  <w:r>
                    <w:rPr>
                      <w:rFonts w:hint="default" w:ascii="Times New Roman" w:hAnsi="Times New Roman" w:eastAsia="宋体" w:cs="Times New Roman"/>
                      <w:color w:val="auto"/>
                      <w:u w:val="single"/>
                      <w:lang w:val="en-US" w:eastAsia="zh-CN"/>
                    </w:rPr>
                    <w:t>废机油</w:t>
                  </w:r>
                  <w:r>
                    <w:rPr>
                      <w:rFonts w:hint="eastAsia" w:ascii="Times New Roman" w:hAnsi="Times New Roman" w:eastAsia="宋体" w:cs="Times New Roman"/>
                      <w:color w:val="auto"/>
                      <w:u w:val="single"/>
                      <w:lang w:val="en-US" w:eastAsia="zh-CN"/>
                    </w:rPr>
                    <w:t>、</w:t>
                  </w:r>
                  <w:r>
                    <w:rPr>
                      <w:rFonts w:hint="eastAsia" w:cs="Times New Roman"/>
                      <w:color w:val="auto"/>
                      <w:u w:val="single"/>
                      <w:lang w:val="en-US" w:eastAsia="zh-CN"/>
                    </w:rPr>
                    <w:t>废包装桶、</w:t>
                  </w:r>
                  <w:r>
                    <w:rPr>
                      <w:rFonts w:hint="default" w:ascii="Times New Roman" w:hAnsi="Times New Roman" w:eastAsia="宋体" w:cs="Times New Roman"/>
                      <w:color w:val="auto"/>
                      <w:u w:val="single"/>
                      <w:lang w:val="en-US" w:eastAsia="zh-CN"/>
                    </w:rPr>
                    <w:t>废活性炭</w:t>
                  </w:r>
                  <w:r>
                    <w:rPr>
                      <w:rFonts w:hint="eastAsia" w:cs="Times New Roman"/>
                      <w:color w:val="auto"/>
                      <w:u w:val="single"/>
                      <w:lang w:val="en-US" w:eastAsia="zh-CN"/>
                    </w:rPr>
                    <w:t>、废分子筛</w:t>
                  </w:r>
                </w:p>
              </w:tc>
              <w:tc>
                <w:tcPr>
                  <w:tcW w:w="2023" w:type="pct"/>
                  <w:vAlign w:val="center"/>
                </w:tcPr>
                <w:p w14:paraId="443171CC">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u w:val="single"/>
                    </w:rPr>
                  </w:pPr>
                  <w:r>
                    <w:rPr>
                      <w:rFonts w:hint="eastAsia"/>
                      <w:color w:val="auto"/>
                      <w:u w:val="single"/>
                    </w:rPr>
                    <w:t>暂存危废间，定期交由资质单位处置</w:t>
                  </w:r>
                </w:p>
              </w:tc>
            </w:tr>
            <w:tr w14:paraId="693A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vMerge w:val="continue"/>
                  <w:vAlign w:val="center"/>
                </w:tcPr>
                <w:p w14:paraId="5278C7EC">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rPr>
                  </w:pPr>
                </w:p>
              </w:tc>
              <w:tc>
                <w:tcPr>
                  <w:tcW w:w="787" w:type="pct"/>
                  <w:vAlign w:val="center"/>
                </w:tcPr>
                <w:p w14:paraId="12A37199">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u w:val="single"/>
                    </w:rPr>
                  </w:pPr>
                  <w:r>
                    <w:rPr>
                      <w:rFonts w:hint="eastAsia"/>
                      <w:color w:val="auto"/>
                      <w:u w:val="single"/>
                    </w:rPr>
                    <w:t>员工生活</w:t>
                  </w:r>
                </w:p>
              </w:tc>
              <w:tc>
                <w:tcPr>
                  <w:tcW w:w="1456" w:type="pct"/>
                  <w:vAlign w:val="center"/>
                </w:tcPr>
                <w:p w14:paraId="4FC6014D">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eastAsia"/>
                      <w:color w:val="auto"/>
                      <w:u w:val="single"/>
                    </w:rPr>
                  </w:pPr>
                  <w:r>
                    <w:rPr>
                      <w:rFonts w:hint="eastAsia"/>
                      <w:color w:val="auto"/>
                      <w:u w:val="single"/>
                    </w:rPr>
                    <w:t>生活垃圾</w:t>
                  </w:r>
                </w:p>
              </w:tc>
              <w:tc>
                <w:tcPr>
                  <w:tcW w:w="2023" w:type="pct"/>
                  <w:vAlign w:val="center"/>
                </w:tcPr>
                <w:p w14:paraId="5C6D7AB2">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ind w:firstLine="0"/>
                    <w:jc w:val="center"/>
                    <w:textAlignment w:val="baseline"/>
                    <w:rPr>
                      <w:rFonts w:hint="default" w:eastAsia="宋体"/>
                      <w:color w:val="auto"/>
                      <w:u w:val="single"/>
                      <w:lang w:val="en-US" w:eastAsia="zh-CN"/>
                    </w:rPr>
                  </w:pPr>
                  <w:r>
                    <w:rPr>
                      <w:rFonts w:hint="eastAsia"/>
                      <w:color w:val="auto"/>
                      <w:u w:val="single"/>
                      <w:lang w:val="en-US" w:eastAsia="zh-CN"/>
                    </w:rPr>
                    <w:t>环卫部门定期清运</w:t>
                  </w:r>
                </w:p>
              </w:tc>
            </w:tr>
          </w:tbl>
          <w:p w14:paraId="7A07E9E6">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default" w:ascii="Times New Roman" w:hAnsi="Times New Roman" w:cs="Times New Roman"/>
                <w:color w:val="auto"/>
                <w:highlight w:val="none"/>
                <w:lang w:val="en-US" w:eastAsia="zh-CN"/>
              </w:rPr>
            </w:pPr>
          </w:p>
        </w:tc>
      </w:tr>
      <w:tr w14:paraId="7728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3" w:hRule="atLeast"/>
        </w:trPr>
        <w:tc>
          <w:tcPr>
            <w:tcW w:w="359" w:type="pct"/>
            <w:vAlign w:val="center"/>
          </w:tcPr>
          <w:p w14:paraId="458239BA">
            <w:pPr>
              <w:pStyle w:val="25"/>
              <w:keepNext w:val="0"/>
              <w:keepLines w:val="0"/>
              <w:pageBreakBefore w:val="0"/>
              <w:widowControl/>
              <w:kinsoku/>
              <w:wordWrap/>
              <w:overflowPunct/>
              <w:topLinePunct w:val="0"/>
              <w:autoSpaceDE/>
              <w:autoSpaceDN/>
              <w:bidi w:val="0"/>
              <w:adjustRightInd/>
              <w:snapToGrid/>
              <w:spacing w:before="0" w:beforeAutospacing="0" w:after="157" w:afterLines="50" w:afterAutospacing="0"/>
              <w:jc w:val="center"/>
              <w:textAlignment w:val="auto"/>
              <w:outlineLvl w:val="0"/>
              <w:rPr>
                <w:rFonts w:hint="default" w:ascii="Times New Roman" w:hAnsi="Times New Roman" w:eastAsia="宋体" w:cs="Times New Roman"/>
                <w:b w:val="0"/>
                <w:bCs w:val="0"/>
                <w:color w:val="auto"/>
                <w:sz w:val="24"/>
                <w:szCs w:val="24"/>
                <w:highlight w:val="none"/>
              </w:rPr>
            </w:pPr>
            <w:bookmarkStart w:id="16" w:name="_Toc14015"/>
            <w:r>
              <w:rPr>
                <w:rFonts w:hint="default" w:ascii="Times New Roman" w:hAnsi="Times New Roman" w:eastAsia="宋体" w:cs="Times New Roman"/>
                <w:b w:val="0"/>
                <w:bCs/>
                <w:color w:val="auto"/>
                <w:kern w:val="2"/>
                <w:sz w:val="24"/>
                <w:szCs w:val="24"/>
                <w:highlight w:val="none"/>
              </w:rPr>
              <w:t>与项目有关的原有环境污染问题</w:t>
            </w:r>
            <w:bookmarkEnd w:id="16"/>
          </w:p>
        </w:tc>
        <w:tc>
          <w:tcPr>
            <w:tcW w:w="4640" w:type="pct"/>
          </w:tcPr>
          <w:p w14:paraId="2CBD928B">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default" w:ascii="Times New Roman" w:hAnsi="Times New Roman"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1、</w:t>
            </w:r>
            <w:r>
              <w:rPr>
                <w:rFonts w:hint="eastAsia" w:ascii="Times New Roman" w:hAnsi="Times New Roman" w:cs="Times New Roman"/>
                <w:b/>
                <w:bCs/>
                <w:color w:val="auto"/>
                <w:sz w:val="24"/>
                <w:szCs w:val="22"/>
                <w:highlight w:val="none"/>
                <w:lang w:val="en-US" w:eastAsia="zh-CN"/>
              </w:rPr>
              <w:t>现有工程</w:t>
            </w:r>
            <w:r>
              <w:rPr>
                <w:rFonts w:hint="eastAsia" w:cs="Times New Roman"/>
                <w:b/>
                <w:bCs/>
                <w:color w:val="auto"/>
                <w:sz w:val="24"/>
                <w:szCs w:val="22"/>
                <w:highlight w:val="none"/>
                <w:lang w:val="en-US" w:eastAsia="zh-CN"/>
              </w:rPr>
              <w:t>环保手续情况</w:t>
            </w:r>
          </w:p>
          <w:p w14:paraId="6EABCEA1">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表2-7   现有工程环保手续情况</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3444"/>
              <w:gridCol w:w="3520"/>
            </w:tblGrid>
            <w:tr w14:paraId="0802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67" w:type="pct"/>
                  <w:noWrap w:val="0"/>
                  <w:vAlign w:val="center"/>
                </w:tcPr>
                <w:p w14:paraId="12DBF40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类别</w:t>
                  </w:r>
                </w:p>
              </w:tc>
              <w:tc>
                <w:tcPr>
                  <w:tcW w:w="2241" w:type="pct"/>
                  <w:noWrap w:val="0"/>
                  <w:vAlign w:val="center"/>
                </w:tcPr>
                <w:p w14:paraId="6F1EB8B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w:t>
                  </w:r>
                </w:p>
              </w:tc>
              <w:tc>
                <w:tcPr>
                  <w:tcW w:w="2291" w:type="pct"/>
                  <w:noWrap w:val="0"/>
                  <w:vAlign w:val="center"/>
                </w:tcPr>
                <w:p w14:paraId="49AE7DA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环保手续履行情况</w:t>
                  </w:r>
                </w:p>
              </w:tc>
            </w:tr>
            <w:tr w14:paraId="7DBF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noWrap w:val="0"/>
                  <w:vAlign w:val="center"/>
                </w:tcPr>
                <w:p w14:paraId="623909A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环评</w:t>
                  </w:r>
                </w:p>
              </w:tc>
              <w:tc>
                <w:tcPr>
                  <w:tcW w:w="2241" w:type="pct"/>
                  <w:noWrap w:val="0"/>
                  <w:vAlign w:val="center"/>
                </w:tcPr>
                <w:p w14:paraId="5530C38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濮阳中原锐实达石油设备有限公司年产500套石油固控设备装配车间生产项目</w:t>
                  </w:r>
                </w:p>
              </w:tc>
              <w:tc>
                <w:tcPr>
                  <w:tcW w:w="2291" w:type="pct"/>
                  <w:noWrap w:val="0"/>
                  <w:vAlign w:val="center"/>
                </w:tcPr>
                <w:p w14:paraId="4B730BA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2013年9月12日，清丰县环境保护局</w:t>
                  </w:r>
                  <w:r>
                    <w:rPr>
                      <w:rFonts w:hint="eastAsia" w:ascii="Times New Roman" w:hAnsi="Times New Roman" w:eastAsia="宋体" w:cs="Times New Roman"/>
                      <w:b w:val="0"/>
                      <w:bCs w:val="0"/>
                      <w:color w:val="auto"/>
                      <w:sz w:val="21"/>
                      <w:szCs w:val="21"/>
                      <w:highlight w:val="none"/>
                      <w:lang w:val="en-US" w:eastAsia="zh-CN"/>
                    </w:rPr>
                    <w:t>（现濮阳市生态环境局清丰分局）</w:t>
                  </w:r>
                  <w:r>
                    <w:rPr>
                      <w:rFonts w:hint="default" w:ascii="Times New Roman" w:hAnsi="Times New Roman" w:eastAsia="宋体" w:cs="Times New Roman"/>
                      <w:b w:val="0"/>
                      <w:bCs w:val="0"/>
                      <w:color w:val="auto"/>
                      <w:sz w:val="21"/>
                      <w:szCs w:val="21"/>
                      <w:highlight w:val="none"/>
                      <w:lang w:val="en-US" w:eastAsia="zh-CN"/>
                    </w:rPr>
                    <w:t>以清环审〔2013〕12号文批复</w:t>
                  </w:r>
                </w:p>
              </w:tc>
            </w:tr>
            <w:tr w14:paraId="06E2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67" w:type="pct"/>
                  <w:noWrap w:val="0"/>
                  <w:vAlign w:val="center"/>
                </w:tcPr>
                <w:p w14:paraId="68AAB6F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验收</w:t>
                  </w:r>
                </w:p>
              </w:tc>
              <w:tc>
                <w:tcPr>
                  <w:tcW w:w="2241" w:type="pct"/>
                  <w:noWrap w:val="0"/>
                  <w:vAlign w:val="center"/>
                </w:tcPr>
                <w:p w14:paraId="20354B9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濮阳中原锐实达石油设备有限公司年产500套石油固控设备装配车间生产项目</w:t>
                  </w:r>
                </w:p>
              </w:tc>
              <w:tc>
                <w:tcPr>
                  <w:tcW w:w="2291" w:type="pct"/>
                  <w:noWrap w:val="0"/>
                  <w:vAlign w:val="center"/>
                </w:tcPr>
                <w:p w14:paraId="74B1C61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2019年7月进行了自主验收</w:t>
                  </w:r>
                </w:p>
              </w:tc>
            </w:tr>
            <w:tr w14:paraId="5704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shd w:val="clear" w:color="auto" w:fill="auto"/>
                  <w:noWrap w:val="0"/>
                  <w:vAlign w:val="center"/>
                </w:tcPr>
                <w:p w14:paraId="71AE044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排污许可</w:t>
                  </w:r>
                </w:p>
              </w:tc>
              <w:tc>
                <w:tcPr>
                  <w:tcW w:w="4532" w:type="pct"/>
                  <w:gridSpan w:val="2"/>
                  <w:shd w:val="clear" w:color="auto" w:fill="auto"/>
                  <w:noWrap w:val="0"/>
                  <w:vAlign w:val="center"/>
                </w:tcPr>
                <w:p w14:paraId="54FBB79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2020年</w:t>
                  </w:r>
                  <w:r>
                    <w:rPr>
                      <w:rFonts w:hint="eastAsia" w:ascii="Times New Roman" w:hAnsi="Times New Roman" w:cs="Times New Roman"/>
                      <w:b w:val="0"/>
                      <w:bCs w:val="0"/>
                      <w:color w:val="auto"/>
                      <w:sz w:val="21"/>
                      <w:szCs w:val="21"/>
                      <w:highlight w:val="none"/>
                      <w:lang w:val="en-US" w:eastAsia="zh-CN"/>
                    </w:rPr>
                    <w:t>5</w:t>
                  </w:r>
                  <w:r>
                    <w:rPr>
                      <w:rFonts w:hint="default" w:ascii="Times New Roman" w:hAnsi="Times New Roman" w:cs="Times New Roman"/>
                      <w:b w:val="0"/>
                      <w:bCs w:val="0"/>
                      <w:color w:val="auto"/>
                      <w:sz w:val="21"/>
                      <w:szCs w:val="21"/>
                      <w:highlight w:val="none"/>
                      <w:lang w:val="en-US" w:eastAsia="zh-CN"/>
                    </w:rPr>
                    <w:t>月</w:t>
                  </w:r>
                  <w:r>
                    <w:rPr>
                      <w:rFonts w:hint="eastAsia" w:ascii="Times New Roman" w:hAnsi="Times New Roman" w:cs="Times New Roman"/>
                      <w:b w:val="0"/>
                      <w:bCs w:val="0"/>
                      <w:color w:val="auto"/>
                      <w:sz w:val="21"/>
                      <w:szCs w:val="21"/>
                      <w:highlight w:val="none"/>
                      <w:lang w:val="en-US" w:eastAsia="zh-CN"/>
                    </w:rPr>
                    <w:t>22</w:t>
                  </w:r>
                  <w:r>
                    <w:rPr>
                      <w:rFonts w:hint="default" w:ascii="Times New Roman" w:hAnsi="Times New Roman" w:cs="Times New Roman"/>
                      <w:b w:val="0"/>
                      <w:bCs w:val="0"/>
                      <w:color w:val="auto"/>
                      <w:sz w:val="21"/>
                      <w:szCs w:val="21"/>
                      <w:highlight w:val="none"/>
                      <w:lang w:val="en-US" w:eastAsia="zh-CN"/>
                    </w:rPr>
                    <w:t>日</w:t>
                  </w:r>
                  <w:r>
                    <w:rPr>
                      <w:rFonts w:hint="eastAsia" w:ascii="Times New Roman" w:hAnsi="Times New Roman" w:cs="Times New Roman"/>
                      <w:b w:val="0"/>
                      <w:bCs w:val="0"/>
                      <w:color w:val="auto"/>
                      <w:sz w:val="21"/>
                      <w:szCs w:val="21"/>
                      <w:highlight w:val="none"/>
                      <w:lang w:val="en-US" w:eastAsia="zh-CN"/>
                    </w:rPr>
                    <w:t>进行排污许可登记</w:t>
                  </w:r>
                  <w:r>
                    <w:rPr>
                      <w:rFonts w:hint="default" w:ascii="Times New Roman" w:hAnsi="Times New Roman" w:cs="Times New Roman"/>
                      <w:b w:val="0"/>
                      <w:bCs w:val="0"/>
                      <w:color w:val="auto"/>
                      <w:sz w:val="21"/>
                      <w:szCs w:val="21"/>
                      <w:highlight w:val="none"/>
                      <w:lang w:val="en-US" w:eastAsia="zh-CN"/>
                    </w:rPr>
                    <w:t>，于202</w:t>
                  </w:r>
                  <w:r>
                    <w:rPr>
                      <w:rFonts w:hint="eastAsia" w:ascii="Times New Roman" w:hAnsi="Times New Roman" w:cs="Times New Roman"/>
                      <w:b w:val="0"/>
                      <w:bCs w:val="0"/>
                      <w:color w:val="auto"/>
                      <w:sz w:val="21"/>
                      <w:szCs w:val="21"/>
                      <w:highlight w:val="none"/>
                      <w:lang w:val="en-US" w:eastAsia="zh-CN"/>
                    </w:rPr>
                    <w:t>2</w:t>
                  </w:r>
                  <w:r>
                    <w:rPr>
                      <w:rFonts w:hint="default" w:ascii="Times New Roman" w:hAnsi="Times New Roman" w:cs="Times New Roman"/>
                      <w:b w:val="0"/>
                      <w:bCs w:val="0"/>
                      <w:color w:val="auto"/>
                      <w:sz w:val="21"/>
                      <w:szCs w:val="21"/>
                      <w:highlight w:val="none"/>
                      <w:lang w:val="en-US" w:eastAsia="zh-CN"/>
                    </w:rPr>
                    <w:t>年</w:t>
                  </w:r>
                  <w:r>
                    <w:rPr>
                      <w:rFonts w:hint="eastAsia" w:ascii="Times New Roman" w:hAnsi="Times New Roman" w:cs="Times New Roman"/>
                      <w:b w:val="0"/>
                      <w:bCs w:val="0"/>
                      <w:color w:val="auto"/>
                      <w:sz w:val="21"/>
                      <w:szCs w:val="21"/>
                      <w:highlight w:val="none"/>
                      <w:lang w:val="en-US" w:eastAsia="zh-CN"/>
                    </w:rPr>
                    <w:t>3</w:t>
                  </w:r>
                  <w:r>
                    <w:rPr>
                      <w:rFonts w:hint="default" w:ascii="Times New Roman" w:hAnsi="Times New Roman" w:cs="Times New Roman"/>
                      <w:b w:val="0"/>
                      <w:bCs w:val="0"/>
                      <w:color w:val="auto"/>
                      <w:sz w:val="21"/>
                      <w:szCs w:val="21"/>
                      <w:highlight w:val="none"/>
                      <w:lang w:val="en-US" w:eastAsia="zh-CN"/>
                    </w:rPr>
                    <w:t>月</w:t>
                  </w:r>
                  <w:r>
                    <w:rPr>
                      <w:rFonts w:hint="eastAsia" w:ascii="Times New Roman" w:hAnsi="Times New Roman" w:cs="Times New Roman"/>
                      <w:b w:val="0"/>
                      <w:bCs w:val="0"/>
                      <w:color w:val="auto"/>
                      <w:sz w:val="21"/>
                      <w:szCs w:val="21"/>
                      <w:highlight w:val="none"/>
                      <w:lang w:val="en-US" w:eastAsia="zh-CN"/>
                    </w:rPr>
                    <w:t>2</w:t>
                  </w:r>
                  <w:r>
                    <w:rPr>
                      <w:rFonts w:hint="default" w:ascii="Times New Roman" w:hAnsi="Times New Roman" w:cs="Times New Roman"/>
                      <w:b w:val="0"/>
                      <w:bCs w:val="0"/>
                      <w:color w:val="auto"/>
                      <w:sz w:val="21"/>
                      <w:szCs w:val="21"/>
                      <w:highlight w:val="none"/>
                      <w:lang w:val="en-US" w:eastAsia="zh-CN"/>
                    </w:rPr>
                    <w:t>日进行了</w:t>
                  </w:r>
                  <w:r>
                    <w:rPr>
                      <w:rFonts w:hint="eastAsia" w:ascii="Times New Roman" w:hAnsi="Times New Roman" w:cs="Times New Roman"/>
                      <w:b w:val="0"/>
                      <w:bCs w:val="0"/>
                      <w:color w:val="auto"/>
                      <w:sz w:val="21"/>
                      <w:szCs w:val="21"/>
                      <w:highlight w:val="none"/>
                      <w:lang w:val="en-US" w:eastAsia="zh-CN"/>
                    </w:rPr>
                    <w:t>登记变更</w:t>
                  </w:r>
                  <w:r>
                    <w:rPr>
                      <w:rFonts w:hint="default" w:ascii="Times New Roman" w:hAnsi="Times New Roman"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登记</w:t>
                  </w:r>
                  <w:r>
                    <w:rPr>
                      <w:rFonts w:hint="default" w:ascii="Times New Roman" w:hAnsi="Times New Roman" w:cs="Times New Roman"/>
                      <w:b w:val="0"/>
                      <w:bCs w:val="0"/>
                      <w:color w:val="auto"/>
                      <w:sz w:val="21"/>
                      <w:szCs w:val="21"/>
                      <w:highlight w:val="none"/>
                      <w:lang w:val="en-US" w:eastAsia="zh-CN"/>
                    </w:rPr>
                    <w:t>编号：914109007338738963001W</w:t>
                  </w:r>
                </w:p>
              </w:tc>
            </w:tr>
          </w:tbl>
          <w:p w14:paraId="66112546">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eastAsia" w:cs="Times New Roman"/>
                <w:b w:val="0"/>
                <w:bCs w:val="0"/>
                <w:color w:val="auto"/>
                <w:sz w:val="24"/>
                <w:szCs w:val="22"/>
                <w:highlight w:val="none"/>
                <w:lang w:val="en-US" w:eastAsia="zh-CN"/>
              </w:rPr>
            </w:pPr>
            <w:r>
              <w:rPr>
                <w:rFonts w:hint="eastAsia" w:ascii="Times New Roman" w:hAnsi="Times New Roman" w:cs="Times New Roman"/>
                <w:b/>
                <w:bCs/>
                <w:color w:val="auto"/>
                <w:sz w:val="24"/>
                <w:szCs w:val="22"/>
                <w:highlight w:val="none"/>
                <w:lang w:val="en-US" w:eastAsia="zh-CN"/>
              </w:rPr>
              <w:t>2</w:t>
            </w:r>
            <w:r>
              <w:rPr>
                <w:rFonts w:hint="eastAsia" w:cs="Times New Roman"/>
                <w:b/>
                <w:bCs/>
                <w:color w:val="auto"/>
                <w:sz w:val="24"/>
                <w:szCs w:val="22"/>
                <w:highlight w:val="none"/>
                <w:lang w:val="en-US" w:eastAsia="zh-CN"/>
              </w:rPr>
              <w:t>、现有项目基本情况</w:t>
            </w:r>
          </w:p>
          <w:p w14:paraId="21685FD0">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default"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2.1 现有项目产品方案</w:t>
            </w:r>
          </w:p>
          <w:p w14:paraId="0F146C82">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表2-</w:t>
            </w:r>
            <w:r>
              <w:rPr>
                <w:rFonts w:hint="eastAsia" w:cs="Times New Roman"/>
                <w:b w:val="0"/>
                <w:bCs w:val="0"/>
                <w:color w:val="auto"/>
                <w:kern w:val="0"/>
                <w:sz w:val="21"/>
                <w:szCs w:val="21"/>
                <w:highlight w:val="none"/>
                <w:vertAlign w:val="baseline"/>
                <w:lang w:val="en-US" w:eastAsia="zh-CN" w:bidi="ar-SA"/>
              </w:rPr>
              <w:t>8</w:t>
            </w:r>
            <w:r>
              <w:rPr>
                <w:rFonts w:hint="eastAsia" w:ascii="Times New Roman" w:hAnsi="Times New Roman" w:eastAsia="宋体" w:cs="Times New Roman"/>
                <w:b w:val="0"/>
                <w:bCs w:val="0"/>
                <w:color w:val="auto"/>
                <w:kern w:val="0"/>
                <w:sz w:val="21"/>
                <w:szCs w:val="21"/>
                <w:highlight w:val="none"/>
                <w:vertAlign w:val="baseline"/>
                <w:lang w:val="en-US" w:eastAsia="zh-CN" w:bidi="ar-SA"/>
              </w:rPr>
              <w:t xml:space="preserve">   项目产品方案一览表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3434"/>
              <w:gridCol w:w="916"/>
              <w:gridCol w:w="750"/>
              <w:gridCol w:w="885"/>
            </w:tblGrid>
            <w:tr w14:paraId="29B0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pct"/>
                  <w:vAlign w:val="center"/>
                </w:tcPr>
                <w:p w14:paraId="71B9221C">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产品方案</w:t>
                  </w:r>
                </w:p>
              </w:tc>
              <w:tc>
                <w:tcPr>
                  <w:tcW w:w="2235" w:type="pct"/>
                  <w:vAlign w:val="center"/>
                </w:tcPr>
                <w:p w14:paraId="440DEAC7">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产品规格</w:t>
                  </w:r>
                </w:p>
              </w:tc>
              <w:tc>
                <w:tcPr>
                  <w:tcW w:w="596" w:type="pct"/>
                  <w:vAlign w:val="center"/>
                </w:tcPr>
                <w:p w14:paraId="2A01D140">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年产量</w:t>
                  </w:r>
                </w:p>
              </w:tc>
              <w:tc>
                <w:tcPr>
                  <w:tcW w:w="488" w:type="pct"/>
                  <w:vAlign w:val="center"/>
                </w:tcPr>
                <w:p w14:paraId="1C86E79D">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单位</w:t>
                  </w:r>
                </w:p>
              </w:tc>
              <w:tc>
                <w:tcPr>
                  <w:tcW w:w="576" w:type="pct"/>
                  <w:vAlign w:val="center"/>
                </w:tcPr>
                <w:p w14:paraId="54371ED4">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备注</w:t>
                  </w:r>
                </w:p>
              </w:tc>
            </w:tr>
            <w:tr w14:paraId="1213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pct"/>
                  <w:vAlign w:val="center"/>
                </w:tcPr>
                <w:p w14:paraId="46F8B375">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液气分离器</w:t>
                  </w:r>
                </w:p>
              </w:tc>
              <w:tc>
                <w:tcPr>
                  <w:tcW w:w="3434" w:type="dxa"/>
                  <w:vAlign w:val="center"/>
                </w:tcPr>
                <w:p w14:paraId="7211481D">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主体直径：</w:t>
                  </w:r>
                  <w:r>
                    <w:rPr>
                      <w:rFonts w:hint="default" w:ascii="Times New Roman" w:hAnsi="Times New Roman" w:eastAsia="宋体" w:cs="Times New Roman"/>
                      <w:color w:val="auto"/>
                      <w:szCs w:val="21"/>
                      <w:u w:val="single"/>
                      <w:lang w:val="en-US" w:eastAsia="zh-CN"/>
                    </w:rPr>
                    <w:t>φ914</w:t>
                  </w:r>
                  <w:r>
                    <w:rPr>
                      <w:rFonts w:hint="eastAsia" w:cs="Times New Roman"/>
                      <w:color w:val="auto"/>
                      <w:szCs w:val="21"/>
                      <w:u w:val="single"/>
                      <w:lang w:val="en-US" w:eastAsia="zh-CN"/>
                    </w:rPr>
                    <w:t>mm，外形尺寸：2500×2450×2216mm</w:t>
                  </w:r>
                </w:p>
              </w:tc>
              <w:tc>
                <w:tcPr>
                  <w:tcW w:w="596" w:type="pct"/>
                  <w:vAlign w:val="center"/>
                </w:tcPr>
                <w:p w14:paraId="01888AE4">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1</w:t>
                  </w:r>
                  <w:r>
                    <w:rPr>
                      <w:rFonts w:hint="eastAsia" w:ascii="Times New Roman" w:hAnsi="Times New Roman" w:eastAsia="宋体" w:cs="Times New Roman"/>
                      <w:color w:val="auto"/>
                      <w:szCs w:val="21"/>
                      <w:u w:val="single"/>
                      <w:lang w:val="en-US" w:eastAsia="zh-CN"/>
                    </w:rPr>
                    <w:t>00</w:t>
                  </w:r>
                </w:p>
              </w:tc>
              <w:tc>
                <w:tcPr>
                  <w:tcW w:w="488" w:type="pct"/>
                  <w:vAlign w:val="center"/>
                </w:tcPr>
                <w:p w14:paraId="0BE75745">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套/年</w:t>
                  </w:r>
                </w:p>
              </w:tc>
              <w:tc>
                <w:tcPr>
                  <w:tcW w:w="576" w:type="pct"/>
                  <w:vMerge w:val="restart"/>
                  <w:vAlign w:val="center"/>
                </w:tcPr>
                <w:p w14:paraId="5F893EF2">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石油固控设备</w:t>
                  </w:r>
                </w:p>
              </w:tc>
            </w:tr>
            <w:tr w14:paraId="0A18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pct"/>
                  <w:vAlign w:val="center"/>
                </w:tcPr>
                <w:p w14:paraId="1C73468A">
                  <w:pPr>
                    <w:tabs>
                      <w:tab w:val="left" w:pos="7920"/>
                    </w:tabs>
                    <w:spacing w:before="71" w:beforeLines="23" w:after="71" w:afterLines="23"/>
                    <w:jc w:val="center"/>
                    <w:rPr>
                      <w:rFonts w:hint="eastAsia" w:cs="Times New Roman"/>
                      <w:color w:val="auto"/>
                      <w:szCs w:val="21"/>
                      <w:u w:val="single"/>
                      <w:lang w:val="en-US" w:eastAsia="zh-CN"/>
                    </w:rPr>
                  </w:pPr>
                  <w:r>
                    <w:rPr>
                      <w:rFonts w:hint="eastAsia" w:cs="Times New Roman"/>
                      <w:color w:val="auto"/>
                      <w:szCs w:val="21"/>
                      <w:u w:val="single"/>
                      <w:lang w:val="en-US" w:eastAsia="zh-CN"/>
                    </w:rPr>
                    <w:t>钻井液离心机</w:t>
                  </w:r>
                </w:p>
              </w:tc>
              <w:tc>
                <w:tcPr>
                  <w:tcW w:w="3434" w:type="dxa"/>
                  <w:vAlign w:val="center"/>
                </w:tcPr>
                <w:p w14:paraId="04225A58">
                  <w:pPr>
                    <w:tabs>
                      <w:tab w:val="left" w:pos="7920"/>
                    </w:tabs>
                    <w:spacing w:before="71" w:beforeLines="23" w:after="71" w:afterLines="23"/>
                    <w:jc w:val="center"/>
                    <w:rPr>
                      <w:rFonts w:hint="eastAsia" w:cs="Times New Roman"/>
                      <w:color w:val="auto"/>
                      <w:szCs w:val="21"/>
                      <w:u w:val="single"/>
                      <w:lang w:val="en-US" w:eastAsia="zh-CN"/>
                    </w:rPr>
                  </w:pPr>
                  <w:r>
                    <w:rPr>
                      <w:rFonts w:hint="eastAsia" w:cs="Times New Roman"/>
                      <w:color w:val="auto"/>
                      <w:szCs w:val="21"/>
                      <w:u w:val="single"/>
                      <w:lang w:val="en-US" w:eastAsia="zh-CN"/>
                    </w:rPr>
                    <w:t>外形尺寸：2900×1880×1770mm</w:t>
                  </w:r>
                </w:p>
              </w:tc>
              <w:tc>
                <w:tcPr>
                  <w:tcW w:w="596" w:type="pct"/>
                  <w:vAlign w:val="center"/>
                </w:tcPr>
                <w:p w14:paraId="7630D064">
                  <w:pPr>
                    <w:tabs>
                      <w:tab w:val="left" w:pos="7920"/>
                    </w:tabs>
                    <w:spacing w:before="71" w:beforeLines="23" w:after="71" w:afterLines="23"/>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200</w:t>
                  </w:r>
                </w:p>
              </w:tc>
              <w:tc>
                <w:tcPr>
                  <w:tcW w:w="488" w:type="pct"/>
                  <w:vAlign w:val="center"/>
                </w:tcPr>
                <w:p w14:paraId="182AC195">
                  <w:pPr>
                    <w:tabs>
                      <w:tab w:val="left" w:pos="7920"/>
                    </w:tabs>
                    <w:spacing w:before="71" w:beforeLines="23" w:after="71" w:afterLines="23"/>
                    <w:jc w:val="center"/>
                    <w:rPr>
                      <w:rFonts w:hint="eastAsia"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套/年</w:t>
                  </w:r>
                </w:p>
              </w:tc>
              <w:tc>
                <w:tcPr>
                  <w:tcW w:w="576" w:type="pct"/>
                  <w:vMerge w:val="continue"/>
                  <w:vAlign w:val="center"/>
                </w:tcPr>
                <w:p w14:paraId="09D189CA">
                  <w:pPr>
                    <w:tabs>
                      <w:tab w:val="left" w:pos="7920"/>
                    </w:tabs>
                    <w:spacing w:before="71" w:beforeLines="23" w:after="71" w:afterLines="23"/>
                    <w:jc w:val="center"/>
                    <w:rPr>
                      <w:rFonts w:hint="eastAsia" w:cs="Times New Roman"/>
                      <w:color w:val="auto"/>
                      <w:szCs w:val="21"/>
                      <w:u w:val="single"/>
                      <w:lang w:val="en-US" w:eastAsia="zh-CN"/>
                    </w:rPr>
                  </w:pPr>
                </w:p>
              </w:tc>
            </w:tr>
            <w:tr w14:paraId="7962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pct"/>
                  <w:vAlign w:val="center"/>
                </w:tcPr>
                <w:p w14:paraId="4AB831D8">
                  <w:pPr>
                    <w:tabs>
                      <w:tab w:val="left" w:pos="7920"/>
                    </w:tabs>
                    <w:spacing w:before="71" w:beforeLines="23" w:after="71" w:afterLines="23"/>
                    <w:jc w:val="center"/>
                    <w:rPr>
                      <w:rFonts w:hint="eastAsia" w:cs="Times New Roman"/>
                      <w:color w:val="auto"/>
                      <w:szCs w:val="21"/>
                      <w:u w:val="single"/>
                      <w:lang w:val="en-US" w:eastAsia="zh-CN"/>
                    </w:rPr>
                  </w:pPr>
                  <w:r>
                    <w:rPr>
                      <w:rFonts w:hint="eastAsia" w:cs="Times New Roman"/>
                      <w:color w:val="auto"/>
                      <w:szCs w:val="21"/>
                      <w:u w:val="single"/>
                      <w:lang w:val="en-US" w:eastAsia="zh-CN"/>
                    </w:rPr>
                    <w:t>钻井液振动筛</w:t>
                  </w:r>
                </w:p>
              </w:tc>
              <w:tc>
                <w:tcPr>
                  <w:tcW w:w="3434" w:type="dxa"/>
                  <w:vAlign w:val="center"/>
                </w:tcPr>
                <w:p w14:paraId="153C37F1">
                  <w:pPr>
                    <w:tabs>
                      <w:tab w:val="left" w:pos="7920"/>
                    </w:tabs>
                    <w:spacing w:before="71" w:beforeLines="23" w:after="71" w:afterLines="23"/>
                    <w:jc w:val="center"/>
                    <w:rPr>
                      <w:rFonts w:hint="eastAsia" w:cs="Times New Roman"/>
                      <w:color w:val="auto"/>
                      <w:szCs w:val="21"/>
                      <w:u w:val="single"/>
                      <w:lang w:val="en-US" w:eastAsia="zh-CN"/>
                    </w:rPr>
                  </w:pPr>
                  <w:r>
                    <w:rPr>
                      <w:rFonts w:hint="eastAsia" w:cs="Times New Roman"/>
                      <w:color w:val="auto"/>
                      <w:szCs w:val="21"/>
                      <w:u w:val="single"/>
                      <w:lang w:val="en-US" w:eastAsia="zh-CN"/>
                    </w:rPr>
                    <w:t>外形尺寸：2644（±20）×1929（±20）×1499（±20）mm</w:t>
                  </w:r>
                </w:p>
              </w:tc>
              <w:tc>
                <w:tcPr>
                  <w:tcW w:w="596" w:type="pct"/>
                  <w:shd w:val="clear" w:color="auto" w:fill="auto"/>
                  <w:vAlign w:val="center"/>
                </w:tcPr>
                <w:p w14:paraId="7E0526AB">
                  <w:pPr>
                    <w:tabs>
                      <w:tab w:val="left" w:pos="7920"/>
                    </w:tabs>
                    <w:spacing w:before="71" w:beforeLines="23" w:after="71" w:afterLines="23"/>
                    <w:jc w:val="center"/>
                    <w:rPr>
                      <w:rFonts w:hint="eastAsia" w:ascii="Times New Roman" w:hAnsi="Times New Roman" w:eastAsia="宋体" w:cs="Times New Roman"/>
                      <w:color w:val="auto"/>
                      <w:kern w:val="2"/>
                      <w:sz w:val="21"/>
                      <w:szCs w:val="21"/>
                      <w:u w:val="single"/>
                      <w:lang w:val="en-US" w:eastAsia="zh-CN" w:bidi="ar-SA"/>
                    </w:rPr>
                  </w:pPr>
                  <w:r>
                    <w:rPr>
                      <w:rFonts w:hint="eastAsia" w:cs="Times New Roman"/>
                      <w:color w:val="auto"/>
                      <w:szCs w:val="21"/>
                      <w:u w:val="single"/>
                      <w:lang w:val="en-US" w:eastAsia="zh-CN"/>
                    </w:rPr>
                    <w:t>200</w:t>
                  </w:r>
                </w:p>
              </w:tc>
              <w:tc>
                <w:tcPr>
                  <w:tcW w:w="488" w:type="pct"/>
                  <w:shd w:val="clear" w:color="auto" w:fill="auto"/>
                  <w:vAlign w:val="center"/>
                </w:tcPr>
                <w:p w14:paraId="17279FAF">
                  <w:pPr>
                    <w:tabs>
                      <w:tab w:val="left" w:pos="7920"/>
                    </w:tabs>
                    <w:spacing w:before="71" w:beforeLines="23" w:after="71" w:afterLines="23"/>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szCs w:val="21"/>
                      <w:u w:val="single"/>
                      <w:lang w:val="en-US" w:eastAsia="zh-CN"/>
                    </w:rPr>
                    <w:t>套/年</w:t>
                  </w:r>
                </w:p>
              </w:tc>
              <w:tc>
                <w:tcPr>
                  <w:tcW w:w="576" w:type="pct"/>
                  <w:vMerge w:val="continue"/>
                  <w:vAlign w:val="center"/>
                </w:tcPr>
                <w:p w14:paraId="3FBB2CC8">
                  <w:pPr>
                    <w:tabs>
                      <w:tab w:val="left" w:pos="7920"/>
                    </w:tabs>
                    <w:spacing w:before="71" w:beforeLines="23" w:after="71" w:afterLines="23"/>
                    <w:jc w:val="center"/>
                    <w:rPr>
                      <w:rFonts w:hint="eastAsia" w:cs="Times New Roman"/>
                      <w:color w:val="auto"/>
                      <w:szCs w:val="21"/>
                      <w:u w:val="single"/>
                      <w:lang w:val="en-US" w:eastAsia="zh-CN"/>
                    </w:rPr>
                  </w:pPr>
                </w:p>
              </w:tc>
            </w:tr>
          </w:tbl>
          <w:p w14:paraId="513ECC7D">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eastAsia"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2.2 现有项目原辅材料</w:t>
            </w:r>
          </w:p>
          <w:p w14:paraId="66C94AF8">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宋体" w:cs="Times New Roman"/>
                <w:b w:val="0"/>
                <w:bCs w:val="0"/>
                <w:color w:val="auto"/>
                <w:kern w:val="0"/>
                <w:sz w:val="21"/>
                <w:szCs w:val="21"/>
                <w:highlight w:val="none"/>
                <w:u w:val="singl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single"/>
                <w:vertAlign w:val="baseline"/>
                <w:lang w:val="en-US" w:eastAsia="zh-CN" w:bidi="ar-SA"/>
              </w:rPr>
              <w:t>表2-</w:t>
            </w:r>
            <w:r>
              <w:rPr>
                <w:rFonts w:hint="eastAsia" w:cs="Times New Roman"/>
                <w:b w:val="0"/>
                <w:bCs w:val="0"/>
                <w:color w:val="auto"/>
                <w:kern w:val="0"/>
                <w:sz w:val="21"/>
                <w:szCs w:val="21"/>
                <w:highlight w:val="none"/>
                <w:u w:val="single"/>
                <w:vertAlign w:val="baseline"/>
                <w:lang w:val="en-US" w:eastAsia="zh-CN" w:bidi="ar-SA"/>
              </w:rPr>
              <w:t>9</w:t>
            </w:r>
            <w:r>
              <w:rPr>
                <w:rFonts w:hint="default" w:ascii="Times New Roman" w:hAnsi="Times New Roman" w:eastAsia="宋体" w:cs="Times New Roman"/>
                <w:b w:val="0"/>
                <w:bCs w:val="0"/>
                <w:color w:val="auto"/>
                <w:kern w:val="0"/>
                <w:sz w:val="21"/>
                <w:szCs w:val="21"/>
                <w:highlight w:val="none"/>
                <w:u w:val="single"/>
                <w:vertAlign w:val="baseline"/>
                <w:lang w:val="en-US" w:eastAsia="zh-CN" w:bidi="ar-SA"/>
              </w:rPr>
              <w:t xml:space="preserve">  </w:t>
            </w:r>
            <w:r>
              <w:rPr>
                <w:rFonts w:hint="eastAsia" w:ascii="Times New Roman" w:hAnsi="Times New Roman" w:eastAsia="宋体" w:cs="Times New Roman"/>
                <w:b w:val="0"/>
                <w:bCs w:val="0"/>
                <w:color w:val="auto"/>
                <w:kern w:val="0"/>
                <w:sz w:val="21"/>
                <w:szCs w:val="21"/>
                <w:highlight w:val="none"/>
                <w:u w:val="single"/>
                <w:vertAlign w:val="baseline"/>
                <w:lang w:val="en-US" w:eastAsia="zh-CN" w:bidi="ar-SA"/>
              </w:rPr>
              <w:t>现有</w:t>
            </w:r>
            <w:r>
              <w:rPr>
                <w:rFonts w:hint="default" w:ascii="Times New Roman" w:hAnsi="Times New Roman" w:eastAsia="宋体" w:cs="Times New Roman"/>
                <w:b w:val="0"/>
                <w:bCs w:val="0"/>
                <w:color w:val="auto"/>
                <w:kern w:val="0"/>
                <w:sz w:val="21"/>
                <w:szCs w:val="21"/>
                <w:highlight w:val="none"/>
                <w:u w:val="single"/>
                <w:vertAlign w:val="baseline"/>
                <w:lang w:val="en-US" w:eastAsia="zh-CN" w:bidi="ar-SA"/>
              </w:rPr>
              <w:t>项目主要原辅材料年使用量一览表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740"/>
              <w:gridCol w:w="1379"/>
              <w:gridCol w:w="2072"/>
              <w:gridCol w:w="1829"/>
            </w:tblGrid>
            <w:tr w14:paraId="456A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0" w:type="pct"/>
                  <w:vAlign w:val="center"/>
                </w:tcPr>
                <w:p w14:paraId="0764B028">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u w:val="single"/>
                      <w:lang w:val="en-US" w:eastAsia="zh-CN"/>
                    </w:rPr>
                  </w:pPr>
                  <w:r>
                    <w:rPr>
                      <w:rFonts w:hint="eastAsia"/>
                      <w:color w:val="auto"/>
                      <w:szCs w:val="21"/>
                      <w:highlight w:val="none"/>
                      <w:u w:val="single"/>
                      <w:lang w:val="en-US" w:eastAsia="zh-CN"/>
                    </w:rPr>
                    <w:t>序号</w:t>
                  </w:r>
                </w:p>
              </w:tc>
              <w:tc>
                <w:tcPr>
                  <w:tcW w:w="1132" w:type="pct"/>
                  <w:vAlign w:val="center"/>
                </w:tcPr>
                <w:p w14:paraId="2B634CBF">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color w:val="auto"/>
                      <w:szCs w:val="21"/>
                      <w:highlight w:val="none"/>
                      <w:u w:val="single"/>
                    </w:rPr>
                  </w:pPr>
                  <w:r>
                    <w:rPr>
                      <w:rFonts w:hint="eastAsia"/>
                      <w:color w:val="auto"/>
                      <w:szCs w:val="21"/>
                      <w:highlight w:val="none"/>
                      <w:u w:val="single"/>
                    </w:rPr>
                    <w:t>原辅料</w:t>
                  </w:r>
                </w:p>
              </w:tc>
              <w:tc>
                <w:tcPr>
                  <w:tcW w:w="897" w:type="pct"/>
                  <w:vAlign w:val="center"/>
                </w:tcPr>
                <w:p w14:paraId="1C1C0C18">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color w:val="auto"/>
                      <w:szCs w:val="21"/>
                      <w:highlight w:val="none"/>
                      <w:u w:val="single"/>
                    </w:rPr>
                  </w:pPr>
                  <w:r>
                    <w:rPr>
                      <w:rFonts w:hint="eastAsia"/>
                      <w:color w:val="auto"/>
                      <w:szCs w:val="21"/>
                      <w:highlight w:val="none"/>
                      <w:u w:val="single"/>
                    </w:rPr>
                    <w:t>年用量</w:t>
                  </w:r>
                </w:p>
              </w:tc>
              <w:tc>
                <w:tcPr>
                  <w:tcW w:w="1348" w:type="pct"/>
                  <w:vAlign w:val="center"/>
                </w:tcPr>
                <w:p w14:paraId="2EDECAA8">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color w:val="auto"/>
                      <w:szCs w:val="21"/>
                      <w:highlight w:val="none"/>
                      <w:u w:val="single"/>
                    </w:rPr>
                  </w:pPr>
                  <w:r>
                    <w:rPr>
                      <w:rFonts w:hint="eastAsia"/>
                      <w:color w:val="auto"/>
                      <w:szCs w:val="21"/>
                      <w:highlight w:val="none"/>
                      <w:u w:val="single"/>
                    </w:rPr>
                    <w:t>包装方式</w:t>
                  </w:r>
                </w:p>
              </w:tc>
              <w:tc>
                <w:tcPr>
                  <w:tcW w:w="1190" w:type="pct"/>
                  <w:vAlign w:val="center"/>
                </w:tcPr>
                <w:p w14:paraId="716F459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u w:val="single"/>
                      <w:lang w:eastAsia="zh-CN"/>
                    </w:rPr>
                  </w:pPr>
                  <w:r>
                    <w:rPr>
                      <w:rFonts w:hint="eastAsia"/>
                      <w:color w:val="auto"/>
                      <w:szCs w:val="21"/>
                      <w:highlight w:val="none"/>
                      <w:u w:val="single"/>
                      <w:lang w:val="en-US" w:eastAsia="zh-CN"/>
                    </w:rPr>
                    <w:t>备注</w:t>
                  </w:r>
                </w:p>
              </w:tc>
            </w:tr>
            <w:tr w14:paraId="2BDB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5CBB85A5">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u w:val="single"/>
                      <w:lang w:val="en-US" w:eastAsia="zh-CN"/>
                    </w:rPr>
                  </w:pPr>
                  <w:r>
                    <w:rPr>
                      <w:rFonts w:hint="eastAsia"/>
                      <w:color w:val="auto"/>
                      <w:szCs w:val="21"/>
                      <w:highlight w:val="none"/>
                      <w:u w:val="single"/>
                      <w:lang w:val="en-US" w:eastAsia="zh-CN"/>
                    </w:rPr>
                    <w:t>1</w:t>
                  </w:r>
                </w:p>
              </w:tc>
              <w:tc>
                <w:tcPr>
                  <w:tcW w:w="1132" w:type="pct"/>
                  <w:vAlign w:val="center"/>
                </w:tcPr>
                <w:p w14:paraId="6D4EC53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color w:val="auto"/>
                      <w:szCs w:val="21"/>
                      <w:highlight w:val="none"/>
                      <w:u w:val="single"/>
                      <w:lang w:val="en-US" w:eastAsia="zh-CN"/>
                    </w:rPr>
                  </w:pPr>
                  <w:r>
                    <w:rPr>
                      <w:rFonts w:hint="eastAsia"/>
                      <w:color w:val="auto"/>
                      <w:szCs w:val="21"/>
                      <w:highlight w:val="none"/>
                      <w:u w:val="single"/>
                      <w:lang w:val="en-US" w:eastAsia="zh-CN"/>
                    </w:rPr>
                    <w:t>型材/板材</w:t>
                  </w:r>
                </w:p>
              </w:tc>
              <w:tc>
                <w:tcPr>
                  <w:tcW w:w="897" w:type="pct"/>
                  <w:vAlign w:val="center"/>
                </w:tcPr>
                <w:p w14:paraId="3436E8DC">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u w:val="single"/>
                      <w:lang w:val="en-US" w:eastAsia="zh-CN"/>
                    </w:rPr>
                  </w:pPr>
                  <w:r>
                    <w:rPr>
                      <w:rFonts w:hint="eastAsia"/>
                      <w:color w:val="auto"/>
                      <w:szCs w:val="21"/>
                      <w:highlight w:val="none"/>
                      <w:u w:val="single"/>
                      <w:lang w:val="en-US" w:eastAsia="zh-CN"/>
                    </w:rPr>
                    <w:t>1500</w:t>
                  </w:r>
                  <w:r>
                    <w:rPr>
                      <w:rFonts w:hint="eastAsia"/>
                      <w:color w:val="auto"/>
                      <w:szCs w:val="21"/>
                      <w:highlight w:val="none"/>
                      <w:u w:val="single"/>
                    </w:rPr>
                    <w:t>t/a</w:t>
                  </w:r>
                </w:p>
              </w:tc>
              <w:tc>
                <w:tcPr>
                  <w:tcW w:w="1348" w:type="pct"/>
                  <w:vAlign w:val="center"/>
                </w:tcPr>
                <w:p w14:paraId="4B6F13DB">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u w:val="single"/>
                      <w:lang w:val="en-US" w:eastAsia="zh-CN"/>
                    </w:rPr>
                  </w:pPr>
                  <w:r>
                    <w:rPr>
                      <w:rFonts w:hint="eastAsia" w:eastAsia="宋体"/>
                      <w:color w:val="auto"/>
                      <w:szCs w:val="21"/>
                      <w:highlight w:val="none"/>
                      <w:u w:val="single"/>
                      <w:lang w:val="en-US" w:eastAsia="zh-CN"/>
                    </w:rPr>
                    <w:t>散装存放于车间内</w:t>
                  </w:r>
                </w:p>
              </w:tc>
              <w:tc>
                <w:tcPr>
                  <w:tcW w:w="1190" w:type="pct"/>
                  <w:vAlign w:val="center"/>
                </w:tcPr>
                <w:p w14:paraId="6BAC42FC">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u w:val="single"/>
                      <w:lang w:val="en-US" w:eastAsia="zh-CN"/>
                    </w:rPr>
                  </w:pPr>
                  <w:r>
                    <w:rPr>
                      <w:rFonts w:hint="eastAsia"/>
                      <w:color w:val="auto"/>
                      <w:szCs w:val="21"/>
                      <w:highlight w:val="none"/>
                      <w:u w:val="single"/>
                      <w:lang w:val="en-US" w:eastAsia="zh-CN"/>
                    </w:rPr>
                    <w:t>外购，金属材料</w:t>
                  </w:r>
                </w:p>
              </w:tc>
            </w:tr>
            <w:tr w14:paraId="314B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6CD5122D">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u w:val="single"/>
                      <w:lang w:val="en-US" w:eastAsia="zh-CN"/>
                    </w:rPr>
                  </w:pPr>
                  <w:r>
                    <w:rPr>
                      <w:rFonts w:hint="eastAsia"/>
                      <w:color w:val="auto"/>
                      <w:szCs w:val="21"/>
                      <w:highlight w:val="none"/>
                      <w:u w:val="single"/>
                      <w:lang w:val="en-US" w:eastAsia="zh-CN"/>
                    </w:rPr>
                    <w:t>2</w:t>
                  </w:r>
                </w:p>
              </w:tc>
              <w:tc>
                <w:tcPr>
                  <w:tcW w:w="1132" w:type="pct"/>
                  <w:vAlign w:val="center"/>
                </w:tcPr>
                <w:p w14:paraId="7F161C0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color w:val="auto"/>
                      <w:szCs w:val="21"/>
                      <w:highlight w:val="none"/>
                      <w:u w:val="single"/>
                      <w:lang w:val="en-US" w:eastAsia="zh-CN"/>
                    </w:rPr>
                  </w:pPr>
                  <w:r>
                    <w:rPr>
                      <w:rFonts w:hint="eastAsia" w:eastAsia="宋体" w:cs="Times New Roman"/>
                      <w:b w:val="0"/>
                      <w:bCs w:val="0"/>
                      <w:color w:val="auto"/>
                      <w:sz w:val="21"/>
                      <w:szCs w:val="21"/>
                      <w:highlight w:val="none"/>
                      <w:u w:val="single"/>
                      <w:vertAlign w:val="baseline"/>
                      <w:lang w:val="en-US" w:eastAsia="zh-CN"/>
                    </w:rPr>
                    <w:t>实芯</w:t>
                  </w:r>
                  <w:r>
                    <w:rPr>
                      <w:rFonts w:hint="eastAsia"/>
                      <w:color w:val="auto"/>
                      <w:szCs w:val="21"/>
                      <w:highlight w:val="none"/>
                      <w:u w:val="single"/>
                      <w:lang w:val="en-US" w:eastAsia="zh-CN"/>
                    </w:rPr>
                    <w:t>焊丝</w:t>
                  </w:r>
                </w:p>
              </w:tc>
              <w:tc>
                <w:tcPr>
                  <w:tcW w:w="897" w:type="pct"/>
                  <w:vAlign w:val="center"/>
                </w:tcPr>
                <w:p w14:paraId="45471C88">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u w:val="single"/>
                      <w:lang w:val="en-US" w:eastAsia="zh-CN"/>
                    </w:rPr>
                  </w:pPr>
                  <w:r>
                    <w:rPr>
                      <w:rFonts w:hint="eastAsia"/>
                      <w:color w:val="auto"/>
                      <w:szCs w:val="21"/>
                      <w:highlight w:val="none"/>
                      <w:u w:val="single"/>
                      <w:lang w:val="en-US" w:eastAsia="zh-CN"/>
                    </w:rPr>
                    <w:t>5</w:t>
                  </w:r>
                  <w:r>
                    <w:rPr>
                      <w:rFonts w:hint="eastAsia"/>
                      <w:color w:val="auto"/>
                      <w:szCs w:val="21"/>
                      <w:highlight w:val="none"/>
                      <w:u w:val="single"/>
                    </w:rPr>
                    <w:t>t/a</w:t>
                  </w:r>
                </w:p>
              </w:tc>
              <w:tc>
                <w:tcPr>
                  <w:tcW w:w="1348" w:type="pct"/>
                  <w:vAlign w:val="center"/>
                </w:tcPr>
                <w:p w14:paraId="50007EA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u w:val="single"/>
                      <w:lang w:val="en-US" w:eastAsia="zh-CN"/>
                    </w:rPr>
                  </w:pPr>
                  <w:r>
                    <w:rPr>
                      <w:rFonts w:hint="eastAsia"/>
                      <w:color w:val="auto"/>
                      <w:szCs w:val="21"/>
                      <w:highlight w:val="none"/>
                      <w:u w:val="single"/>
                      <w:lang w:val="en-US" w:eastAsia="zh-CN"/>
                    </w:rPr>
                    <w:t>袋装存放</w:t>
                  </w:r>
                </w:p>
              </w:tc>
              <w:tc>
                <w:tcPr>
                  <w:tcW w:w="1190" w:type="pct"/>
                  <w:vAlign w:val="center"/>
                </w:tcPr>
                <w:p w14:paraId="2A57C5B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u w:val="single"/>
                      <w:lang w:val="en-US" w:eastAsia="zh-CN"/>
                    </w:rPr>
                  </w:pPr>
                  <w:r>
                    <w:rPr>
                      <w:rFonts w:hint="eastAsia"/>
                      <w:color w:val="auto"/>
                      <w:szCs w:val="21"/>
                      <w:highlight w:val="none"/>
                      <w:u w:val="single"/>
                      <w:lang w:val="en-US" w:eastAsia="zh-CN"/>
                    </w:rPr>
                    <w:t>外购，焊接使用</w:t>
                  </w:r>
                </w:p>
              </w:tc>
            </w:tr>
            <w:tr w14:paraId="246A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1608962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u w:val="single"/>
                      <w:lang w:val="en-US" w:eastAsia="zh-CN"/>
                    </w:rPr>
                  </w:pPr>
                  <w:r>
                    <w:rPr>
                      <w:rFonts w:hint="eastAsia"/>
                      <w:color w:val="auto"/>
                      <w:szCs w:val="21"/>
                      <w:highlight w:val="none"/>
                      <w:u w:val="single"/>
                      <w:lang w:val="en-US" w:eastAsia="zh-CN"/>
                    </w:rPr>
                    <w:t>3</w:t>
                  </w:r>
                </w:p>
              </w:tc>
              <w:tc>
                <w:tcPr>
                  <w:tcW w:w="1132" w:type="pct"/>
                  <w:vAlign w:val="center"/>
                </w:tcPr>
                <w:p w14:paraId="3517235B">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u w:val="single"/>
                      <w:lang w:val="en-US" w:eastAsia="zh-CN"/>
                    </w:rPr>
                  </w:pPr>
                  <w:r>
                    <w:rPr>
                      <w:rFonts w:hint="eastAsia"/>
                      <w:color w:val="auto"/>
                      <w:szCs w:val="21"/>
                      <w:highlight w:val="none"/>
                      <w:u w:val="single"/>
                      <w:lang w:val="en-US" w:eastAsia="zh-CN"/>
                    </w:rPr>
                    <w:t>振动电机</w:t>
                  </w:r>
                </w:p>
              </w:tc>
              <w:tc>
                <w:tcPr>
                  <w:tcW w:w="897" w:type="pct"/>
                  <w:vAlign w:val="center"/>
                </w:tcPr>
                <w:p w14:paraId="23876954">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u w:val="single"/>
                      <w:lang w:val="en-US" w:eastAsia="zh-CN"/>
                    </w:rPr>
                  </w:pPr>
                  <w:r>
                    <w:rPr>
                      <w:rFonts w:hint="eastAsia"/>
                      <w:color w:val="auto"/>
                      <w:szCs w:val="21"/>
                      <w:highlight w:val="none"/>
                      <w:u w:val="single"/>
                      <w:lang w:val="en-US" w:eastAsia="zh-CN"/>
                    </w:rPr>
                    <w:t>1600台/a</w:t>
                  </w:r>
                </w:p>
              </w:tc>
              <w:tc>
                <w:tcPr>
                  <w:tcW w:w="1348" w:type="pct"/>
                  <w:vAlign w:val="center"/>
                </w:tcPr>
                <w:p w14:paraId="76A1D6A4">
                  <w:pPr>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u w:val="single"/>
                      <w:lang w:val="en-US" w:eastAsia="zh-CN"/>
                    </w:rPr>
                  </w:pPr>
                  <w:r>
                    <w:rPr>
                      <w:rFonts w:hint="eastAsia" w:eastAsia="宋体"/>
                      <w:color w:val="auto"/>
                      <w:szCs w:val="21"/>
                      <w:highlight w:val="none"/>
                      <w:u w:val="single"/>
                      <w:lang w:val="en-US" w:eastAsia="zh-CN"/>
                    </w:rPr>
                    <w:t>散装存放于车间内</w:t>
                  </w:r>
                </w:p>
              </w:tc>
              <w:tc>
                <w:tcPr>
                  <w:tcW w:w="1190" w:type="pct"/>
                  <w:vAlign w:val="center"/>
                </w:tcPr>
                <w:p w14:paraId="6880157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u w:val="single"/>
                      <w:lang w:val="en-US" w:eastAsia="zh-CN"/>
                    </w:rPr>
                  </w:pPr>
                  <w:r>
                    <w:rPr>
                      <w:rFonts w:hint="eastAsia"/>
                      <w:color w:val="auto"/>
                      <w:szCs w:val="21"/>
                      <w:highlight w:val="none"/>
                      <w:u w:val="single"/>
                      <w:lang w:val="en-US" w:eastAsia="zh-CN"/>
                    </w:rPr>
                    <w:t>外购，设备配件</w:t>
                  </w:r>
                </w:p>
              </w:tc>
            </w:tr>
            <w:tr w14:paraId="2513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514F75B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u w:val="single"/>
                      <w:lang w:val="en-US" w:eastAsia="zh-CN"/>
                    </w:rPr>
                  </w:pPr>
                  <w:r>
                    <w:rPr>
                      <w:rFonts w:hint="eastAsia"/>
                      <w:color w:val="auto"/>
                      <w:szCs w:val="21"/>
                      <w:highlight w:val="none"/>
                      <w:u w:val="single"/>
                      <w:lang w:val="en-US" w:eastAsia="zh-CN"/>
                    </w:rPr>
                    <w:t>4</w:t>
                  </w:r>
                </w:p>
              </w:tc>
              <w:tc>
                <w:tcPr>
                  <w:tcW w:w="1132" w:type="pct"/>
                  <w:vAlign w:val="center"/>
                </w:tcPr>
                <w:p w14:paraId="6EED6A6C">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u w:val="single"/>
                      <w:lang w:val="en-US" w:eastAsia="zh-CN"/>
                    </w:rPr>
                  </w:pPr>
                  <w:r>
                    <w:rPr>
                      <w:rFonts w:hint="eastAsia"/>
                      <w:color w:val="auto"/>
                      <w:szCs w:val="21"/>
                      <w:highlight w:val="none"/>
                      <w:u w:val="single"/>
                      <w:lang w:val="en-US" w:eastAsia="zh-CN"/>
                    </w:rPr>
                    <w:t>控制箱</w:t>
                  </w:r>
                </w:p>
              </w:tc>
              <w:tc>
                <w:tcPr>
                  <w:tcW w:w="897" w:type="pct"/>
                  <w:vAlign w:val="center"/>
                </w:tcPr>
                <w:p w14:paraId="6353C28D">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u w:val="single"/>
                      <w:lang w:val="en-US" w:eastAsia="zh-CN"/>
                    </w:rPr>
                  </w:pPr>
                  <w:r>
                    <w:rPr>
                      <w:rFonts w:hint="eastAsia"/>
                      <w:color w:val="auto"/>
                      <w:szCs w:val="21"/>
                      <w:highlight w:val="none"/>
                      <w:u w:val="single"/>
                      <w:lang w:val="en-US" w:eastAsia="zh-CN"/>
                    </w:rPr>
                    <w:t>500台/a</w:t>
                  </w:r>
                </w:p>
              </w:tc>
              <w:tc>
                <w:tcPr>
                  <w:tcW w:w="1348" w:type="pct"/>
                  <w:shd w:val="clear" w:color="auto" w:fill="auto"/>
                  <w:vAlign w:val="center"/>
                </w:tcPr>
                <w:p w14:paraId="15A6A763">
                  <w:pPr>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eastAsia="宋体"/>
                      <w:color w:val="auto"/>
                      <w:szCs w:val="21"/>
                      <w:highlight w:val="none"/>
                      <w:u w:val="single"/>
                      <w:lang w:val="en-US" w:eastAsia="zh-CN"/>
                    </w:rPr>
                    <w:t>散装存放于车间内</w:t>
                  </w:r>
                </w:p>
              </w:tc>
              <w:tc>
                <w:tcPr>
                  <w:tcW w:w="1190" w:type="pct"/>
                  <w:shd w:val="clear" w:color="auto" w:fill="auto"/>
                  <w:vAlign w:val="center"/>
                </w:tcPr>
                <w:p w14:paraId="43BC16E4">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color w:val="auto"/>
                      <w:szCs w:val="21"/>
                      <w:highlight w:val="none"/>
                      <w:u w:val="single"/>
                      <w:lang w:val="en-US" w:eastAsia="zh-CN"/>
                    </w:rPr>
                    <w:t>外购，设备配件</w:t>
                  </w:r>
                </w:p>
              </w:tc>
            </w:tr>
            <w:tr w14:paraId="2308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1DAAC79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u w:val="single"/>
                      <w:lang w:val="en-US" w:eastAsia="zh-CN"/>
                    </w:rPr>
                  </w:pPr>
                  <w:r>
                    <w:rPr>
                      <w:rFonts w:hint="eastAsia"/>
                      <w:color w:val="auto"/>
                      <w:szCs w:val="21"/>
                      <w:highlight w:val="none"/>
                      <w:u w:val="single"/>
                      <w:lang w:val="en-US" w:eastAsia="zh-CN"/>
                    </w:rPr>
                    <w:t>5</w:t>
                  </w:r>
                </w:p>
              </w:tc>
              <w:tc>
                <w:tcPr>
                  <w:tcW w:w="1132" w:type="pct"/>
                  <w:vAlign w:val="center"/>
                </w:tcPr>
                <w:p w14:paraId="44C459EF">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u w:val="single"/>
                      <w:lang w:val="en-US" w:eastAsia="zh-CN"/>
                    </w:rPr>
                  </w:pPr>
                  <w:r>
                    <w:rPr>
                      <w:rFonts w:hint="eastAsia"/>
                      <w:color w:val="auto"/>
                      <w:szCs w:val="21"/>
                      <w:highlight w:val="none"/>
                      <w:u w:val="single"/>
                      <w:lang w:val="en-US" w:eastAsia="zh-CN"/>
                    </w:rPr>
                    <w:t>筛网拉板</w:t>
                  </w:r>
                </w:p>
              </w:tc>
              <w:tc>
                <w:tcPr>
                  <w:tcW w:w="897" w:type="pct"/>
                  <w:vAlign w:val="center"/>
                </w:tcPr>
                <w:p w14:paraId="047A780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eastAsia="宋体"/>
                      <w:color w:val="auto"/>
                      <w:szCs w:val="21"/>
                      <w:highlight w:val="none"/>
                      <w:u w:val="single"/>
                      <w:lang w:val="en-US" w:eastAsia="zh-CN"/>
                    </w:rPr>
                  </w:pPr>
                  <w:r>
                    <w:rPr>
                      <w:rFonts w:hint="eastAsia"/>
                      <w:color w:val="auto"/>
                      <w:szCs w:val="21"/>
                      <w:highlight w:val="none"/>
                      <w:u w:val="single"/>
                      <w:lang w:val="en-US" w:eastAsia="zh-CN"/>
                    </w:rPr>
                    <w:t>2400块/a</w:t>
                  </w:r>
                </w:p>
              </w:tc>
              <w:tc>
                <w:tcPr>
                  <w:tcW w:w="1348" w:type="pct"/>
                  <w:shd w:val="clear" w:color="auto" w:fill="auto"/>
                  <w:vAlign w:val="center"/>
                </w:tcPr>
                <w:p w14:paraId="62C72F40">
                  <w:pPr>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eastAsia="宋体"/>
                      <w:color w:val="auto"/>
                      <w:szCs w:val="21"/>
                      <w:highlight w:val="none"/>
                      <w:u w:val="single"/>
                      <w:lang w:val="en-US" w:eastAsia="zh-CN"/>
                    </w:rPr>
                    <w:t>散装存放于车间内</w:t>
                  </w:r>
                </w:p>
              </w:tc>
              <w:tc>
                <w:tcPr>
                  <w:tcW w:w="1190" w:type="pct"/>
                  <w:shd w:val="clear" w:color="auto" w:fill="auto"/>
                  <w:vAlign w:val="center"/>
                </w:tcPr>
                <w:p w14:paraId="29B107B1">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宋体" w:eastAsia="宋体" w:cs="Times New Roman"/>
                      <w:color w:val="auto"/>
                      <w:szCs w:val="21"/>
                      <w:highlight w:val="none"/>
                      <w:u w:val="single"/>
                      <w:lang w:val="en-US" w:eastAsia="zh-CN"/>
                    </w:rPr>
                  </w:pPr>
                  <w:r>
                    <w:rPr>
                      <w:rFonts w:hint="eastAsia" w:ascii="Times New Roman" w:hAnsi="宋体" w:eastAsia="宋体" w:cs="Times New Roman"/>
                      <w:color w:val="auto"/>
                      <w:szCs w:val="21"/>
                      <w:highlight w:val="none"/>
                      <w:u w:val="single"/>
                      <w:lang w:val="en-US" w:eastAsia="zh-CN"/>
                    </w:rPr>
                    <w:t>外购，设备配件</w:t>
                  </w:r>
                </w:p>
              </w:tc>
            </w:tr>
            <w:tr w14:paraId="0CBE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6F3C445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u w:val="single"/>
                      <w:lang w:val="en-US" w:eastAsia="zh-CN"/>
                    </w:rPr>
                  </w:pPr>
                  <w:r>
                    <w:rPr>
                      <w:rFonts w:hint="eastAsia"/>
                      <w:color w:val="auto"/>
                      <w:szCs w:val="21"/>
                      <w:highlight w:val="none"/>
                      <w:u w:val="single"/>
                      <w:lang w:val="en-US" w:eastAsia="zh-CN"/>
                    </w:rPr>
                    <w:t>6</w:t>
                  </w:r>
                </w:p>
              </w:tc>
              <w:tc>
                <w:tcPr>
                  <w:tcW w:w="1132" w:type="pct"/>
                  <w:vAlign w:val="center"/>
                </w:tcPr>
                <w:p w14:paraId="4B96D86F">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u w:val="single"/>
                      <w:lang w:val="en-US" w:eastAsia="zh-CN"/>
                    </w:rPr>
                  </w:pPr>
                  <w:r>
                    <w:rPr>
                      <w:rFonts w:hint="eastAsia"/>
                      <w:color w:val="auto"/>
                      <w:szCs w:val="21"/>
                      <w:highlight w:val="none"/>
                      <w:u w:val="single"/>
                      <w:lang w:val="en-US" w:eastAsia="zh-CN"/>
                    </w:rPr>
                    <w:t>振动筛筛网</w:t>
                  </w:r>
                </w:p>
              </w:tc>
              <w:tc>
                <w:tcPr>
                  <w:tcW w:w="897" w:type="pct"/>
                  <w:shd w:val="clear" w:color="auto" w:fill="auto"/>
                  <w:vAlign w:val="center"/>
                </w:tcPr>
                <w:p w14:paraId="0C7E415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color w:val="auto"/>
                      <w:szCs w:val="21"/>
                      <w:highlight w:val="none"/>
                      <w:u w:val="single"/>
                      <w:lang w:val="en-US" w:eastAsia="zh-CN"/>
                    </w:rPr>
                    <w:t>4000张/a</w:t>
                  </w:r>
                </w:p>
              </w:tc>
              <w:tc>
                <w:tcPr>
                  <w:tcW w:w="1348" w:type="pct"/>
                  <w:shd w:val="clear" w:color="auto" w:fill="auto"/>
                  <w:vAlign w:val="center"/>
                </w:tcPr>
                <w:p w14:paraId="24C2CBF6">
                  <w:pPr>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eastAsia="宋体"/>
                      <w:color w:val="auto"/>
                      <w:szCs w:val="21"/>
                      <w:highlight w:val="none"/>
                      <w:u w:val="single"/>
                      <w:lang w:val="en-US" w:eastAsia="zh-CN"/>
                    </w:rPr>
                    <w:t>散装存放于车间内</w:t>
                  </w:r>
                </w:p>
              </w:tc>
              <w:tc>
                <w:tcPr>
                  <w:tcW w:w="1190" w:type="pct"/>
                  <w:shd w:val="clear" w:color="auto" w:fill="auto"/>
                  <w:vAlign w:val="center"/>
                </w:tcPr>
                <w:p w14:paraId="4A997A6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宋体" w:eastAsia="宋体" w:cs="Times New Roman"/>
                      <w:color w:val="auto"/>
                      <w:szCs w:val="21"/>
                      <w:highlight w:val="none"/>
                      <w:u w:val="single"/>
                      <w:lang w:val="en-US" w:eastAsia="zh-CN"/>
                    </w:rPr>
                  </w:pPr>
                  <w:r>
                    <w:rPr>
                      <w:rFonts w:hint="eastAsia" w:ascii="Times New Roman" w:hAnsi="宋体" w:eastAsia="宋体" w:cs="Times New Roman"/>
                      <w:color w:val="auto"/>
                      <w:szCs w:val="21"/>
                      <w:highlight w:val="none"/>
                      <w:u w:val="single"/>
                      <w:lang w:val="en-US" w:eastAsia="zh-CN"/>
                    </w:rPr>
                    <w:t>外购，设备配件</w:t>
                  </w:r>
                </w:p>
              </w:tc>
            </w:tr>
            <w:tr w14:paraId="5D72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4F1B26CF">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u w:val="single"/>
                      <w:lang w:val="en-US" w:eastAsia="zh-CN"/>
                    </w:rPr>
                  </w:pPr>
                  <w:r>
                    <w:rPr>
                      <w:rFonts w:hint="eastAsia"/>
                      <w:color w:val="auto"/>
                      <w:szCs w:val="21"/>
                      <w:highlight w:val="none"/>
                      <w:u w:val="single"/>
                      <w:lang w:val="en-US" w:eastAsia="zh-CN"/>
                    </w:rPr>
                    <w:t>7</w:t>
                  </w:r>
                </w:p>
              </w:tc>
              <w:tc>
                <w:tcPr>
                  <w:tcW w:w="1132" w:type="pct"/>
                  <w:vAlign w:val="center"/>
                </w:tcPr>
                <w:p w14:paraId="231B2A3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color w:val="auto"/>
                      <w:szCs w:val="21"/>
                      <w:highlight w:val="none"/>
                      <w:u w:val="single"/>
                      <w:lang w:val="en-US" w:eastAsia="zh-CN"/>
                    </w:rPr>
                  </w:pPr>
                  <w:r>
                    <w:rPr>
                      <w:rFonts w:hint="eastAsia"/>
                      <w:color w:val="auto"/>
                      <w:szCs w:val="21"/>
                      <w:highlight w:val="none"/>
                      <w:u w:val="single"/>
                      <w:lang w:val="en-US" w:eastAsia="zh-CN"/>
                    </w:rPr>
                    <w:t>切削液</w:t>
                  </w:r>
                </w:p>
              </w:tc>
              <w:tc>
                <w:tcPr>
                  <w:tcW w:w="897" w:type="pct"/>
                  <w:shd w:val="clear" w:color="auto" w:fill="auto"/>
                  <w:vAlign w:val="center"/>
                </w:tcPr>
                <w:p w14:paraId="770B82E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u w:val="single"/>
                      <w:lang w:val="en-US" w:eastAsia="zh-CN"/>
                    </w:rPr>
                  </w:pPr>
                  <w:r>
                    <w:rPr>
                      <w:rFonts w:hint="eastAsia"/>
                      <w:color w:val="auto"/>
                      <w:szCs w:val="21"/>
                      <w:highlight w:val="none"/>
                      <w:u w:val="single"/>
                      <w:lang w:val="en-US" w:eastAsia="zh-CN"/>
                    </w:rPr>
                    <w:t>0.2</w:t>
                  </w:r>
                  <w:r>
                    <w:rPr>
                      <w:rFonts w:hint="eastAsia"/>
                      <w:color w:val="auto"/>
                      <w:szCs w:val="21"/>
                      <w:highlight w:val="none"/>
                      <w:u w:val="single"/>
                    </w:rPr>
                    <w:t>t/a</w:t>
                  </w:r>
                </w:p>
              </w:tc>
              <w:tc>
                <w:tcPr>
                  <w:tcW w:w="1348" w:type="pct"/>
                  <w:shd w:val="clear" w:color="auto" w:fill="auto"/>
                  <w:vAlign w:val="center"/>
                </w:tcPr>
                <w:p w14:paraId="66DAC785">
                  <w:pPr>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eastAsia="宋体"/>
                      <w:color w:val="auto"/>
                      <w:szCs w:val="21"/>
                      <w:highlight w:val="none"/>
                      <w:u w:val="single"/>
                      <w:lang w:val="en-US" w:eastAsia="zh-CN"/>
                    </w:rPr>
                  </w:pPr>
                  <w:r>
                    <w:rPr>
                      <w:rFonts w:hint="eastAsia" w:eastAsia="宋体"/>
                      <w:color w:val="auto"/>
                      <w:szCs w:val="21"/>
                      <w:highlight w:val="none"/>
                      <w:u w:val="single"/>
                      <w:lang w:val="en-US" w:eastAsia="zh-CN"/>
                    </w:rPr>
                    <w:t>桶装存放</w:t>
                  </w:r>
                  <w:r>
                    <w:rPr>
                      <w:rFonts w:hint="eastAsia"/>
                      <w:color w:val="auto"/>
                      <w:szCs w:val="21"/>
                      <w:highlight w:val="none"/>
                      <w:u w:val="single"/>
                      <w:lang w:val="en-US" w:eastAsia="zh-CN"/>
                    </w:rPr>
                    <w:t>，20kg/桶</w:t>
                  </w:r>
                </w:p>
              </w:tc>
              <w:tc>
                <w:tcPr>
                  <w:tcW w:w="1190" w:type="pct"/>
                  <w:shd w:val="clear" w:color="auto" w:fill="auto"/>
                  <w:vAlign w:val="center"/>
                </w:tcPr>
                <w:p w14:paraId="5F6B36E0">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宋体" w:eastAsia="宋体" w:cs="Times New Roman"/>
                      <w:color w:val="auto"/>
                      <w:szCs w:val="21"/>
                      <w:highlight w:val="none"/>
                      <w:u w:val="single"/>
                      <w:lang w:val="en-US" w:eastAsia="zh-CN"/>
                    </w:rPr>
                  </w:pPr>
                  <w:r>
                    <w:rPr>
                      <w:rFonts w:hint="default" w:ascii="Times New Roman" w:hAnsi="宋体" w:eastAsia="宋体" w:cs="Times New Roman"/>
                      <w:color w:val="auto"/>
                      <w:szCs w:val="21"/>
                      <w:highlight w:val="none"/>
                      <w:u w:val="single"/>
                      <w:lang w:val="en-US" w:eastAsia="zh-CN"/>
                    </w:rPr>
                    <w:t>切割使用</w:t>
                  </w:r>
                </w:p>
              </w:tc>
            </w:tr>
            <w:tr w14:paraId="750B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10AAFC52">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olor w:val="auto"/>
                      <w:szCs w:val="21"/>
                      <w:highlight w:val="none"/>
                      <w:u w:val="single"/>
                      <w:lang w:val="en-US" w:eastAsia="zh-CN"/>
                    </w:rPr>
                  </w:pPr>
                  <w:r>
                    <w:rPr>
                      <w:rFonts w:hint="eastAsia"/>
                      <w:color w:val="auto"/>
                      <w:szCs w:val="21"/>
                      <w:highlight w:val="none"/>
                      <w:u w:val="single"/>
                      <w:lang w:val="en-US" w:eastAsia="zh-CN"/>
                    </w:rPr>
                    <w:t>8</w:t>
                  </w:r>
                </w:p>
              </w:tc>
              <w:tc>
                <w:tcPr>
                  <w:tcW w:w="1132" w:type="pct"/>
                  <w:shd w:val="clear" w:color="auto" w:fill="auto"/>
                  <w:vAlign w:val="center"/>
                </w:tcPr>
                <w:p w14:paraId="78CF6AC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color w:val="auto"/>
                      <w:szCs w:val="21"/>
                      <w:highlight w:val="none"/>
                      <w:u w:val="single"/>
                      <w:lang w:val="en-US" w:eastAsia="zh-CN"/>
                    </w:rPr>
                    <w:t>机油</w:t>
                  </w:r>
                </w:p>
              </w:tc>
              <w:tc>
                <w:tcPr>
                  <w:tcW w:w="897" w:type="pct"/>
                  <w:shd w:val="clear" w:color="auto" w:fill="auto"/>
                  <w:vAlign w:val="center"/>
                </w:tcPr>
                <w:p w14:paraId="5DC9A4F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宋体" w:eastAsia="宋体" w:cs="Times New Roman"/>
                      <w:color w:val="auto"/>
                      <w:kern w:val="2"/>
                      <w:sz w:val="21"/>
                      <w:szCs w:val="21"/>
                      <w:highlight w:val="none"/>
                      <w:u w:val="single"/>
                      <w:lang w:val="en-US" w:eastAsia="zh-CN" w:bidi="ar-SA"/>
                    </w:rPr>
                  </w:pPr>
                  <w:r>
                    <w:rPr>
                      <w:rFonts w:hint="eastAsia"/>
                      <w:color w:val="auto"/>
                      <w:szCs w:val="21"/>
                      <w:highlight w:val="none"/>
                      <w:u w:val="single"/>
                      <w:lang w:val="en-US" w:eastAsia="zh-CN"/>
                    </w:rPr>
                    <w:t>0.015</w:t>
                  </w:r>
                  <w:r>
                    <w:rPr>
                      <w:rFonts w:hint="eastAsia"/>
                      <w:color w:val="auto"/>
                      <w:szCs w:val="21"/>
                      <w:highlight w:val="none"/>
                      <w:u w:val="single"/>
                    </w:rPr>
                    <w:t>t/a</w:t>
                  </w:r>
                </w:p>
              </w:tc>
              <w:tc>
                <w:tcPr>
                  <w:tcW w:w="1348" w:type="pct"/>
                  <w:shd w:val="clear" w:color="auto" w:fill="auto"/>
                  <w:vAlign w:val="center"/>
                </w:tcPr>
                <w:p w14:paraId="5DF67E6A">
                  <w:pPr>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Times New Roman" w:eastAsia="宋体" w:cs="Times New Roman"/>
                      <w:color w:val="auto"/>
                      <w:kern w:val="2"/>
                      <w:sz w:val="21"/>
                      <w:szCs w:val="24"/>
                      <w:highlight w:val="none"/>
                      <w:u w:val="single"/>
                      <w:lang w:val="en-US" w:eastAsia="zh-CN" w:bidi="ar-SA"/>
                    </w:rPr>
                  </w:pPr>
                  <w:r>
                    <w:rPr>
                      <w:rFonts w:hint="eastAsia" w:eastAsia="宋体"/>
                      <w:color w:val="auto"/>
                      <w:szCs w:val="21"/>
                      <w:highlight w:val="none"/>
                      <w:u w:val="single"/>
                      <w:lang w:val="en-US" w:eastAsia="zh-CN"/>
                    </w:rPr>
                    <w:t>桶装存放</w:t>
                  </w:r>
                  <w:r>
                    <w:rPr>
                      <w:rFonts w:hint="eastAsia"/>
                      <w:color w:val="auto"/>
                      <w:szCs w:val="21"/>
                      <w:highlight w:val="none"/>
                      <w:u w:val="single"/>
                      <w:lang w:val="en-US" w:eastAsia="zh-CN"/>
                    </w:rPr>
                    <w:t>，20kg/桶</w:t>
                  </w:r>
                </w:p>
              </w:tc>
              <w:tc>
                <w:tcPr>
                  <w:tcW w:w="1190" w:type="pct"/>
                  <w:shd w:val="clear" w:color="auto" w:fill="auto"/>
                  <w:vAlign w:val="center"/>
                </w:tcPr>
                <w:p w14:paraId="3E4810BB">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ascii="Times New Roman" w:hAnsi="宋体" w:eastAsia="宋体" w:cs="Times New Roman"/>
                      <w:color w:val="auto"/>
                      <w:kern w:val="2"/>
                      <w:sz w:val="21"/>
                      <w:szCs w:val="21"/>
                      <w:highlight w:val="none"/>
                      <w:u w:val="single"/>
                      <w:lang w:val="en-US" w:eastAsia="zh-CN" w:bidi="ar-SA"/>
                    </w:rPr>
                  </w:pPr>
                  <w:r>
                    <w:rPr>
                      <w:rFonts w:hint="default" w:ascii="Times New Roman" w:hAnsi="宋体" w:eastAsia="宋体" w:cs="Times New Roman"/>
                      <w:color w:val="auto"/>
                      <w:szCs w:val="21"/>
                      <w:highlight w:val="none"/>
                      <w:u w:val="single"/>
                      <w:lang w:val="en-US" w:eastAsia="zh-CN"/>
                    </w:rPr>
                    <w:t>设备维护</w:t>
                  </w:r>
                </w:p>
              </w:tc>
            </w:tr>
          </w:tbl>
          <w:p w14:paraId="7D70D24C">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default"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2.3 现有项目生产工艺流程及产污环节</w:t>
            </w:r>
          </w:p>
          <w:p w14:paraId="6B3A7429">
            <w:pPr>
              <w:keepNext w:val="0"/>
              <w:keepLines w:val="0"/>
              <w:pageBreakBefore w:val="0"/>
              <w:widowControl w:val="0"/>
              <w:tabs>
                <w:tab w:val="left" w:pos="7920"/>
              </w:tabs>
              <w:kinsoku/>
              <w:wordWrap/>
              <w:overflowPunct/>
              <w:topLinePunct w:val="0"/>
              <w:autoSpaceDE/>
              <w:autoSpaceDN/>
              <w:bidi w:val="0"/>
              <w:adjustRightInd/>
              <w:snapToGrid/>
              <w:spacing w:line="360" w:lineRule="auto"/>
              <w:jc w:val="center"/>
              <w:textAlignment w:val="auto"/>
              <w:rPr>
                <w:rFonts w:hint="eastAsia" w:cs="Times New Roman"/>
                <w:b/>
                <w:bCs/>
                <w:color w:val="auto"/>
                <w:sz w:val="24"/>
                <w:szCs w:val="22"/>
                <w:highlight w:val="none"/>
                <w:lang w:val="en-US" w:eastAsia="zh-CN"/>
              </w:rPr>
            </w:pPr>
            <w:r>
              <w:rPr>
                <w:rFonts w:hint="eastAsia" w:cs="Times New Roman"/>
                <w:b/>
                <w:bCs/>
                <w:color w:val="auto"/>
                <w:sz w:val="24"/>
                <w:szCs w:val="22"/>
                <w:highlight w:val="none"/>
                <w:lang w:val="en-US" w:eastAsia="zh-CN"/>
              </w:rPr>
              <w:drawing>
                <wp:inline distT="0" distB="0" distL="114300" distR="114300">
                  <wp:extent cx="4662805" cy="1170305"/>
                  <wp:effectExtent l="0" t="0" r="4445" b="0"/>
                  <wp:docPr id="67" name="ECB019B1-382A-4266-B25C-5B523AA43C14-4" descr="C:/Users/ASUS/AppData/Local/Temp/wps.dDaCh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CB019B1-382A-4266-B25C-5B523AA43C14-4" descr="C:/Users/ASUS/AppData/Local/Temp/wps.dDaChRwps"/>
                          <pic:cNvPicPr>
                            <a:picLocks noChangeAspect="1"/>
                          </pic:cNvPicPr>
                        </pic:nvPicPr>
                        <pic:blipFill>
                          <a:blip r:embed="rId20"/>
                          <a:srcRect l="2470" t="2182" r="2080" b="6701"/>
                          <a:stretch>
                            <a:fillRect/>
                          </a:stretch>
                        </pic:blipFill>
                        <pic:spPr>
                          <a:xfrm>
                            <a:off x="0" y="0"/>
                            <a:ext cx="4662805" cy="1170305"/>
                          </a:xfrm>
                          <a:prstGeom prst="rect">
                            <a:avLst/>
                          </a:prstGeom>
                        </pic:spPr>
                      </pic:pic>
                    </a:graphicData>
                  </a:graphic>
                </wp:inline>
              </w:drawing>
            </w:r>
          </w:p>
          <w:p w14:paraId="32D233A1">
            <w:pPr>
              <w:keepNext w:val="0"/>
              <w:keepLines w:val="0"/>
              <w:pageBreakBefore w:val="0"/>
              <w:widowControl w:val="0"/>
              <w:tabs>
                <w:tab w:val="left" w:pos="7920"/>
              </w:tabs>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val="0"/>
                <w:bCs w:val="0"/>
                <w:color w:val="auto"/>
                <w:sz w:val="21"/>
                <w:szCs w:val="20"/>
                <w:highlight w:val="none"/>
                <w:lang w:val="en-US" w:eastAsia="zh-CN"/>
              </w:rPr>
            </w:pPr>
            <w:r>
              <w:rPr>
                <w:rFonts w:hint="eastAsia" w:ascii="Times New Roman" w:hAnsi="Times New Roman" w:cs="Times New Roman"/>
                <w:b w:val="0"/>
                <w:bCs w:val="0"/>
                <w:color w:val="auto"/>
                <w:sz w:val="21"/>
                <w:szCs w:val="20"/>
                <w:highlight w:val="none"/>
                <w:lang w:val="en-US" w:eastAsia="zh-CN"/>
              </w:rPr>
              <w:t>图2</w:t>
            </w:r>
            <w:r>
              <w:rPr>
                <w:rFonts w:hint="eastAsia" w:cs="Times New Roman"/>
                <w:b w:val="0"/>
                <w:bCs w:val="0"/>
                <w:color w:val="auto"/>
                <w:sz w:val="21"/>
                <w:szCs w:val="20"/>
                <w:highlight w:val="none"/>
                <w:lang w:val="en-US" w:eastAsia="zh-CN"/>
              </w:rPr>
              <w:t>-5</w:t>
            </w:r>
            <w:r>
              <w:rPr>
                <w:rFonts w:hint="eastAsia" w:ascii="Times New Roman" w:hAnsi="Times New Roman" w:cs="Times New Roman"/>
                <w:b w:val="0"/>
                <w:bCs w:val="0"/>
                <w:color w:val="auto"/>
                <w:sz w:val="21"/>
                <w:szCs w:val="20"/>
                <w:highlight w:val="none"/>
                <w:lang w:val="en-US" w:eastAsia="zh-CN"/>
              </w:rPr>
              <w:t xml:space="preserve">   </w:t>
            </w:r>
            <w:r>
              <w:rPr>
                <w:rFonts w:hint="eastAsia" w:cs="Times New Roman"/>
                <w:b w:val="0"/>
                <w:bCs w:val="0"/>
                <w:color w:val="auto"/>
                <w:sz w:val="21"/>
                <w:szCs w:val="20"/>
                <w:highlight w:val="none"/>
                <w:lang w:val="en-US" w:eastAsia="zh-CN"/>
              </w:rPr>
              <w:t>现有项目</w:t>
            </w:r>
            <w:r>
              <w:rPr>
                <w:rFonts w:hint="eastAsia" w:ascii="Times New Roman" w:hAnsi="Times New Roman" w:cs="Times New Roman"/>
                <w:b w:val="0"/>
                <w:bCs w:val="0"/>
                <w:color w:val="auto"/>
                <w:sz w:val="21"/>
                <w:szCs w:val="20"/>
                <w:highlight w:val="none"/>
                <w:lang w:val="en-US" w:eastAsia="zh-CN"/>
              </w:rPr>
              <w:t>工艺流程及产污环节示意图</w:t>
            </w:r>
          </w:p>
          <w:p w14:paraId="21C3E705">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2"/>
                <w:highlight w:val="none"/>
                <w:u w:val="single"/>
                <w:lang w:val="en-US" w:eastAsia="zh-CN"/>
              </w:rPr>
            </w:pPr>
            <w:r>
              <w:rPr>
                <w:rFonts w:hint="default" w:ascii="Times New Roman" w:hAnsi="Times New Roman" w:eastAsia="宋体" w:cs="Times New Roman"/>
                <w:color w:val="auto"/>
                <w:sz w:val="24"/>
                <w:szCs w:val="22"/>
                <w:highlight w:val="none"/>
                <w:u w:val="single"/>
                <w:lang w:val="en-US" w:eastAsia="zh-CN"/>
              </w:rPr>
              <w:t>工艺流程简述</w:t>
            </w:r>
            <w:r>
              <w:rPr>
                <w:rFonts w:hint="default" w:ascii="Times New Roman" w:hAnsi="Times New Roman" w:cs="Times New Roman"/>
                <w:color w:val="auto"/>
                <w:sz w:val="24"/>
                <w:szCs w:val="22"/>
                <w:highlight w:val="none"/>
                <w:u w:val="single"/>
                <w:lang w:val="en-US" w:eastAsia="zh-CN"/>
              </w:rPr>
              <w:t>：</w:t>
            </w:r>
          </w:p>
          <w:p w14:paraId="717B62AB">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2"/>
                <w:highlight w:val="none"/>
                <w:u w:val="single"/>
                <w:lang w:val="en-US" w:eastAsia="zh-CN"/>
              </w:rPr>
            </w:pPr>
            <w:r>
              <w:rPr>
                <w:rFonts w:hint="eastAsia" w:cs="Times New Roman"/>
                <w:color w:val="auto"/>
                <w:sz w:val="24"/>
                <w:szCs w:val="22"/>
                <w:highlight w:val="none"/>
                <w:u w:val="single"/>
                <w:lang w:val="en-US" w:eastAsia="zh-CN"/>
              </w:rPr>
              <w:t>①切割</w:t>
            </w:r>
            <w:r>
              <w:rPr>
                <w:rFonts w:hint="default" w:ascii="Times New Roman" w:hAnsi="Times New Roman" w:cs="Times New Roman"/>
                <w:color w:val="auto"/>
                <w:sz w:val="24"/>
                <w:szCs w:val="22"/>
                <w:highlight w:val="none"/>
                <w:u w:val="single"/>
                <w:lang w:val="en-US" w:eastAsia="zh-CN"/>
              </w:rPr>
              <w:t>：外购</w:t>
            </w:r>
            <w:r>
              <w:rPr>
                <w:rFonts w:hint="eastAsia" w:cs="Times New Roman"/>
                <w:color w:val="auto"/>
                <w:sz w:val="24"/>
                <w:szCs w:val="22"/>
                <w:highlight w:val="none"/>
                <w:u w:val="single"/>
                <w:lang w:val="en-US" w:eastAsia="zh-CN"/>
              </w:rPr>
              <w:t>已打磨抛丸好的型材、板材</w:t>
            </w:r>
            <w:r>
              <w:rPr>
                <w:rFonts w:hint="default" w:ascii="Times New Roman" w:hAnsi="Times New Roman" w:cs="Times New Roman"/>
                <w:color w:val="auto"/>
                <w:sz w:val="24"/>
                <w:szCs w:val="22"/>
                <w:highlight w:val="none"/>
                <w:u w:val="single"/>
                <w:lang w:val="en-US" w:eastAsia="zh-CN"/>
              </w:rPr>
              <w:t>等原料，在通过切割机切割成合适尺寸。此过程主要产生</w:t>
            </w:r>
            <w:r>
              <w:rPr>
                <w:rFonts w:hint="eastAsia" w:cs="Times New Roman"/>
                <w:color w:val="auto"/>
                <w:sz w:val="24"/>
                <w:szCs w:val="22"/>
                <w:highlight w:val="none"/>
                <w:u w:val="single"/>
                <w:lang w:val="en-US" w:eastAsia="zh-CN"/>
              </w:rPr>
              <w:t>切割粉尘、</w:t>
            </w:r>
            <w:r>
              <w:rPr>
                <w:rFonts w:hint="default" w:ascii="Times New Roman" w:hAnsi="Times New Roman" w:cs="Times New Roman"/>
                <w:color w:val="auto"/>
                <w:sz w:val="24"/>
                <w:szCs w:val="22"/>
                <w:highlight w:val="none"/>
                <w:u w:val="single"/>
                <w:lang w:val="en-US" w:eastAsia="zh-CN"/>
              </w:rPr>
              <w:t>噪声及废边角料。</w:t>
            </w:r>
          </w:p>
          <w:p w14:paraId="4A2066DF">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2"/>
                <w:highlight w:val="none"/>
                <w:u w:val="single"/>
                <w:lang w:val="en-US" w:eastAsia="zh-CN"/>
              </w:rPr>
            </w:pPr>
            <w:r>
              <w:rPr>
                <w:rFonts w:hint="eastAsia" w:cs="Times New Roman"/>
                <w:color w:val="auto"/>
                <w:sz w:val="24"/>
                <w:szCs w:val="22"/>
                <w:highlight w:val="none"/>
                <w:u w:val="single"/>
                <w:lang w:val="en-US" w:eastAsia="zh-CN"/>
              </w:rPr>
              <w:t>②焊接</w:t>
            </w:r>
            <w:r>
              <w:rPr>
                <w:rFonts w:hint="default" w:ascii="Times New Roman" w:hAnsi="Times New Roman" w:cs="Times New Roman"/>
                <w:color w:val="auto"/>
                <w:sz w:val="24"/>
                <w:szCs w:val="22"/>
                <w:highlight w:val="none"/>
                <w:u w:val="single"/>
                <w:lang w:val="en-US" w:eastAsia="zh-CN"/>
              </w:rPr>
              <w:t>：利用焊接机将</w:t>
            </w:r>
            <w:r>
              <w:rPr>
                <w:rFonts w:hint="eastAsia" w:cs="Times New Roman"/>
                <w:color w:val="auto"/>
                <w:sz w:val="24"/>
                <w:szCs w:val="22"/>
                <w:highlight w:val="none"/>
                <w:u w:val="single"/>
                <w:lang w:val="en-US" w:eastAsia="zh-CN"/>
              </w:rPr>
              <w:t>切割好的型材、板材</w:t>
            </w:r>
            <w:r>
              <w:rPr>
                <w:rFonts w:hint="default" w:ascii="Times New Roman" w:hAnsi="Times New Roman" w:cs="Times New Roman"/>
                <w:color w:val="auto"/>
                <w:sz w:val="24"/>
                <w:szCs w:val="22"/>
                <w:highlight w:val="none"/>
                <w:u w:val="single"/>
                <w:lang w:val="en-US" w:eastAsia="zh-CN"/>
              </w:rPr>
              <w:t>焊接在一起，</w:t>
            </w:r>
            <w:r>
              <w:rPr>
                <w:rFonts w:hint="eastAsia" w:cs="Times New Roman"/>
                <w:color w:val="auto"/>
                <w:sz w:val="24"/>
                <w:szCs w:val="22"/>
                <w:highlight w:val="none"/>
                <w:u w:val="single"/>
                <w:lang w:val="en-US" w:eastAsia="zh-CN"/>
              </w:rPr>
              <w:t>加工成为本项目产品的部分配件（筛箱底座、震动筛箱、震动筛框）。</w:t>
            </w:r>
            <w:r>
              <w:rPr>
                <w:rFonts w:hint="default" w:ascii="Times New Roman" w:hAnsi="Times New Roman" w:cs="Times New Roman"/>
                <w:color w:val="auto"/>
                <w:sz w:val="24"/>
                <w:szCs w:val="22"/>
                <w:highlight w:val="none"/>
                <w:u w:val="single"/>
                <w:lang w:val="en-US" w:eastAsia="zh-CN"/>
              </w:rPr>
              <w:t>焊接过程会产生</w:t>
            </w:r>
            <w:r>
              <w:rPr>
                <w:rFonts w:hint="eastAsia" w:cs="Times New Roman"/>
                <w:color w:val="auto"/>
                <w:sz w:val="24"/>
                <w:szCs w:val="22"/>
                <w:highlight w:val="none"/>
                <w:u w:val="single"/>
                <w:lang w:val="en-US" w:eastAsia="zh-CN"/>
              </w:rPr>
              <w:t>焊接烟尘</w:t>
            </w:r>
            <w:r>
              <w:rPr>
                <w:rFonts w:hint="default" w:ascii="Times New Roman" w:hAnsi="Times New Roman" w:cs="Times New Roman"/>
                <w:color w:val="auto"/>
                <w:sz w:val="24"/>
                <w:szCs w:val="22"/>
                <w:highlight w:val="none"/>
                <w:u w:val="single"/>
                <w:lang w:val="en-US" w:eastAsia="zh-CN"/>
              </w:rPr>
              <w:t>、噪声。</w:t>
            </w:r>
          </w:p>
          <w:p w14:paraId="6920DE75">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2"/>
                <w:highlight w:val="none"/>
                <w:u w:val="single"/>
                <w:lang w:val="en-US" w:eastAsia="zh-CN"/>
              </w:rPr>
            </w:pPr>
            <w:r>
              <w:rPr>
                <w:rFonts w:hint="eastAsia" w:cs="Times New Roman"/>
                <w:color w:val="auto"/>
                <w:sz w:val="24"/>
                <w:szCs w:val="22"/>
                <w:highlight w:val="none"/>
                <w:u w:val="single"/>
                <w:lang w:val="en-US" w:eastAsia="zh-CN"/>
              </w:rPr>
              <w:t>③组装、加固</w:t>
            </w:r>
            <w:r>
              <w:rPr>
                <w:rFonts w:hint="default" w:ascii="Times New Roman" w:hAnsi="Times New Roman" w:cs="Times New Roman"/>
                <w:color w:val="auto"/>
                <w:sz w:val="24"/>
                <w:szCs w:val="22"/>
                <w:highlight w:val="none"/>
                <w:u w:val="single"/>
                <w:lang w:val="en-US" w:eastAsia="zh-CN"/>
              </w:rPr>
              <w:t>：</w:t>
            </w:r>
            <w:r>
              <w:rPr>
                <w:rFonts w:hint="eastAsia" w:cs="Times New Roman"/>
                <w:color w:val="auto"/>
                <w:sz w:val="24"/>
                <w:szCs w:val="22"/>
                <w:highlight w:val="none"/>
                <w:u w:val="single"/>
                <w:lang w:val="en-US" w:eastAsia="zh-CN"/>
              </w:rPr>
              <w:t>将外购的配件（振动电机、控制箱、筛网拉板、震动筛筛网）经检验合格后，与加工好的配件进行人工架构组装、加固。配件检验过程会产生少量不合格配件。</w:t>
            </w:r>
          </w:p>
          <w:p w14:paraId="617C6FCA">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sz w:val="24"/>
                <w:szCs w:val="22"/>
                <w:highlight w:val="none"/>
                <w:u w:val="single"/>
                <w:lang w:val="en-US" w:eastAsia="zh-CN"/>
              </w:rPr>
            </w:pPr>
            <w:r>
              <w:rPr>
                <w:rFonts w:hint="eastAsia" w:cs="Times New Roman"/>
                <w:color w:val="auto"/>
                <w:sz w:val="24"/>
                <w:szCs w:val="22"/>
                <w:highlight w:val="none"/>
                <w:u w:val="single"/>
                <w:lang w:val="en-US" w:eastAsia="zh-CN"/>
              </w:rPr>
              <w:t>④</w:t>
            </w:r>
            <w:r>
              <w:rPr>
                <w:rFonts w:hint="default" w:ascii="Times New Roman" w:hAnsi="Times New Roman" w:cs="Times New Roman"/>
                <w:color w:val="auto"/>
                <w:sz w:val="24"/>
                <w:szCs w:val="22"/>
                <w:highlight w:val="none"/>
                <w:u w:val="single"/>
                <w:lang w:val="en-US" w:eastAsia="zh-CN"/>
              </w:rPr>
              <w:t>检验：人工检验产品外观性能，合格品打包待售，不合格品</w:t>
            </w:r>
            <w:r>
              <w:rPr>
                <w:rFonts w:hint="eastAsia" w:cs="Times New Roman"/>
                <w:color w:val="auto"/>
                <w:sz w:val="24"/>
                <w:szCs w:val="22"/>
                <w:highlight w:val="none"/>
                <w:u w:val="single"/>
                <w:lang w:val="en-US" w:eastAsia="zh-CN"/>
              </w:rPr>
              <w:t>返回工序重新组装</w:t>
            </w:r>
            <w:r>
              <w:rPr>
                <w:rFonts w:hint="default" w:ascii="Times New Roman" w:hAnsi="Times New Roman" w:cs="Times New Roman"/>
                <w:color w:val="auto"/>
                <w:sz w:val="24"/>
                <w:szCs w:val="22"/>
                <w:highlight w:val="none"/>
                <w:u w:val="single"/>
                <w:lang w:val="en-US" w:eastAsia="zh-CN"/>
              </w:rPr>
              <w:t>。</w:t>
            </w:r>
          </w:p>
          <w:p w14:paraId="6E2D3910">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eastAsia" w:ascii="Times New Roman" w:hAnsi="Times New Roman"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3、现有工程污染物排放情况</w:t>
            </w:r>
          </w:p>
          <w:p w14:paraId="7E2EEB76">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现有工程污染物排放情况根据光远检测有限公司2024年3月23日出具的濮阳市中原锐实达石油设备有限公司检测报告（编号：光远检字（E2024010405）号）中数据，现有工程污染物排放情况如下。</w:t>
            </w:r>
          </w:p>
          <w:p w14:paraId="6646FA4A">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（1）废气</w:t>
            </w:r>
          </w:p>
          <w:p w14:paraId="5721A94B">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表2-10   废气污染物无组织排放检测结果</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087"/>
              <w:gridCol w:w="1368"/>
              <w:gridCol w:w="1368"/>
              <w:gridCol w:w="1368"/>
              <w:gridCol w:w="1371"/>
            </w:tblGrid>
            <w:tr w14:paraId="2AA5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blHeader/>
              </w:trPr>
              <w:tc>
                <w:tcPr>
                  <w:tcW w:w="730" w:type="pct"/>
                  <w:vMerge w:val="restart"/>
                  <w:noWrap w:val="0"/>
                  <w:vAlign w:val="center"/>
                </w:tcPr>
                <w:p w14:paraId="5C1E91E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采样日期</w:t>
                  </w:r>
                </w:p>
              </w:tc>
              <w:tc>
                <w:tcPr>
                  <w:tcW w:w="707" w:type="pct"/>
                  <w:vMerge w:val="restart"/>
                  <w:noWrap w:val="0"/>
                  <w:vAlign w:val="center"/>
                </w:tcPr>
                <w:p w14:paraId="20F4C80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检测频次</w:t>
                  </w:r>
                </w:p>
              </w:tc>
              <w:tc>
                <w:tcPr>
                  <w:tcW w:w="3561" w:type="pct"/>
                  <w:gridSpan w:val="4"/>
                  <w:noWrap w:val="0"/>
                  <w:vAlign w:val="center"/>
                </w:tcPr>
                <w:p w14:paraId="0B5B621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颗粒物/mg/m</w:t>
                  </w:r>
                  <w:r>
                    <w:rPr>
                      <w:rFonts w:hint="default" w:ascii="Times New Roman" w:hAnsi="Times New Roman" w:cs="Times New Roman"/>
                      <w:b w:val="0"/>
                      <w:bCs w:val="0"/>
                      <w:color w:val="auto"/>
                      <w:sz w:val="21"/>
                      <w:szCs w:val="21"/>
                      <w:highlight w:val="none"/>
                      <w:vertAlign w:val="superscript"/>
                      <w:lang w:val="en-US" w:eastAsia="zh-CN"/>
                    </w:rPr>
                    <w:t>3</w:t>
                  </w:r>
                </w:p>
              </w:tc>
            </w:tr>
            <w:tr w14:paraId="7FDE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blHeader/>
              </w:trPr>
              <w:tc>
                <w:tcPr>
                  <w:tcW w:w="730" w:type="pct"/>
                  <w:vMerge w:val="continue"/>
                  <w:noWrap w:val="0"/>
                  <w:vAlign w:val="center"/>
                </w:tcPr>
                <w:p w14:paraId="29EB74C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p>
              </w:tc>
              <w:tc>
                <w:tcPr>
                  <w:tcW w:w="707" w:type="pct"/>
                  <w:vMerge w:val="continue"/>
                  <w:noWrap w:val="0"/>
                  <w:vAlign w:val="center"/>
                </w:tcPr>
                <w:p w14:paraId="6413653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p>
              </w:tc>
              <w:tc>
                <w:tcPr>
                  <w:tcW w:w="890" w:type="pct"/>
                  <w:noWrap w:val="0"/>
                  <w:vAlign w:val="center"/>
                </w:tcPr>
                <w:p w14:paraId="539DAD1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上风向</w:t>
                  </w:r>
                </w:p>
              </w:tc>
              <w:tc>
                <w:tcPr>
                  <w:tcW w:w="890" w:type="pct"/>
                  <w:noWrap w:val="0"/>
                  <w:vAlign w:val="center"/>
                </w:tcPr>
                <w:p w14:paraId="58D7F94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下风向1#</w:t>
                  </w:r>
                </w:p>
              </w:tc>
              <w:tc>
                <w:tcPr>
                  <w:tcW w:w="890" w:type="pct"/>
                  <w:noWrap w:val="0"/>
                  <w:vAlign w:val="center"/>
                </w:tcPr>
                <w:p w14:paraId="27D58D8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下风向2#</w:t>
                  </w:r>
                </w:p>
              </w:tc>
              <w:tc>
                <w:tcPr>
                  <w:tcW w:w="890" w:type="pct"/>
                  <w:noWrap w:val="0"/>
                  <w:vAlign w:val="center"/>
                </w:tcPr>
                <w:p w14:paraId="25E43D0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下风向3#</w:t>
                  </w:r>
                </w:p>
              </w:tc>
            </w:tr>
            <w:tr w14:paraId="796B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30" w:type="pct"/>
                  <w:vMerge w:val="restart"/>
                  <w:noWrap w:val="0"/>
                  <w:vAlign w:val="center"/>
                </w:tcPr>
                <w:p w14:paraId="26EFDA9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2024.3.18</w:t>
                  </w:r>
                </w:p>
              </w:tc>
              <w:tc>
                <w:tcPr>
                  <w:tcW w:w="707" w:type="pct"/>
                  <w:noWrap w:val="0"/>
                  <w:vAlign w:val="center"/>
                </w:tcPr>
                <w:p w14:paraId="2BFCAF2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w:t>
                  </w:r>
                </w:p>
              </w:tc>
              <w:tc>
                <w:tcPr>
                  <w:tcW w:w="890" w:type="pct"/>
                  <w:noWrap w:val="0"/>
                  <w:vAlign w:val="center"/>
                </w:tcPr>
                <w:p w14:paraId="0FF14A4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0.205</w:t>
                  </w:r>
                </w:p>
              </w:tc>
              <w:tc>
                <w:tcPr>
                  <w:tcW w:w="890" w:type="pct"/>
                  <w:noWrap w:val="0"/>
                  <w:vAlign w:val="center"/>
                </w:tcPr>
                <w:p w14:paraId="441B7B9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0.283</w:t>
                  </w:r>
                </w:p>
              </w:tc>
              <w:tc>
                <w:tcPr>
                  <w:tcW w:w="890" w:type="pct"/>
                  <w:noWrap w:val="0"/>
                  <w:vAlign w:val="center"/>
                </w:tcPr>
                <w:p w14:paraId="284407F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0.377</w:t>
                  </w:r>
                </w:p>
              </w:tc>
              <w:tc>
                <w:tcPr>
                  <w:tcW w:w="890" w:type="pct"/>
                  <w:noWrap w:val="0"/>
                  <w:vAlign w:val="center"/>
                </w:tcPr>
                <w:p w14:paraId="728D0E4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0.333</w:t>
                  </w:r>
                </w:p>
              </w:tc>
            </w:tr>
            <w:tr w14:paraId="7AB7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30" w:type="pct"/>
                  <w:vMerge w:val="continue"/>
                  <w:noWrap w:val="0"/>
                  <w:vAlign w:val="center"/>
                </w:tcPr>
                <w:p w14:paraId="42E4293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p>
              </w:tc>
              <w:tc>
                <w:tcPr>
                  <w:tcW w:w="707" w:type="pct"/>
                  <w:noWrap w:val="0"/>
                  <w:vAlign w:val="center"/>
                </w:tcPr>
                <w:p w14:paraId="19CE5B9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w:t>
                  </w:r>
                </w:p>
              </w:tc>
              <w:tc>
                <w:tcPr>
                  <w:tcW w:w="890" w:type="pct"/>
                  <w:noWrap w:val="0"/>
                  <w:vAlign w:val="center"/>
                </w:tcPr>
                <w:p w14:paraId="42D45FB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0.222</w:t>
                  </w:r>
                </w:p>
              </w:tc>
              <w:tc>
                <w:tcPr>
                  <w:tcW w:w="890" w:type="pct"/>
                  <w:noWrap w:val="0"/>
                  <w:vAlign w:val="center"/>
                </w:tcPr>
                <w:p w14:paraId="7294F44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0.270</w:t>
                  </w:r>
                </w:p>
              </w:tc>
              <w:tc>
                <w:tcPr>
                  <w:tcW w:w="890" w:type="pct"/>
                  <w:noWrap w:val="0"/>
                  <w:vAlign w:val="center"/>
                </w:tcPr>
                <w:p w14:paraId="61C48A0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0.353</w:t>
                  </w:r>
                </w:p>
              </w:tc>
              <w:tc>
                <w:tcPr>
                  <w:tcW w:w="890" w:type="pct"/>
                  <w:noWrap w:val="0"/>
                  <w:vAlign w:val="center"/>
                </w:tcPr>
                <w:p w14:paraId="71AB3AE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0.315</w:t>
                  </w:r>
                </w:p>
              </w:tc>
            </w:tr>
            <w:tr w14:paraId="5A7A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30" w:type="pct"/>
                  <w:vMerge w:val="continue"/>
                  <w:noWrap w:val="0"/>
                  <w:vAlign w:val="center"/>
                </w:tcPr>
                <w:p w14:paraId="6B535E3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p>
              </w:tc>
              <w:tc>
                <w:tcPr>
                  <w:tcW w:w="707" w:type="pct"/>
                  <w:noWrap w:val="0"/>
                  <w:vAlign w:val="center"/>
                </w:tcPr>
                <w:p w14:paraId="4611977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w:t>
                  </w:r>
                </w:p>
              </w:tc>
              <w:tc>
                <w:tcPr>
                  <w:tcW w:w="890" w:type="pct"/>
                  <w:noWrap w:val="0"/>
                  <w:vAlign w:val="center"/>
                </w:tcPr>
                <w:p w14:paraId="205B39E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0.218</w:t>
                  </w:r>
                </w:p>
              </w:tc>
              <w:tc>
                <w:tcPr>
                  <w:tcW w:w="890" w:type="pct"/>
                  <w:noWrap w:val="0"/>
                  <w:vAlign w:val="center"/>
                </w:tcPr>
                <w:p w14:paraId="27FF2CA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0.297</w:t>
                  </w:r>
                </w:p>
              </w:tc>
              <w:tc>
                <w:tcPr>
                  <w:tcW w:w="890" w:type="pct"/>
                  <w:noWrap w:val="0"/>
                  <w:vAlign w:val="center"/>
                </w:tcPr>
                <w:p w14:paraId="777EDC7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0.347</w:t>
                  </w:r>
                </w:p>
              </w:tc>
              <w:tc>
                <w:tcPr>
                  <w:tcW w:w="890" w:type="pct"/>
                  <w:noWrap w:val="0"/>
                  <w:vAlign w:val="center"/>
                </w:tcPr>
                <w:p w14:paraId="63EDBF5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0.330</w:t>
                  </w:r>
                </w:p>
              </w:tc>
            </w:tr>
            <w:tr w14:paraId="6C3C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30" w:type="pct"/>
                  <w:vMerge w:val="continue"/>
                  <w:noWrap w:val="0"/>
                  <w:vAlign w:val="center"/>
                </w:tcPr>
                <w:p w14:paraId="312C0DF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p>
              </w:tc>
              <w:tc>
                <w:tcPr>
                  <w:tcW w:w="707" w:type="pct"/>
                  <w:noWrap w:val="0"/>
                  <w:vAlign w:val="center"/>
                </w:tcPr>
                <w:p w14:paraId="454727E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w:t>
                  </w:r>
                </w:p>
              </w:tc>
              <w:tc>
                <w:tcPr>
                  <w:tcW w:w="890" w:type="pct"/>
                  <w:noWrap w:val="0"/>
                  <w:vAlign w:val="center"/>
                </w:tcPr>
                <w:p w14:paraId="57E0E88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0.230</w:t>
                  </w:r>
                </w:p>
              </w:tc>
              <w:tc>
                <w:tcPr>
                  <w:tcW w:w="890" w:type="pct"/>
                  <w:noWrap w:val="0"/>
                  <w:vAlign w:val="center"/>
                </w:tcPr>
                <w:p w14:paraId="63C4478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0.290</w:t>
                  </w:r>
                </w:p>
              </w:tc>
              <w:tc>
                <w:tcPr>
                  <w:tcW w:w="890" w:type="pct"/>
                  <w:noWrap w:val="0"/>
                  <w:vAlign w:val="center"/>
                </w:tcPr>
                <w:p w14:paraId="67D0357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0.363</w:t>
                  </w:r>
                </w:p>
              </w:tc>
              <w:tc>
                <w:tcPr>
                  <w:tcW w:w="890" w:type="pct"/>
                  <w:noWrap w:val="0"/>
                  <w:vAlign w:val="center"/>
                </w:tcPr>
                <w:p w14:paraId="229A755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0.323</w:t>
                  </w:r>
                </w:p>
              </w:tc>
            </w:tr>
            <w:tr w14:paraId="5A07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30" w:type="pct"/>
                  <w:noWrap w:val="0"/>
                  <w:vAlign w:val="center"/>
                </w:tcPr>
                <w:p w14:paraId="578E9F7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气象条件</w:t>
                  </w:r>
                </w:p>
              </w:tc>
              <w:tc>
                <w:tcPr>
                  <w:tcW w:w="4269" w:type="pct"/>
                  <w:gridSpan w:val="5"/>
                  <w:noWrap w:val="0"/>
                  <w:vAlign w:val="center"/>
                </w:tcPr>
                <w:p w14:paraId="4451F1C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both"/>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气温11-17℃，气压101.3-101.7kPa，风速2.9m/s，风向：西南风，总云5-6，低云3-4</w:t>
                  </w:r>
                </w:p>
              </w:tc>
            </w:tr>
          </w:tbl>
          <w:p w14:paraId="557DDE83">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表2-</w:t>
            </w:r>
            <w:r>
              <w:rPr>
                <w:rFonts w:hint="eastAsia" w:cs="Times New Roman"/>
                <w:b w:val="0"/>
                <w:bCs w:val="0"/>
                <w:color w:val="auto"/>
                <w:kern w:val="0"/>
                <w:sz w:val="21"/>
                <w:szCs w:val="21"/>
                <w:highlight w:val="none"/>
                <w:vertAlign w:val="baseline"/>
                <w:lang w:val="en-US" w:eastAsia="zh-CN" w:bidi="ar-SA"/>
              </w:rPr>
              <w:t>11</w:t>
            </w:r>
            <w:r>
              <w:rPr>
                <w:rFonts w:hint="eastAsia" w:ascii="Times New Roman" w:hAnsi="Times New Roman" w:eastAsia="宋体" w:cs="Times New Roman"/>
                <w:b w:val="0"/>
                <w:bCs w:val="0"/>
                <w:color w:val="auto"/>
                <w:kern w:val="0"/>
                <w:sz w:val="21"/>
                <w:szCs w:val="21"/>
                <w:highlight w:val="none"/>
                <w:vertAlign w:val="baseline"/>
                <w:lang w:val="en-US" w:eastAsia="zh-CN" w:bidi="ar-SA"/>
              </w:rPr>
              <w:t xml:space="preserve">   废气污染物有组织排放检测结果</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258"/>
              <w:gridCol w:w="695"/>
              <w:gridCol w:w="1584"/>
              <w:gridCol w:w="1645"/>
              <w:gridCol w:w="1443"/>
            </w:tblGrid>
            <w:tr w14:paraId="3A08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69" w:type="pct"/>
                  <w:vMerge w:val="restart"/>
                  <w:vAlign w:val="center"/>
                </w:tcPr>
                <w:p w14:paraId="3B4D57E8">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采样日期</w:t>
                  </w:r>
                </w:p>
              </w:tc>
              <w:tc>
                <w:tcPr>
                  <w:tcW w:w="862" w:type="pct"/>
                  <w:vMerge w:val="restart"/>
                  <w:vAlign w:val="center"/>
                </w:tcPr>
                <w:p w14:paraId="46747626">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监测点位</w:t>
                  </w:r>
                </w:p>
              </w:tc>
              <w:tc>
                <w:tcPr>
                  <w:tcW w:w="496" w:type="pct"/>
                  <w:vMerge w:val="restart"/>
                  <w:vAlign w:val="center"/>
                </w:tcPr>
                <w:p w14:paraId="3B9B7A86">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检测频次</w:t>
                  </w:r>
                </w:p>
              </w:tc>
              <w:tc>
                <w:tcPr>
                  <w:tcW w:w="1074" w:type="pct"/>
                  <w:vMerge w:val="restart"/>
                  <w:vAlign w:val="center"/>
                </w:tcPr>
                <w:p w14:paraId="6B36821B">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废气量</w:t>
                  </w:r>
                  <w:r>
                    <w:rPr>
                      <w:rFonts w:hint="default" w:ascii="Times New Roman" w:hAnsi="Times New Roman" w:cs="Times New Roman"/>
                      <w:color w:val="auto"/>
                      <w:sz w:val="21"/>
                      <w:szCs w:val="21"/>
                      <w:highlight w:val="none"/>
                      <w:lang w:val="en-US" w:eastAsia="zh-CN"/>
                    </w:rPr>
                    <w:t>/Nm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/h</w:t>
                  </w:r>
                </w:p>
              </w:tc>
              <w:tc>
                <w:tcPr>
                  <w:tcW w:w="2096" w:type="pct"/>
                  <w:gridSpan w:val="2"/>
                  <w:vAlign w:val="center"/>
                </w:tcPr>
                <w:p w14:paraId="3309F8BA">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颗粒物</w:t>
                  </w:r>
                </w:p>
              </w:tc>
            </w:tr>
            <w:tr w14:paraId="60A3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9" w:type="pct"/>
                  <w:vMerge w:val="continue"/>
                  <w:vAlign w:val="center"/>
                </w:tcPr>
                <w:p w14:paraId="77FF1B5C">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862" w:type="pct"/>
                  <w:vMerge w:val="continue"/>
                  <w:vAlign w:val="center"/>
                </w:tcPr>
                <w:p w14:paraId="24A5CFB7">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pacing w:val="10"/>
                      <w:sz w:val="21"/>
                      <w:szCs w:val="21"/>
                      <w:highlight w:val="none"/>
                    </w:rPr>
                  </w:pPr>
                </w:p>
              </w:tc>
              <w:tc>
                <w:tcPr>
                  <w:tcW w:w="496" w:type="pct"/>
                  <w:vMerge w:val="continue"/>
                  <w:vAlign w:val="center"/>
                </w:tcPr>
                <w:p w14:paraId="3CA452B4">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74" w:type="pct"/>
                  <w:vMerge w:val="continue"/>
                  <w:vAlign w:val="center"/>
                </w:tcPr>
                <w:p w14:paraId="007E00CD">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eastAsia="zh-CN"/>
                    </w:rPr>
                  </w:pPr>
                </w:p>
              </w:tc>
              <w:tc>
                <w:tcPr>
                  <w:tcW w:w="1114" w:type="pct"/>
                  <w:vAlign w:val="center"/>
                </w:tcPr>
                <w:p w14:paraId="7E405025">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实测</w:t>
                  </w:r>
                  <w:r>
                    <w:rPr>
                      <w:rFonts w:hint="default" w:ascii="Times New Roman" w:hAnsi="Times New Roman" w:eastAsia="宋体" w:cs="Times New Roman"/>
                      <w:color w:val="auto"/>
                      <w:sz w:val="21"/>
                      <w:szCs w:val="21"/>
                      <w:highlight w:val="none"/>
                    </w:rPr>
                    <w:t>浓度</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982" w:type="pct"/>
                  <w:vAlign w:val="center"/>
                </w:tcPr>
                <w:p w14:paraId="57BD9DC0">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kg/h</w:t>
                  </w:r>
                </w:p>
              </w:tc>
            </w:tr>
            <w:tr w14:paraId="513D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69" w:type="pct"/>
                  <w:vMerge w:val="restart"/>
                  <w:vAlign w:val="center"/>
                </w:tcPr>
                <w:p w14:paraId="58731052">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2024.3.18</w:t>
                  </w:r>
                </w:p>
              </w:tc>
              <w:tc>
                <w:tcPr>
                  <w:tcW w:w="862" w:type="pct"/>
                  <w:vMerge w:val="restart"/>
                  <w:vAlign w:val="center"/>
                </w:tcPr>
                <w:p w14:paraId="04B58E89">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除尘器排气筒进口</w:t>
                  </w:r>
                </w:p>
              </w:tc>
              <w:tc>
                <w:tcPr>
                  <w:tcW w:w="496" w:type="pct"/>
                  <w:vAlign w:val="center"/>
                </w:tcPr>
                <w:p w14:paraId="062D62F4">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w:t>
                  </w:r>
                </w:p>
              </w:tc>
              <w:tc>
                <w:tcPr>
                  <w:tcW w:w="1074" w:type="pct"/>
                  <w:vAlign w:val="center"/>
                </w:tcPr>
                <w:p w14:paraId="4551FEF8">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1.73×10</w:t>
                  </w:r>
                  <w:r>
                    <w:rPr>
                      <w:rFonts w:hint="default" w:ascii="Times New Roman" w:hAnsi="Times New Roman" w:cs="Times New Roman"/>
                      <w:i w:val="0"/>
                      <w:color w:val="auto"/>
                      <w:kern w:val="0"/>
                      <w:sz w:val="21"/>
                      <w:szCs w:val="21"/>
                      <w:highlight w:val="none"/>
                      <w:u w:val="none"/>
                      <w:vertAlign w:val="superscript"/>
                      <w:lang w:val="en-US" w:eastAsia="zh-CN" w:bidi="ar"/>
                    </w:rPr>
                    <w:t>4</w:t>
                  </w:r>
                </w:p>
              </w:tc>
              <w:tc>
                <w:tcPr>
                  <w:tcW w:w="1114" w:type="pct"/>
                  <w:vAlign w:val="center"/>
                </w:tcPr>
                <w:p w14:paraId="03392F39">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133</w:t>
                  </w:r>
                </w:p>
              </w:tc>
              <w:tc>
                <w:tcPr>
                  <w:tcW w:w="982" w:type="pct"/>
                  <w:vAlign w:val="center"/>
                </w:tcPr>
                <w:p w14:paraId="362A4E3F">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2.30</w:t>
                  </w:r>
                </w:p>
              </w:tc>
            </w:tr>
            <w:tr w14:paraId="5C21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69" w:type="pct"/>
                  <w:vMerge w:val="continue"/>
                  <w:vAlign w:val="center"/>
                </w:tcPr>
                <w:p w14:paraId="5B09FFCE">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val="en-US" w:eastAsia="zh-CN"/>
                    </w:rPr>
                  </w:pPr>
                </w:p>
              </w:tc>
              <w:tc>
                <w:tcPr>
                  <w:tcW w:w="862" w:type="pct"/>
                  <w:vMerge w:val="continue"/>
                  <w:vAlign w:val="center"/>
                </w:tcPr>
                <w:p w14:paraId="691BD3EA">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val="en-US" w:eastAsia="zh-CN"/>
                    </w:rPr>
                  </w:pPr>
                </w:p>
              </w:tc>
              <w:tc>
                <w:tcPr>
                  <w:tcW w:w="496" w:type="pct"/>
                  <w:vAlign w:val="center"/>
                </w:tcPr>
                <w:p w14:paraId="57FD876E">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w:t>
                  </w:r>
                </w:p>
              </w:tc>
              <w:tc>
                <w:tcPr>
                  <w:tcW w:w="1074" w:type="pct"/>
                  <w:vAlign w:val="center"/>
                </w:tcPr>
                <w:p w14:paraId="4B95CAE9">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1.72</w:t>
                  </w:r>
                  <w:r>
                    <w:rPr>
                      <w:rFonts w:hint="default" w:ascii="Times New Roman" w:hAnsi="Times New Roman" w:cs="Times New Roman"/>
                      <w:i w:val="0"/>
                      <w:color w:val="auto"/>
                      <w:kern w:val="0"/>
                      <w:sz w:val="21"/>
                      <w:szCs w:val="21"/>
                      <w:highlight w:val="none"/>
                      <w:u w:val="none"/>
                      <w:lang w:val="en-US" w:eastAsia="zh-CN" w:bidi="ar"/>
                    </w:rPr>
                    <w:t>×10</w:t>
                  </w:r>
                  <w:r>
                    <w:rPr>
                      <w:rFonts w:hint="default" w:ascii="Times New Roman" w:hAnsi="Times New Roman" w:cs="Times New Roman"/>
                      <w:i w:val="0"/>
                      <w:color w:val="auto"/>
                      <w:kern w:val="0"/>
                      <w:sz w:val="21"/>
                      <w:szCs w:val="21"/>
                      <w:highlight w:val="none"/>
                      <w:u w:val="none"/>
                      <w:vertAlign w:val="superscript"/>
                      <w:lang w:val="en-US" w:eastAsia="zh-CN" w:bidi="ar"/>
                    </w:rPr>
                    <w:t>4</w:t>
                  </w:r>
                </w:p>
              </w:tc>
              <w:tc>
                <w:tcPr>
                  <w:tcW w:w="1114" w:type="pct"/>
                  <w:vAlign w:val="center"/>
                </w:tcPr>
                <w:p w14:paraId="1077885C">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119</w:t>
                  </w:r>
                </w:p>
              </w:tc>
              <w:tc>
                <w:tcPr>
                  <w:tcW w:w="982" w:type="pct"/>
                  <w:vAlign w:val="center"/>
                </w:tcPr>
                <w:p w14:paraId="668E793B">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2.05</w:t>
                  </w:r>
                </w:p>
              </w:tc>
            </w:tr>
            <w:tr w14:paraId="53105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69" w:type="pct"/>
                  <w:vMerge w:val="continue"/>
                  <w:vAlign w:val="center"/>
                </w:tcPr>
                <w:p w14:paraId="3C561815">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val="en-US" w:eastAsia="zh-CN"/>
                    </w:rPr>
                  </w:pPr>
                </w:p>
              </w:tc>
              <w:tc>
                <w:tcPr>
                  <w:tcW w:w="862" w:type="pct"/>
                  <w:vMerge w:val="continue"/>
                  <w:vAlign w:val="center"/>
                </w:tcPr>
                <w:p w14:paraId="7D15BDA2">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val="en-US" w:eastAsia="zh-CN"/>
                    </w:rPr>
                  </w:pPr>
                </w:p>
              </w:tc>
              <w:tc>
                <w:tcPr>
                  <w:tcW w:w="496" w:type="pct"/>
                  <w:vAlign w:val="center"/>
                </w:tcPr>
                <w:p w14:paraId="24FE9EB8">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3</w:t>
                  </w:r>
                </w:p>
              </w:tc>
              <w:tc>
                <w:tcPr>
                  <w:tcW w:w="1074" w:type="pct"/>
                  <w:vAlign w:val="center"/>
                </w:tcPr>
                <w:p w14:paraId="03CD350D">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1.71</w:t>
                  </w:r>
                  <w:r>
                    <w:rPr>
                      <w:rFonts w:hint="default" w:ascii="Times New Roman" w:hAnsi="Times New Roman" w:cs="Times New Roman"/>
                      <w:i w:val="0"/>
                      <w:color w:val="auto"/>
                      <w:kern w:val="0"/>
                      <w:sz w:val="21"/>
                      <w:szCs w:val="21"/>
                      <w:highlight w:val="none"/>
                      <w:u w:val="none"/>
                      <w:lang w:val="en-US" w:eastAsia="zh-CN" w:bidi="ar"/>
                    </w:rPr>
                    <w:t>×10</w:t>
                  </w:r>
                  <w:r>
                    <w:rPr>
                      <w:rFonts w:hint="default" w:ascii="Times New Roman" w:hAnsi="Times New Roman" w:cs="Times New Roman"/>
                      <w:i w:val="0"/>
                      <w:color w:val="auto"/>
                      <w:kern w:val="0"/>
                      <w:sz w:val="21"/>
                      <w:szCs w:val="21"/>
                      <w:highlight w:val="none"/>
                      <w:u w:val="none"/>
                      <w:vertAlign w:val="superscript"/>
                      <w:lang w:val="en-US" w:eastAsia="zh-CN" w:bidi="ar"/>
                    </w:rPr>
                    <w:t>4</w:t>
                  </w:r>
                </w:p>
              </w:tc>
              <w:tc>
                <w:tcPr>
                  <w:tcW w:w="1114" w:type="pct"/>
                  <w:vAlign w:val="center"/>
                </w:tcPr>
                <w:p w14:paraId="7A9BE06C">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122</w:t>
                  </w:r>
                </w:p>
              </w:tc>
              <w:tc>
                <w:tcPr>
                  <w:tcW w:w="982" w:type="pct"/>
                  <w:vAlign w:val="center"/>
                </w:tcPr>
                <w:p w14:paraId="4FF89F46">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2.09</w:t>
                  </w:r>
                </w:p>
              </w:tc>
            </w:tr>
            <w:tr w14:paraId="37E2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69" w:type="pct"/>
                  <w:vMerge w:val="continue"/>
                  <w:vAlign w:val="center"/>
                </w:tcPr>
                <w:p w14:paraId="08DBC7CE">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val="en-US" w:eastAsia="zh-CN"/>
                    </w:rPr>
                  </w:pPr>
                </w:p>
              </w:tc>
              <w:tc>
                <w:tcPr>
                  <w:tcW w:w="862" w:type="pct"/>
                  <w:vMerge w:val="continue"/>
                  <w:vAlign w:val="center"/>
                </w:tcPr>
                <w:p w14:paraId="2D36D0AE">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val="en-US" w:eastAsia="zh-CN"/>
                    </w:rPr>
                  </w:pPr>
                </w:p>
              </w:tc>
              <w:tc>
                <w:tcPr>
                  <w:tcW w:w="496" w:type="pct"/>
                  <w:vAlign w:val="center"/>
                </w:tcPr>
                <w:p w14:paraId="07F6D647">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均值</w:t>
                  </w:r>
                </w:p>
              </w:tc>
              <w:tc>
                <w:tcPr>
                  <w:tcW w:w="1074" w:type="pct"/>
                  <w:vAlign w:val="center"/>
                </w:tcPr>
                <w:p w14:paraId="313A4D9A">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1.72</w:t>
                  </w:r>
                  <w:r>
                    <w:rPr>
                      <w:rFonts w:hint="default" w:ascii="Times New Roman" w:hAnsi="Times New Roman" w:cs="Times New Roman"/>
                      <w:i w:val="0"/>
                      <w:color w:val="auto"/>
                      <w:kern w:val="0"/>
                      <w:sz w:val="21"/>
                      <w:szCs w:val="21"/>
                      <w:highlight w:val="none"/>
                      <w:u w:val="none"/>
                      <w:lang w:val="en-US" w:eastAsia="zh-CN" w:bidi="ar"/>
                    </w:rPr>
                    <w:t>×10</w:t>
                  </w:r>
                  <w:r>
                    <w:rPr>
                      <w:rFonts w:hint="default" w:ascii="Times New Roman" w:hAnsi="Times New Roman" w:cs="Times New Roman"/>
                      <w:i w:val="0"/>
                      <w:color w:val="auto"/>
                      <w:kern w:val="0"/>
                      <w:sz w:val="21"/>
                      <w:szCs w:val="21"/>
                      <w:highlight w:val="none"/>
                      <w:u w:val="none"/>
                      <w:vertAlign w:val="superscript"/>
                      <w:lang w:val="en-US" w:eastAsia="zh-CN" w:bidi="ar"/>
                    </w:rPr>
                    <w:t>4</w:t>
                  </w:r>
                </w:p>
              </w:tc>
              <w:tc>
                <w:tcPr>
                  <w:tcW w:w="1114" w:type="pct"/>
                  <w:vAlign w:val="center"/>
                </w:tcPr>
                <w:p w14:paraId="2BB47023">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125</w:t>
                  </w:r>
                </w:p>
              </w:tc>
              <w:tc>
                <w:tcPr>
                  <w:tcW w:w="982" w:type="pct"/>
                  <w:vAlign w:val="center"/>
                </w:tcPr>
                <w:p w14:paraId="16167380">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2.15</w:t>
                  </w:r>
                </w:p>
              </w:tc>
            </w:tr>
            <w:tr w14:paraId="6032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pct"/>
                  <w:vMerge w:val="continue"/>
                  <w:vAlign w:val="center"/>
                </w:tcPr>
                <w:p w14:paraId="20B861B3">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val="en-US" w:eastAsia="zh-CN"/>
                    </w:rPr>
                  </w:pPr>
                </w:p>
              </w:tc>
              <w:tc>
                <w:tcPr>
                  <w:tcW w:w="862" w:type="pct"/>
                  <w:vMerge w:val="restart"/>
                  <w:vAlign w:val="center"/>
                </w:tcPr>
                <w:p w14:paraId="25DB2F4E">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除尘器排气筒出口</w:t>
                  </w:r>
                </w:p>
              </w:tc>
              <w:tc>
                <w:tcPr>
                  <w:tcW w:w="496" w:type="pct"/>
                  <w:vAlign w:val="center"/>
                </w:tcPr>
                <w:p w14:paraId="14C397BD">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1</w:t>
                  </w:r>
                </w:p>
              </w:tc>
              <w:tc>
                <w:tcPr>
                  <w:tcW w:w="1074" w:type="pct"/>
                  <w:vAlign w:val="center"/>
                </w:tcPr>
                <w:p w14:paraId="40C1BCF8">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2.40</w:t>
                  </w:r>
                  <w:r>
                    <w:rPr>
                      <w:rFonts w:hint="default" w:ascii="Times New Roman" w:hAnsi="Times New Roman" w:cs="Times New Roman"/>
                      <w:i w:val="0"/>
                      <w:color w:val="auto"/>
                      <w:kern w:val="0"/>
                      <w:sz w:val="21"/>
                      <w:szCs w:val="21"/>
                      <w:highlight w:val="none"/>
                      <w:u w:val="none"/>
                      <w:lang w:val="en-US" w:eastAsia="zh-CN" w:bidi="ar"/>
                    </w:rPr>
                    <w:t>×10</w:t>
                  </w:r>
                  <w:r>
                    <w:rPr>
                      <w:rFonts w:hint="default" w:ascii="Times New Roman" w:hAnsi="Times New Roman" w:cs="Times New Roman"/>
                      <w:i w:val="0"/>
                      <w:color w:val="auto"/>
                      <w:kern w:val="0"/>
                      <w:sz w:val="21"/>
                      <w:szCs w:val="21"/>
                      <w:highlight w:val="none"/>
                      <w:u w:val="none"/>
                      <w:vertAlign w:val="superscript"/>
                      <w:lang w:val="en-US" w:eastAsia="zh-CN" w:bidi="ar"/>
                    </w:rPr>
                    <w:t>4</w:t>
                  </w:r>
                </w:p>
              </w:tc>
              <w:tc>
                <w:tcPr>
                  <w:tcW w:w="1114" w:type="pct"/>
                  <w:vAlign w:val="center"/>
                </w:tcPr>
                <w:p w14:paraId="47565DE1">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7.2</w:t>
                  </w:r>
                </w:p>
              </w:tc>
              <w:tc>
                <w:tcPr>
                  <w:tcW w:w="982" w:type="pct"/>
                  <w:vAlign w:val="center"/>
                </w:tcPr>
                <w:p w14:paraId="46FA7E70">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0.173</w:t>
                  </w:r>
                </w:p>
              </w:tc>
            </w:tr>
            <w:tr w14:paraId="2E12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pct"/>
                  <w:vMerge w:val="continue"/>
                  <w:vAlign w:val="center"/>
                </w:tcPr>
                <w:p w14:paraId="4A7FEE72">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val="en-US" w:eastAsia="zh-CN"/>
                    </w:rPr>
                  </w:pPr>
                </w:p>
              </w:tc>
              <w:tc>
                <w:tcPr>
                  <w:tcW w:w="862" w:type="pct"/>
                  <w:vMerge w:val="continue"/>
                  <w:vAlign w:val="center"/>
                </w:tcPr>
                <w:p w14:paraId="5D7E8C1E">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val="en-US" w:eastAsia="zh-CN"/>
                    </w:rPr>
                  </w:pPr>
                </w:p>
              </w:tc>
              <w:tc>
                <w:tcPr>
                  <w:tcW w:w="496" w:type="pct"/>
                  <w:shd w:val="clear" w:color="auto" w:fill="auto"/>
                  <w:vAlign w:val="center"/>
                </w:tcPr>
                <w:p w14:paraId="7AA7558B">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w:t>
                  </w:r>
                </w:p>
              </w:tc>
              <w:tc>
                <w:tcPr>
                  <w:tcW w:w="1074" w:type="pct"/>
                  <w:vAlign w:val="center"/>
                </w:tcPr>
                <w:p w14:paraId="185AF990">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2.28</w:t>
                  </w:r>
                  <w:r>
                    <w:rPr>
                      <w:rFonts w:hint="default" w:ascii="Times New Roman" w:hAnsi="Times New Roman" w:cs="Times New Roman"/>
                      <w:i w:val="0"/>
                      <w:color w:val="auto"/>
                      <w:kern w:val="0"/>
                      <w:sz w:val="21"/>
                      <w:szCs w:val="21"/>
                      <w:highlight w:val="none"/>
                      <w:u w:val="none"/>
                      <w:lang w:val="en-US" w:eastAsia="zh-CN" w:bidi="ar"/>
                    </w:rPr>
                    <w:t>×10</w:t>
                  </w:r>
                  <w:r>
                    <w:rPr>
                      <w:rFonts w:hint="default" w:ascii="Times New Roman" w:hAnsi="Times New Roman" w:cs="Times New Roman"/>
                      <w:i w:val="0"/>
                      <w:color w:val="auto"/>
                      <w:kern w:val="0"/>
                      <w:sz w:val="21"/>
                      <w:szCs w:val="21"/>
                      <w:highlight w:val="none"/>
                      <w:u w:val="none"/>
                      <w:vertAlign w:val="superscript"/>
                      <w:lang w:val="en-US" w:eastAsia="zh-CN" w:bidi="ar"/>
                    </w:rPr>
                    <w:t>4</w:t>
                  </w:r>
                </w:p>
              </w:tc>
              <w:tc>
                <w:tcPr>
                  <w:tcW w:w="1114" w:type="pct"/>
                  <w:vAlign w:val="center"/>
                </w:tcPr>
                <w:p w14:paraId="68E76538">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8.6</w:t>
                  </w:r>
                </w:p>
              </w:tc>
              <w:tc>
                <w:tcPr>
                  <w:tcW w:w="982" w:type="pct"/>
                  <w:vAlign w:val="center"/>
                </w:tcPr>
                <w:p w14:paraId="788FC16B">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0.196</w:t>
                  </w:r>
                </w:p>
              </w:tc>
            </w:tr>
            <w:tr w14:paraId="7E2D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pct"/>
                  <w:vMerge w:val="continue"/>
                  <w:vAlign w:val="center"/>
                </w:tcPr>
                <w:p w14:paraId="499247F0">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val="en-US" w:eastAsia="zh-CN"/>
                    </w:rPr>
                  </w:pPr>
                </w:p>
              </w:tc>
              <w:tc>
                <w:tcPr>
                  <w:tcW w:w="862" w:type="pct"/>
                  <w:vMerge w:val="continue"/>
                  <w:vAlign w:val="center"/>
                </w:tcPr>
                <w:p w14:paraId="5E9D760F">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val="en-US" w:eastAsia="zh-CN"/>
                    </w:rPr>
                  </w:pPr>
                </w:p>
              </w:tc>
              <w:tc>
                <w:tcPr>
                  <w:tcW w:w="496" w:type="pct"/>
                  <w:shd w:val="clear" w:color="auto" w:fill="auto"/>
                  <w:vAlign w:val="center"/>
                </w:tcPr>
                <w:p w14:paraId="518022B9">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3</w:t>
                  </w:r>
                </w:p>
              </w:tc>
              <w:tc>
                <w:tcPr>
                  <w:tcW w:w="1074" w:type="pct"/>
                  <w:vAlign w:val="center"/>
                </w:tcPr>
                <w:p w14:paraId="5EB17ACE">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2.40</w:t>
                  </w:r>
                  <w:r>
                    <w:rPr>
                      <w:rFonts w:hint="default" w:ascii="Times New Roman" w:hAnsi="Times New Roman" w:cs="Times New Roman"/>
                      <w:i w:val="0"/>
                      <w:color w:val="auto"/>
                      <w:kern w:val="0"/>
                      <w:sz w:val="21"/>
                      <w:szCs w:val="21"/>
                      <w:highlight w:val="none"/>
                      <w:u w:val="none"/>
                      <w:lang w:val="en-US" w:eastAsia="zh-CN" w:bidi="ar"/>
                    </w:rPr>
                    <w:t>×10</w:t>
                  </w:r>
                  <w:r>
                    <w:rPr>
                      <w:rFonts w:hint="default" w:ascii="Times New Roman" w:hAnsi="Times New Roman" w:cs="Times New Roman"/>
                      <w:i w:val="0"/>
                      <w:color w:val="auto"/>
                      <w:kern w:val="0"/>
                      <w:sz w:val="21"/>
                      <w:szCs w:val="21"/>
                      <w:highlight w:val="none"/>
                      <w:u w:val="none"/>
                      <w:vertAlign w:val="superscript"/>
                      <w:lang w:val="en-US" w:eastAsia="zh-CN" w:bidi="ar"/>
                    </w:rPr>
                    <w:t>4</w:t>
                  </w:r>
                </w:p>
              </w:tc>
              <w:tc>
                <w:tcPr>
                  <w:tcW w:w="1114" w:type="pct"/>
                  <w:vAlign w:val="center"/>
                </w:tcPr>
                <w:p w14:paraId="0BE75ED5">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6.5</w:t>
                  </w:r>
                </w:p>
              </w:tc>
              <w:tc>
                <w:tcPr>
                  <w:tcW w:w="982" w:type="pct"/>
                  <w:vAlign w:val="center"/>
                </w:tcPr>
                <w:p w14:paraId="23A6E340">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0.156</w:t>
                  </w:r>
                </w:p>
              </w:tc>
            </w:tr>
            <w:tr w14:paraId="6618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pct"/>
                  <w:vMerge w:val="continue"/>
                  <w:vAlign w:val="center"/>
                </w:tcPr>
                <w:p w14:paraId="13C687A3">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val="en-US" w:eastAsia="zh-CN"/>
                    </w:rPr>
                  </w:pPr>
                </w:p>
              </w:tc>
              <w:tc>
                <w:tcPr>
                  <w:tcW w:w="862" w:type="pct"/>
                  <w:vMerge w:val="continue"/>
                  <w:vAlign w:val="center"/>
                </w:tcPr>
                <w:p w14:paraId="54DC9C9D">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highlight w:val="none"/>
                      <w:lang w:val="en-US" w:eastAsia="zh-CN"/>
                    </w:rPr>
                  </w:pPr>
                </w:p>
              </w:tc>
              <w:tc>
                <w:tcPr>
                  <w:tcW w:w="496" w:type="pct"/>
                  <w:shd w:val="clear" w:color="auto" w:fill="auto"/>
                  <w:vAlign w:val="center"/>
                </w:tcPr>
                <w:p w14:paraId="4D7FE594">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均值</w:t>
                  </w:r>
                </w:p>
              </w:tc>
              <w:tc>
                <w:tcPr>
                  <w:tcW w:w="1074" w:type="pct"/>
                  <w:vAlign w:val="center"/>
                </w:tcPr>
                <w:p w14:paraId="2243A802">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2.36</w:t>
                  </w:r>
                  <w:r>
                    <w:rPr>
                      <w:rFonts w:hint="default" w:ascii="Times New Roman" w:hAnsi="Times New Roman" w:cs="Times New Roman"/>
                      <w:i w:val="0"/>
                      <w:color w:val="auto"/>
                      <w:kern w:val="0"/>
                      <w:sz w:val="21"/>
                      <w:szCs w:val="21"/>
                      <w:highlight w:val="none"/>
                      <w:u w:val="none"/>
                      <w:lang w:val="en-US" w:eastAsia="zh-CN" w:bidi="ar"/>
                    </w:rPr>
                    <w:t>×10</w:t>
                  </w:r>
                  <w:r>
                    <w:rPr>
                      <w:rFonts w:hint="default" w:ascii="Times New Roman" w:hAnsi="Times New Roman" w:cs="Times New Roman"/>
                      <w:i w:val="0"/>
                      <w:color w:val="auto"/>
                      <w:kern w:val="0"/>
                      <w:sz w:val="21"/>
                      <w:szCs w:val="21"/>
                      <w:highlight w:val="none"/>
                      <w:u w:val="none"/>
                      <w:vertAlign w:val="superscript"/>
                      <w:lang w:val="en-US" w:eastAsia="zh-CN" w:bidi="ar"/>
                    </w:rPr>
                    <w:t>4</w:t>
                  </w:r>
                </w:p>
              </w:tc>
              <w:tc>
                <w:tcPr>
                  <w:tcW w:w="1114" w:type="pct"/>
                  <w:vAlign w:val="center"/>
                </w:tcPr>
                <w:p w14:paraId="26650A4A">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7.4</w:t>
                  </w:r>
                </w:p>
              </w:tc>
              <w:tc>
                <w:tcPr>
                  <w:tcW w:w="982" w:type="pct"/>
                  <w:vAlign w:val="center"/>
                </w:tcPr>
                <w:p w14:paraId="6D67AD02">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0.175</w:t>
                  </w:r>
                </w:p>
              </w:tc>
            </w:tr>
          </w:tbl>
          <w:p w14:paraId="3954532A">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auto"/>
                <w:sz w:val="24"/>
                <w:szCs w:val="22"/>
                <w:highlight w:val="none"/>
                <w:lang w:val="en-US" w:eastAsia="zh-CN"/>
              </w:rPr>
            </w:pPr>
            <w:r>
              <w:rPr>
                <w:rFonts w:hint="eastAsia" w:ascii="Times New Roman" w:hAnsi="Times New Roman" w:cs="Times New Roman"/>
                <w:color w:val="auto"/>
                <w:sz w:val="24"/>
                <w:szCs w:val="22"/>
                <w:highlight w:val="none"/>
                <w:lang w:val="en-US" w:eastAsia="zh-CN"/>
              </w:rPr>
              <w:t>监测期间，厂界下风向颗粒物无组织排放</w:t>
            </w:r>
            <w:r>
              <w:rPr>
                <w:rFonts w:hint="eastAsia" w:cs="Times New Roman"/>
                <w:color w:val="auto"/>
                <w:sz w:val="24"/>
                <w:szCs w:val="22"/>
                <w:highlight w:val="none"/>
                <w:lang w:val="en-US" w:eastAsia="zh-CN"/>
              </w:rPr>
              <w:t>浓度满足</w:t>
            </w:r>
            <w:r>
              <w:rPr>
                <w:rFonts w:hint="eastAsia" w:ascii="Times New Roman" w:hAnsi="Times New Roman" w:cs="Times New Roman"/>
                <w:color w:val="auto"/>
                <w:sz w:val="24"/>
                <w:szCs w:val="22"/>
                <w:highlight w:val="none"/>
                <w:lang w:val="en-US" w:eastAsia="zh-CN"/>
              </w:rPr>
              <w:t>《大气污染物综合排放标准》（GB16297-1996）表2无组织排放监控浓度限值要求；</w:t>
            </w:r>
            <w:r>
              <w:rPr>
                <w:rFonts w:hint="eastAsia" w:cs="Times New Roman"/>
                <w:color w:val="auto"/>
                <w:sz w:val="24"/>
                <w:szCs w:val="22"/>
                <w:highlight w:val="none"/>
                <w:lang w:val="en-US" w:eastAsia="zh-CN"/>
              </w:rPr>
              <w:t>有组织颗粒物排放浓度及排放速率</w:t>
            </w:r>
            <w:r>
              <w:rPr>
                <w:rFonts w:hint="eastAsia" w:ascii="Times New Roman" w:hAnsi="Times New Roman" w:cs="Times New Roman"/>
                <w:color w:val="auto"/>
                <w:sz w:val="24"/>
                <w:szCs w:val="22"/>
                <w:highlight w:val="none"/>
                <w:lang w:val="en-US" w:eastAsia="zh-CN"/>
              </w:rPr>
              <w:t>大气污染物综合排放标准》（GB16297-1996）表2有组织排放要求。</w:t>
            </w:r>
          </w:p>
          <w:p w14:paraId="400847F7">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2"/>
                <w:highlight w:val="none"/>
                <w:lang w:val="en-US" w:eastAsia="zh-CN"/>
              </w:rPr>
            </w:pPr>
            <w:r>
              <w:rPr>
                <w:rFonts w:hint="eastAsia" w:cs="Times New Roman"/>
                <w:color w:val="auto"/>
                <w:sz w:val="24"/>
                <w:szCs w:val="22"/>
                <w:highlight w:val="none"/>
                <w:lang w:val="en-US" w:eastAsia="zh-CN"/>
              </w:rPr>
              <w:t>项目不进行防锈、喷漆处理，不涉及VOCs。</w:t>
            </w:r>
          </w:p>
          <w:p w14:paraId="7A67200F">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（2）废水</w:t>
            </w:r>
          </w:p>
          <w:p w14:paraId="2767C37D">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auto"/>
                <w:sz w:val="24"/>
                <w:szCs w:val="22"/>
                <w:highlight w:val="none"/>
                <w:lang w:val="en-US" w:eastAsia="zh-CN"/>
              </w:rPr>
            </w:pPr>
            <w:r>
              <w:rPr>
                <w:rFonts w:hint="eastAsia" w:ascii="Times New Roman" w:hAnsi="Times New Roman" w:cs="Times New Roman"/>
                <w:color w:val="auto"/>
                <w:sz w:val="24"/>
                <w:szCs w:val="22"/>
                <w:highlight w:val="none"/>
                <w:lang w:val="en-US" w:eastAsia="zh-CN"/>
              </w:rPr>
              <w:t>项目无生产废水，生活污水经化粪池处理后排入市政管网，进入清丰</w:t>
            </w:r>
            <w:r>
              <w:rPr>
                <w:rFonts w:hint="eastAsia" w:cs="Times New Roman"/>
                <w:color w:val="auto"/>
                <w:sz w:val="24"/>
                <w:szCs w:val="22"/>
                <w:highlight w:val="none"/>
                <w:lang w:val="en-US" w:eastAsia="zh-CN"/>
              </w:rPr>
              <w:t>县</w:t>
            </w:r>
            <w:r>
              <w:rPr>
                <w:rFonts w:hint="eastAsia" w:ascii="Times New Roman" w:hAnsi="Times New Roman" w:cs="Times New Roman"/>
                <w:color w:val="auto"/>
                <w:sz w:val="24"/>
                <w:szCs w:val="22"/>
                <w:highlight w:val="none"/>
                <w:lang w:val="en-US" w:eastAsia="zh-CN"/>
              </w:rPr>
              <w:t>污水处理厂进一步处理。</w:t>
            </w:r>
          </w:p>
          <w:p w14:paraId="6F45E192">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表2-12   废水检测结果</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1919"/>
              <w:gridCol w:w="1919"/>
              <w:gridCol w:w="1924"/>
            </w:tblGrid>
            <w:tr w14:paraId="0A36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49" w:type="pct"/>
                  <w:noWrap w:val="0"/>
                  <w:vAlign w:val="center"/>
                </w:tcPr>
                <w:p w14:paraId="7891D728">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采样日期</w:t>
                  </w:r>
                </w:p>
              </w:tc>
              <w:tc>
                <w:tcPr>
                  <w:tcW w:w="1249" w:type="pct"/>
                  <w:noWrap w:val="0"/>
                  <w:vAlign w:val="center"/>
                </w:tcPr>
                <w:p w14:paraId="0DB0DFEE">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检测点位</w:t>
                  </w:r>
                </w:p>
              </w:tc>
              <w:tc>
                <w:tcPr>
                  <w:tcW w:w="1249" w:type="pct"/>
                  <w:noWrap w:val="0"/>
                  <w:vAlign w:val="center"/>
                </w:tcPr>
                <w:p w14:paraId="0D542129">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检测项目</w:t>
                  </w:r>
                </w:p>
              </w:tc>
              <w:tc>
                <w:tcPr>
                  <w:tcW w:w="1252" w:type="pct"/>
                  <w:noWrap w:val="0"/>
                  <w:vAlign w:val="center"/>
                </w:tcPr>
                <w:p w14:paraId="741EEF77">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检测结果</w:t>
                  </w:r>
                </w:p>
              </w:tc>
            </w:tr>
            <w:tr w14:paraId="5BC7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49" w:type="pct"/>
                  <w:vMerge w:val="restart"/>
                  <w:noWrap w:val="0"/>
                  <w:vAlign w:val="center"/>
                </w:tcPr>
                <w:p w14:paraId="05754577">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2024.</w:t>
                  </w:r>
                  <w:r>
                    <w:rPr>
                      <w:rFonts w:hint="eastAsia" w:cs="Times New Roman"/>
                      <w:b w:val="0"/>
                      <w:bCs w:val="0"/>
                      <w:color w:val="auto"/>
                      <w:sz w:val="21"/>
                      <w:szCs w:val="21"/>
                      <w:highlight w:val="none"/>
                      <w:lang w:val="en-US" w:eastAsia="zh-CN"/>
                    </w:rPr>
                    <w:t>3.18</w:t>
                  </w:r>
                </w:p>
              </w:tc>
              <w:tc>
                <w:tcPr>
                  <w:tcW w:w="1249" w:type="pct"/>
                  <w:vMerge w:val="restart"/>
                  <w:noWrap w:val="0"/>
                  <w:vAlign w:val="center"/>
                </w:tcPr>
                <w:p w14:paraId="146D2C34">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厂区总排口</w:t>
                  </w:r>
                </w:p>
              </w:tc>
              <w:tc>
                <w:tcPr>
                  <w:tcW w:w="1249" w:type="pct"/>
                  <w:noWrap w:val="0"/>
                  <w:vAlign w:val="center"/>
                </w:tcPr>
                <w:p w14:paraId="274469A4">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pH</w:t>
                  </w:r>
                  <w:r>
                    <w:rPr>
                      <w:rFonts w:hint="eastAsia" w:ascii="Times New Roman" w:hAnsi="Times New Roman" w:cs="Times New Roman"/>
                      <w:b w:val="0"/>
                      <w:bCs w:val="0"/>
                      <w:color w:val="auto"/>
                      <w:sz w:val="21"/>
                      <w:szCs w:val="21"/>
                      <w:highlight w:val="none"/>
                      <w:lang w:val="en-US" w:eastAsia="zh-CN"/>
                    </w:rPr>
                    <w:t>（无量纲）</w:t>
                  </w:r>
                </w:p>
              </w:tc>
              <w:tc>
                <w:tcPr>
                  <w:tcW w:w="1252" w:type="pct"/>
                  <w:noWrap w:val="0"/>
                  <w:vAlign w:val="center"/>
                </w:tcPr>
                <w:p w14:paraId="738EA4B9">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7.3（1</w:t>
                  </w:r>
                  <w:r>
                    <w:rPr>
                      <w:rFonts w:hint="eastAsia" w:cs="Times New Roman"/>
                      <w:b w:val="0"/>
                      <w:bCs w:val="0"/>
                      <w:color w:val="auto"/>
                      <w:sz w:val="21"/>
                      <w:szCs w:val="21"/>
                      <w:highlight w:val="none"/>
                      <w:lang w:val="en-US" w:eastAsia="zh-CN"/>
                    </w:rPr>
                    <w:t>1.2</w:t>
                  </w:r>
                  <w:r>
                    <w:rPr>
                      <w:rFonts w:hint="default" w:ascii="Times New Roman" w:hAnsi="Times New Roman" w:cs="Times New Roman"/>
                      <w:b w:val="0"/>
                      <w:bCs w:val="0"/>
                      <w:color w:val="auto"/>
                      <w:sz w:val="21"/>
                      <w:szCs w:val="21"/>
                      <w:highlight w:val="none"/>
                      <w:lang w:val="en-US" w:eastAsia="zh-CN"/>
                    </w:rPr>
                    <w:t>℃）</w:t>
                  </w:r>
                </w:p>
              </w:tc>
            </w:tr>
            <w:tr w14:paraId="5933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blHeader/>
              </w:trPr>
              <w:tc>
                <w:tcPr>
                  <w:tcW w:w="1249" w:type="pct"/>
                  <w:vMerge w:val="continue"/>
                  <w:noWrap w:val="0"/>
                  <w:vAlign w:val="center"/>
                </w:tcPr>
                <w:p w14:paraId="137F2BF6">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p>
              </w:tc>
              <w:tc>
                <w:tcPr>
                  <w:tcW w:w="1249" w:type="pct"/>
                  <w:vMerge w:val="continue"/>
                  <w:noWrap w:val="0"/>
                  <w:vAlign w:val="center"/>
                </w:tcPr>
                <w:p w14:paraId="667E77B0">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p>
              </w:tc>
              <w:tc>
                <w:tcPr>
                  <w:tcW w:w="1249" w:type="pct"/>
                  <w:noWrap w:val="0"/>
                  <w:vAlign w:val="center"/>
                </w:tcPr>
                <w:p w14:paraId="1E4FC129">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化学需氧量/mg/L</w:t>
                  </w:r>
                </w:p>
              </w:tc>
              <w:tc>
                <w:tcPr>
                  <w:tcW w:w="1252" w:type="pct"/>
                  <w:noWrap w:val="0"/>
                  <w:vAlign w:val="center"/>
                </w:tcPr>
                <w:p w14:paraId="01881970">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58</w:t>
                  </w:r>
                </w:p>
              </w:tc>
            </w:tr>
            <w:tr w14:paraId="02A4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blHeader/>
              </w:trPr>
              <w:tc>
                <w:tcPr>
                  <w:tcW w:w="1249" w:type="pct"/>
                  <w:vMerge w:val="continue"/>
                  <w:noWrap w:val="0"/>
                  <w:vAlign w:val="center"/>
                </w:tcPr>
                <w:p w14:paraId="4B68B1FC">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p>
              </w:tc>
              <w:tc>
                <w:tcPr>
                  <w:tcW w:w="1249" w:type="pct"/>
                  <w:vMerge w:val="continue"/>
                  <w:noWrap w:val="0"/>
                  <w:vAlign w:val="center"/>
                </w:tcPr>
                <w:p w14:paraId="3616A654">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p>
              </w:tc>
              <w:tc>
                <w:tcPr>
                  <w:tcW w:w="1249" w:type="pct"/>
                  <w:noWrap w:val="0"/>
                  <w:vAlign w:val="center"/>
                </w:tcPr>
                <w:p w14:paraId="0AA6592E">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悬浮物/mg/L</w:t>
                  </w:r>
                </w:p>
              </w:tc>
              <w:tc>
                <w:tcPr>
                  <w:tcW w:w="1252" w:type="pct"/>
                  <w:noWrap w:val="0"/>
                  <w:vAlign w:val="center"/>
                </w:tcPr>
                <w:p w14:paraId="5BFB3D07">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21</w:t>
                  </w:r>
                </w:p>
              </w:tc>
            </w:tr>
            <w:tr w14:paraId="5CA7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49" w:type="pct"/>
                  <w:vMerge w:val="continue"/>
                  <w:noWrap w:val="0"/>
                  <w:vAlign w:val="center"/>
                </w:tcPr>
                <w:p w14:paraId="3E185CC0">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p>
              </w:tc>
              <w:tc>
                <w:tcPr>
                  <w:tcW w:w="1249" w:type="pct"/>
                  <w:vMerge w:val="continue"/>
                  <w:noWrap w:val="0"/>
                  <w:vAlign w:val="center"/>
                </w:tcPr>
                <w:p w14:paraId="67578C00">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p>
              </w:tc>
              <w:tc>
                <w:tcPr>
                  <w:tcW w:w="1249" w:type="pct"/>
                  <w:noWrap w:val="0"/>
                  <w:vAlign w:val="center"/>
                </w:tcPr>
                <w:p w14:paraId="64B2DB09">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氨氮/mg/L</w:t>
                  </w:r>
                </w:p>
              </w:tc>
              <w:tc>
                <w:tcPr>
                  <w:tcW w:w="1252" w:type="pct"/>
                  <w:noWrap w:val="0"/>
                  <w:vAlign w:val="center"/>
                </w:tcPr>
                <w:p w14:paraId="003894A7">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1.68</w:t>
                  </w:r>
                </w:p>
              </w:tc>
            </w:tr>
          </w:tbl>
          <w:p w14:paraId="4599EBEF">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auto"/>
                <w:sz w:val="24"/>
                <w:szCs w:val="22"/>
                <w:highlight w:val="none"/>
                <w:lang w:val="en-US" w:eastAsia="zh-CN"/>
              </w:rPr>
            </w:pPr>
            <w:r>
              <w:rPr>
                <w:rFonts w:hint="eastAsia" w:ascii="Times New Roman" w:hAnsi="Times New Roman" w:cs="Times New Roman"/>
                <w:color w:val="auto"/>
                <w:sz w:val="24"/>
                <w:szCs w:val="22"/>
                <w:highlight w:val="none"/>
                <w:lang w:val="en-US" w:eastAsia="zh-CN"/>
              </w:rPr>
              <w:t>检测期间，项目废水排放口污染物排放浓度均满足《污水综合排放标准》（GB8978-1996）表4三级标准及清丰</w:t>
            </w:r>
            <w:r>
              <w:rPr>
                <w:rFonts w:hint="eastAsia" w:cs="Times New Roman"/>
                <w:color w:val="auto"/>
                <w:sz w:val="24"/>
                <w:szCs w:val="22"/>
                <w:highlight w:val="none"/>
                <w:lang w:val="en-US" w:eastAsia="zh-CN"/>
              </w:rPr>
              <w:t>县</w:t>
            </w:r>
            <w:r>
              <w:rPr>
                <w:rFonts w:hint="eastAsia" w:ascii="Times New Roman" w:hAnsi="Times New Roman" w:cs="Times New Roman"/>
                <w:color w:val="auto"/>
                <w:sz w:val="24"/>
                <w:szCs w:val="22"/>
                <w:highlight w:val="none"/>
                <w:lang w:val="en-US" w:eastAsia="zh-CN"/>
              </w:rPr>
              <w:t>污水处理厂收水水质要求。</w:t>
            </w:r>
          </w:p>
          <w:p w14:paraId="61A91321">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（3）噪声</w:t>
            </w:r>
          </w:p>
          <w:p w14:paraId="62BEDCD9">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auto"/>
                <w:sz w:val="24"/>
                <w:szCs w:val="22"/>
                <w:highlight w:val="none"/>
                <w:lang w:val="en-US" w:eastAsia="zh-CN"/>
              </w:rPr>
            </w:pPr>
            <w:r>
              <w:rPr>
                <w:rFonts w:hint="eastAsia" w:ascii="Times New Roman" w:hAnsi="Times New Roman" w:cs="Times New Roman"/>
                <w:color w:val="auto"/>
                <w:sz w:val="24"/>
                <w:szCs w:val="22"/>
                <w:highlight w:val="none"/>
                <w:lang w:val="en-US" w:eastAsia="zh-CN"/>
              </w:rPr>
              <w:t>项目现状噪声监测结果见下表。</w:t>
            </w:r>
          </w:p>
          <w:p w14:paraId="19040FAD">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表2-13   噪声检测结果（单位：dB（A））</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0"/>
              <w:gridCol w:w="1928"/>
              <w:gridCol w:w="2773"/>
            </w:tblGrid>
            <w:tr w14:paraId="41D9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3195" w:type="pct"/>
                  <w:gridSpan w:val="2"/>
                  <w:noWrap w:val="0"/>
                  <w:vAlign w:val="center"/>
                </w:tcPr>
                <w:p w14:paraId="3EE2907F">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检测</w:t>
                  </w:r>
                  <w:r>
                    <w:rPr>
                      <w:rFonts w:hint="default" w:ascii="Times New Roman" w:hAnsi="Times New Roman" w:cs="Times New Roman"/>
                      <w:b w:val="0"/>
                      <w:bCs w:val="0"/>
                      <w:color w:val="auto"/>
                      <w:sz w:val="21"/>
                      <w:szCs w:val="21"/>
                      <w:highlight w:val="none"/>
                      <w:lang w:val="en-US" w:eastAsia="zh-CN"/>
                    </w:rPr>
                    <w:t>日期</w:t>
                  </w:r>
                </w:p>
              </w:tc>
              <w:tc>
                <w:tcPr>
                  <w:tcW w:w="1804" w:type="pct"/>
                  <w:noWrap w:val="0"/>
                  <w:vAlign w:val="center"/>
                </w:tcPr>
                <w:p w14:paraId="36D8C91B">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东厂界</w:t>
                  </w:r>
                </w:p>
              </w:tc>
            </w:tr>
            <w:tr w14:paraId="082E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940" w:type="pct"/>
                  <w:noWrap w:val="0"/>
                  <w:vAlign w:val="center"/>
                </w:tcPr>
                <w:p w14:paraId="37C8CFAA">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2024.</w:t>
                  </w:r>
                  <w:r>
                    <w:rPr>
                      <w:rFonts w:hint="eastAsia" w:cs="Times New Roman"/>
                      <w:b w:val="0"/>
                      <w:bCs w:val="0"/>
                      <w:color w:val="auto"/>
                      <w:sz w:val="21"/>
                      <w:szCs w:val="21"/>
                      <w:highlight w:val="none"/>
                      <w:lang w:val="en-US" w:eastAsia="zh-CN"/>
                    </w:rPr>
                    <w:t>3.18</w:t>
                  </w:r>
                </w:p>
              </w:tc>
              <w:tc>
                <w:tcPr>
                  <w:tcW w:w="1255" w:type="pct"/>
                  <w:noWrap w:val="0"/>
                  <w:vAlign w:val="center"/>
                </w:tcPr>
                <w:p w14:paraId="3DCB83B6">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昼间</w:t>
                  </w:r>
                </w:p>
              </w:tc>
              <w:tc>
                <w:tcPr>
                  <w:tcW w:w="1804" w:type="pct"/>
                  <w:noWrap w:val="0"/>
                  <w:vAlign w:val="center"/>
                </w:tcPr>
                <w:p w14:paraId="6B670CEB">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56</w:t>
                  </w:r>
                </w:p>
              </w:tc>
            </w:tr>
            <w:tr w14:paraId="159C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00" w:type="pct"/>
                  <w:gridSpan w:val="3"/>
                  <w:noWrap w:val="0"/>
                  <w:vAlign w:val="center"/>
                </w:tcPr>
                <w:p w14:paraId="4738747F">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both"/>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注：厂区南、西、北三厂界紧邻其他厂区，不具备检测条件</w:t>
                  </w:r>
                </w:p>
              </w:tc>
            </w:tr>
          </w:tbl>
          <w:p w14:paraId="6043068A">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auto"/>
                <w:sz w:val="24"/>
                <w:szCs w:val="22"/>
                <w:highlight w:val="none"/>
                <w:lang w:val="en-US" w:eastAsia="zh-CN"/>
              </w:rPr>
            </w:pPr>
            <w:r>
              <w:rPr>
                <w:rFonts w:hint="eastAsia" w:ascii="Times New Roman" w:hAnsi="Times New Roman" w:cs="Times New Roman"/>
                <w:color w:val="auto"/>
                <w:sz w:val="24"/>
                <w:szCs w:val="22"/>
                <w:highlight w:val="none"/>
                <w:lang w:val="en-US" w:eastAsia="zh-CN"/>
              </w:rPr>
              <w:t>根据监测数据可知，项目东厂界噪声均满足《工业企业厂界环境噪声排放标准》（GB12348-2008）2类昼间限值要求。</w:t>
            </w:r>
          </w:p>
          <w:p w14:paraId="74182E4F">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2" w:firstLineChars="200"/>
              <w:textAlignment w:val="auto"/>
              <w:rPr>
                <w:rFonts w:hint="default" w:ascii="Times New Roman" w:hAnsi="Times New Roman"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2.2.4 固废</w:t>
            </w:r>
          </w:p>
          <w:p w14:paraId="4FD1FC82">
            <w:pPr>
              <w:keepNext w:val="0"/>
              <w:keepLines w:val="0"/>
              <w:pageBreakBefore w:val="0"/>
              <w:widowControl w:val="0"/>
              <w:tabs>
                <w:tab w:val="left" w:pos="792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2"/>
                <w:highlight w:val="none"/>
                <w:lang w:val="en-US" w:eastAsia="zh-CN"/>
              </w:rPr>
            </w:pPr>
            <w:r>
              <w:rPr>
                <w:rFonts w:hint="default" w:ascii="Times New Roman" w:hAnsi="Times New Roman" w:cs="Times New Roman"/>
                <w:color w:val="auto"/>
                <w:sz w:val="24"/>
                <w:szCs w:val="22"/>
                <w:highlight w:val="none"/>
                <w:lang w:val="en-US" w:eastAsia="zh-CN"/>
              </w:rPr>
              <w:t>该项目正常运营过程中产生的办公生活垃圾、一般工业固体废物及危险废物等。生活垃圾产生量约为3t/a，收集后由环卫部门统一清运；废边角料产生量约为2t/a，集中收集后定期外售；</w:t>
            </w:r>
            <w:r>
              <w:rPr>
                <w:rFonts w:hint="eastAsia" w:cs="Times New Roman"/>
                <w:color w:val="auto"/>
                <w:sz w:val="24"/>
                <w:szCs w:val="22"/>
                <w:highlight w:val="none"/>
                <w:lang w:val="en-US" w:eastAsia="zh-CN"/>
              </w:rPr>
              <w:t>废焊材产生量为0.04t/a，</w:t>
            </w:r>
            <w:r>
              <w:rPr>
                <w:rFonts w:hint="default" w:ascii="Times New Roman" w:hAnsi="Times New Roman" w:cs="Times New Roman"/>
                <w:color w:val="auto"/>
                <w:sz w:val="24"/>
                <w:szCs w:val="22"/>
                <w:highlight w:val="none"/>
                <w:lang w:val="en-US" w:eastAsia="zh-CN"/>
              </w:rPr>
              <w:t>集中收集后定期外售；</w:t>
            </w:r>
            <w:r>
              <w:rPr>
                <w:rFonts w:hint="eastAsia" w:cs="Times New Roman"/>
                <w:color w:val="auto"/>
                <w:sz w:val="24"/>
                <w:szCs w:val="22"/>
                <w:highlight w:val="none"/>
                <w:lang w:val="en-US" w:eastAsia="zh-CN"/>
              </w:rPr>
              <w:t>集尘灰产生量0.9875t/a，集中收集后定期外售；</w:t>
            </w:r>
            <w:r>
              <w:rPr>
                <w:rFonts w:hint="default" w:ascii="Times New Roman" w:hAnsi="Times New Roman" w:cs="Times New Roman"/>
                <w:color w:val="auto"/>
                <w:sz w:val="24"/>
                <w:szCs w:val="22"/>
                <w:highlight w:val="none"/>
                <w:lang w:val="en-US" w:eastAsia="zh-CN"/>
              </w:rPr>
              <w:t>废</w:t>
            </w:r>
            <w:r>
              <w:rPr>
                <w:rFonts w:hint="eastAsia" w:cs="Times New Roman"/>
                <w:color w:val="auto"/>
                <w:sz w:val="24"/>
                <w:szCs w:val="22"/>
                <w:highlight w:val="none"/>
                <w:lang w:val="en-US" w:eastAsia="zh-CN"/>
              </w:rPr>
              <w:t>机油</w:t>
            </w:r>
            <w:r>
              <w:rPr>
                <w:rFonts w:hint="default" w:ascii="Times New Roman" w:hAnsi="Times New Roman" w:cs="Times New Roman"/>
                <w:color w:val="auto"/>
                <w:sz w:val="24"/>
                <w:szCs w:val="22"/>
                <w:highlight w:val="none"/>
                <w:lang w:val="en-US" w:eastAsia="zh-CN"/>
              </w:rPr>
              <w:t>产生量为0.002t/a</w:t>
            </w:r>
            <w:r>
              <w:rPr>
                <w:rFonts w:hint="eastAsia" w:cs="Times New Roman"/>
                <w:color w:val="auto"/>
                <w:sz w:val="24"/>
                <w:szCs w:val="22"/>
                <w:highlight w:val="none"/>
                <w:lang w:val="en-US" w:eastAsia="zh-CN"/>
              </w:rPr>
              <w:t>、废切削液0.15t/a、废包装桶产生量为0.011t/a</w:t>
            </w:r>
            <w:r>
              <w:rPr>
                <w:rFonts w:hint="default" w:ascii="Times New Roman" w:hAnsi="Times New Roman" w:cs="Times New Roman"/>
                <w:color w:val="auto"/>
                <w:sz w:val="24"/>
                <w:szCs w:val="22"/>
                <w:highlight w:val="none"/>
                <w:lang w:val="en-US" w:eastAsia="zh-CN"/>
              </w:rPr>
              <w:t>，已与有资质单位签订好危废处置协议，确保所有危险废物得到妥善处置。因此，该项目固体废物不会对周围环境造成明显影响。</w:t>
            </w:r>
          </w:p>
          <w:p w14:paraId="2250BD05">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eastAsia" w:ascii="Times New Roman" w:hAnsi="Times New Roman" w:cs="Times New Roman"/>
                <w:b/>
                <w:bCs/>
                <w:color w:val="auto"/>
                <w:sz w:val="24"/>
                <w:szCs w:val="22"/>
                <w:highlight w:val="none"/>
                <w:lang w:val="en-US" w:eastAsia="zh-CN"/>
              </w:rPr>
            </w:pPr>
            <w:r>
              <w:rPr>
                <w:rFonts w:hint="eastAsia" w:ascii="Times New Roman" w:hAnsi="Times New Roman" w:cs="Times New Roman"/>
                <w:b/>
                <w:bCs/>
                <w:color w:val="auto"/>
                <w:sz w:val="24"/>
                <w:szCs w:val="22"/>
                <w:highlight w:val="none"/>
                <w:lang w:val="en-US" w:eastAsia="zh-CN"/>
              </w:rPr>
              <w:t>2.3 现有工程污染物排放总量</w:t>
            </w:r>
          </w:p>
          <w:p w14:paraId="000A15B6">
            <w:pPr>
              <w:numPr>
                <w:ilvl w:val="0"/>
                <w:numId w:val="0"/>
              </w:numPr>
              <w:spacing w:line="520" w:lineRule="exact"/>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现有项目排放量根据例行监测数据核算，现有</w:t>
            </w:r>
            <w:r>
              <w:rPr>
                <w:rFonts w:hint="eastAsia" w:cs="Times New Roman"/>
                <w:color w:val="auto"/>
                <w:sz w:val="24"/>
                <w:highlight w:val="none"/>
                <w:lang w:val="en-US" w:eastAsia="zh-CN"/>
              </w:rPr>
              <w:t>工程总量情况</w:t>
            </w:r>
            <w:r>
              <w:rPr>
                <w:rFonts w:hint="default" w:ascii="Times New Roman" w:hAnsi="Times New Roman" w:eastAsia="宋体" w:cs="Times New Roman"/>
                <w:color w:val="auto"/>
                <w:sz w:val="24"/>
                <w:highlight w:val="none"/>
              </w:rPr>
              <w:t>见</w:t>
            </w:r>
            <w:r>
              <w:rPr>
                <w:rFonts w:hint="eastAsia" w:cs="Times New Roman"/>
                <w:color w:val="auto"/>
                <w:sz w:val="24"/>
                <w:highlight w:val="none"/>
                <w:lang w:val="en-US" w:eastAsia="zh-CN"/>
              </w:rPr>
              <w:t>下</w:t>
            </w:r>
            <w:r>
              <w:rPr>
                <w:rFonts w:hint="default" w:ascii="Times New Roman" w:hAnsi="Times New Roman" w:eastAsia="宋体" w:cs="Times New Roman"/>
                <w:color w:val="auto"/>
                <w:sz w:val="24"/>
                <w:highlight w:val="none"/>
              </w:rPr>
              <w:t>表</w:t>
            </w:r>
            <w:r>
              <w:rPr>
                <w:rFonts w:hint="default" w:ascii="Times New Roman" w:hAnsi="Times New Roman" w:eastAsia="宋体" w:cs="Times New Roman"/>
                <w:color w:val="auto"/>
                <w:sz w:val="24"/>
                <w:highlight w:val="none"/>
                <w:lang w:val="en-US" w:eastAsia="zh-CN"/>
              </w:rPr>
              <w:t>。</w:t>
            </w:r>
          </w:p>
          <w:p w14:paraId="35622062">
            <w:pPr>
              <w:numPr>
                <w:ilvl w:val="0"/>
                <w:numId w:val="0"/>
              </w:numPr>
              <w:spacing w:line="5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表2-1</w:t>
            </w:r>
            <w:r>
              <w:rPr>
                <w:rFonts w:hint="eastAsia" w:cs="Times New Roman"/>
                <w:color w:val="auto"/>
                <w:sz w:val="21"/>
                <w:szCs w:val="21"/>
                <w:highlight w:val="none"/>
                <w:lang w:val="en-US" w:eastAsia="zh-CN"/>
              </w:rPr>
              <w:t xml:space="preserve">4 </w:t>
            </w:r>
            <w:r>
              <w:rPr>
                <w:rFonts w:hint="default" w:ascii="Times New Roman" w:hAnsi="Times New Roman" w:eastAsia="宋体" w:cs="Times New Roman"/>
                <w:color w:val="auto"/>
                <w:sz w:val="21"/>
                <w:szCs w:val="21"/>
                <w:highlight w:val="none"/>
                <w:lang w:val="en-US" w:eastAsia="zh-CN"/>
              </w:rPr>
              <w:t xml:space="preserve">  现有</w:t>
            </w:r>
            <w:r>
              <w:rPr>
                <w:rFonts w:hint="eastAsia" w:cs="Times New Roman"/>
                <w:color w:val="auto"/>
                <w:sz w:val="21"/>
                <w:szCs w:val="21"/>
                <w:highlight w:val="none"/>
                <w:lang w:val="en-US" w:eastAsia="zh-CN"/>
              </w:rPr>
              <w:t>总量</w:t>
            </w:r>
            <w:r>
              <w:rPr>
                <w:rFonts w:hint="default" w:ascii="Times New Roman" w:hAnsi="Times New Roman" w:eastAsia="宋体" w:cs="Times New Roman"/>
                <w:color w:val="auto"/>
                <w:sz w:val="21"/>
                <w:szCs w:val="21"/>
                <w:highlight w:val="none"/>
                <w:lang w:val="en-US" w:eastAsia="zh-CN"/>
              </w:rPr>
              <w:t>排放情况表（单位：t/a）</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2381"/>
              <w:gridCol w:w="2105"/>
              <w:gridCol w:w="2118"/>
            </w:tblGrid>
            <w:tr w14:paraId="5289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51" w:type="pct"/>
                  <w:gridSpan w:val="2"/>
                  <w:noWrap w:val="0"/>
                  <w:vAlign w:val="center"/>
                </w:tcPr>
                <w:p w14:paraId="50086D5D">
                  <w:pPr>
                    <w:keepNext w:val="0"/>
                    <w:keepLines w:val="0"/>
                    <w:pageBreakBefore w:val="0"/>
                    <w:widowControl w:val="0"/>
                    <w:kinsoku/>
                    <w:wordWrap/>
                    <w:overflowPunct/>
                    <w:topLinePunct w:val="0"/>
                    <w:autoSpaceDE/>
                    <w:autoSpaceDN/>
                    <w:bidi w:val="0"/>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eastAsia="宋体" w:cs="Times New Roman"/>
                      <w:b w:val="0"/>
                      <w:bCs w:val="0"/>
                      <w:color w:val="auto"/>
                      <w:sz w:val="21"/>
                      <w:szCs w:val="21"/>
                      <w:highlight w:val="none"/>
                      <w:u w:val="none"/>
                      <w:lang w:eastAsia="zh-CN"/>
                    </w:rPr>
                    <w:t>类别</w:t>
                  </w:r>
                </w:p>
              </w:tc>
              <w:tc>
                <w:tcPr>
                  <w:tcW w:w="1370" w:type="pct"/>
                  <w:noWrap w:val="0"/>
                  <w:vAlign w:val="center"/>
                </w:tcPr>
                <w:p w14:paraId="5B6FA217">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eastAsia="zh-CN"/>
                    </w:rPr>
                    <w:t>现有</w:t>
                  </w:r>
                  <w:r>
                    <w:rPr>
                      <w:rFonts w:hint="default" w:ascii="Times New Roman" w:hAnsi="Times New Roman" w:eastAsia="宋体" w:cs="Times New Roman"/>
                      <w:b w:val="0"/>
                      <w:bCs w:val="0"/>
                      <w:color w:val="auto"/>
                      <w:sz w:val="21"/>
                      <w:szCs w:val="21"/>
                      <w:highlight w:val="none"/>
                      <w:u w:val="none"/>
                    </w:rPr>
                    <w:t>项目排放量</w:t>
                  </w:r>
                </w:p>
              </w:tc>
              <w:tc>
                <w:tcPr>
                  <w:tcW w:w="1378" w:type="pct"/>
                  <w:noWrap w:val="0"/>
                  <w:vAlign w:val="center"/>
                </w:tcPr>
                <w:p w14:paraId="1F6570AA">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环评许可排放总量</w:t>
                  </w:r>
                </w:p>
              </w:tc>
            </w:tr>
            <w:tr w14:paraId="20AE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701" w:type="pct"/>
                  <w:vMerge w:val="restart"/>
                  <w:noWrap w:val="0"/>
                  <w:vAlign w:val="center"/>
                </w:tcPr>
                <w:p w14:paraId="756013D3">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废水</w:t>
                  </w:r>
                </w:p>
              </w:tc>
              <w:tc>
                <w:tcPr>
                  <w:tcW w:w="1550" w:type="pct"/>
                  <w:noWrap w:val="0"/>
                  <w:vAlign w:val="center"/>
                </w:tcPr>
                <w:p w14:paraId="7459C7BC">
                  <w:pPr>
                    <w:pStyle w:val="59"/>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化学需氧量</w:t>
                  </w:r>
                </w:p>
              </w:tc>
              <w:tc>
                <w:tcPr>
                  <w:tcW w:w="1370" w:type="pct"/>
                  <w:noWrap w:val="0"/>
                  <w:vAlign w:val="center"/>
                </w:tcPr>
                <w:p w14:paraId="3D92E7BA">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0.015</w:t>
                  </w:r>
                </w:p>
              </w:tc>
              <w:tc>
                <w:tcPr>
                  <w:tcW w:w="1378" w:type="pct"/>
                  <w:noWrap w:val="0"/>
                  <w:vAlign w:val="center"/>
                </w:tcPr>
                <w:p w14:paraId="2EDE2869">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0.045</w:t>
                  </w:r>
                </w:p>
              </w:tc>
            </w:tr>
            <w:tr w14:paraId="1D87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701" w:type="pct"/>
                  <w:vMerge w:val="continue"/>
                  <w:noWrap w:val="0"/>
                  <w:vAlign w:val="center"/>
                </w:tcPr>
                <w:p w14:paraId="3452AC83">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rPr>
                  </w:pPr>
                </w:p>
              </w:tc>
              <w:tc>
                <w:tcPr>
                  <w:tcW w:w="1550" w:type="pct"/>
                  <w:noWrap w:val="0"/>
                  <w:vAlign w:val="center"/>
                </w:tcPr>
                <w:p w14:paraId="6D2FB25B">
                  <w:pPr>
                    <w:pStyle w:val="59"/>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氨氮</w:t>
                  </w:r>
                </w:p>
              </w:tc>
              <w:tc>
                <w:tcPr>
                  <w:tcW w:w="1370" w:type="pct"/>
                  <w:noWrap w:val="0"/>
                  <w:vAlign w:val="center"/>
                </w:tcPr>
                <w:p w14:paraId="12838263">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0.0</w:t>
                  </w:r>
                  <w:r>
                    <w:rPr>
                      <w:rFonts w:hint="eastAsia" w:cs="Times New Roman"/>
                      <w:b w:val="0"/>
                      <w:bCs w:val="0"/>
                      <w:color w:val="auto"/>
                      <w:kern w:val="2"/>
                      <w:sz w:val="21"/>
                      <w:szCs w:val="21"/>
                      <w:highlight w:val="none"/>
                      <w:u w:val="none"/>
                      <w:lang w:val="en-US" w:eastAsia="zh-CN" w:bidi="ar-SA"/>
                    </w:rPr>
                    <w:t>008</w:t>
                  </w:r>
                </w:p>
              </w:tc>
              <w:tc>
                <w:tcPr>
                  <w:tcW w:w="1378" w:type="pct"/>
                  <w:noWrap w:val="0"/>
                  <w:vAlign w:val="center"/>
                </w:tcPr>
                <w:p w14:paraId="41743095">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0.0048</w:t>
                  </w:r>
                </w:p>
              </w:tc>
            </w:tr>
            <w:tr w14:paraId="720B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1" w:type="pct"/>
                  <w:noWrap w:val="0"/>
                  <w:vAlign w:val="center"/>
                </w:tcPr>
                <w:p w14:paraId="4ABCC205">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none"/>
                      <w:lang w:eastAsia="zh-CN"/>
                    </w:rPr>
                  </w:pPr>
                  <w:r>
                    <w:rPr>
                      <w:rFonts w:hint="eastAsia" w:cs="Times New Roman"/>
                      <w:b w:val="0"/>
                      <w:bCs w:val="0"/>
                      <w:color w:val="auto"/>
                      <w:sz w:val="21"/>
                      <w:szCs w:val="21"/>
                      <w:highlight w:val="none"/>
                      <w:u w:val="none"/>
                      <w:lang w:val="en-US" w:eastAsia="zh-CN"/>
                    </w:rPr>
                    <w:t>废气</w:t>
                  </w:r>
                </w:p>
              </w:tc>
              <w:tc>
                <w:tcPr>
                  <w:tcW w:w="1550" w:type="pct"/>
                  <w:shd w:val="clear" w:color="auto" w:fill="auto"/>
                  <w:noWrap w:val="0"/>
                  <w:vAlign w:val="center"/>
                </w:tcPr>
                <w:p w14:paraId="09A0D2C7">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颗粒物</w:t>
                  </w:r>
                </w:p>
              </w:tc>
              <w:tc>
                <w:tcPr>
                  <w:tcW w:w="1370" w:type="pct"/>
                  <w:shd w:val="clear" w:color="auto" w:fill="auto"/>
                  <w:noWrap w:val="0"/>
                  <w:vAlign w:val="center"/>
                </w:tcPr>
                <w:p w14:paraId="3ABDEC0D">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kern w:val="2"/>
                      <w:sz w:val="21"/>
                      <w:szCs w:val="21"/>
                      <w:highlight w:val="none"/>
                      <w:u w:val="none"/>
                      <w:lang w:val="en-US" w:eastAsia="zh-CN" w:bidi="ar-SA"/>
                    </w:rPr>
                    <w:t>0.0875</w:t>
                  </w:r>
                </w:p>
              </w:tc>
              <w:tc>
                <w:tcPr>
                  <w:tcW w:w="1378" w:type="pct"/>
                  <w:noWrap w:val="0"/>
                  <w:vAlign w:val="center"/>
                </w:tcPr>
                <w:p w14:paraId="0DA5F3D3">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0.15</w:t>
                  </w:r>
                </w:p>
              </w:tc>
            </w:tr>
            <w:tr w14:paraId="2AA8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000" w:type="pct"/>
                  <w:gridSpan w:val="4"/>
                  <w:noWrap w:val="0"/>
                  <w:vAlign w:val="center"/>
                </w:tcPr>
                <w:p w14:paraId="08228CA1">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注：企业年焊接500h</w:t>
                  </w:r>
                </w:p>
              </w:tc>
            </w:tr>
          </w:tbl>
          <w:p w14:paraId="65C8FF49">
            <w:pPr>
              <w:keepNext w:val="0"/>
              <w:keepLines w:val="0"/>
              <w:pageBreakBefore w:val="0"/>
              <w:widowControl w:val="0"/>
              <w:tabs>
                <w:tab w:val="left" w:pos="7920"/>
              </w:tabs>
              <w:kinsoku/>
              <w:wordWrap/>
              <w:overflowPunct/>
              <w:topLinePunct w:val="0"/>
              <w:autoSpaceDE/>
              <w:autoSpaceDN/>
              <w:bidi w:val="0"/>
              <w:adjustRightInd/>
              <w:snapToGrid/>
              <w:spacing w:line="520" w:lineRule="exact"/>
              <w:textAlignment w:val="auto"/>
              <w:rPr>
                <w:rFonts w:hint="eastAsia" w:ascii="Times New Roman" w:hAnsi="Times New Roman" w:cs="Times New Roman"/>
                <w:b/>
                <w:bCs/>
                <w:color w:val="auto"/>
                <w:sz w:val="24"/>
                <w:szCs w:val="22"/>
                <w:highlight w:val="none"/>
                <w:lang w:val="en-US" w:eastAsia="zh-CN"/>
              </w:rPr>
            </w:pPr>
            <w:r>
              <w:rPr>
                <w:rFonts w:hint="eastAsia" w:ascii="Times New Roman" w:hAnsi="Times New Roman" w:cs="Times New Roman"/>
                <w:b/>
                <w:bCs/>
                <w:color w:val="auto"/>
                <w:sz w:val="24"/>
                <w:szCs w:val="22"/>
                <w:highlight w:val="none"/>
                <w:lang w:val="en-US" w:eastAsia="zh-CN"/>
              </w:rPr>
              <w:t>2.4 现有项目存在的环境问题及整改措施</w:t>
            </w:r>
          </w:p>
          <w:p w14:paraId="4A64EE89">
            <w:pPr>
              <w:numPr>
                <w:ilvl w:val="0"/>
                <w:numId w:val="0"/>
              </w:numPr>
              <w:spacing w:line="520" w:lineRule="exact"/>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本项目为新建（迁建）项目，新厂址现状为空地，不存在与本项目有关的原有污染及环境问题。</w:t>
            </w:r>
            <w:r>
              <w:rPr>
                <w:rFonts w:hint="eastAsia" w:ascii="Times New Roman" w:hAnsi="Times New Roman" w:eastAsia="宋体" w:cs="Times New Roman"/>
                <w:color w:val="auto"/>
                <w:sz w:val="24"/>
                <w:highlight w:val="none"/>
                <w:lang w:val="en-US" w:eastAsia="zh-CN"/>
              </w:rPr>
              <w:t>根据企业实际情况，</w:t>
            </w:r>
            <w:r>
              <w:rPr>
                <w:rFonts w:hint="default" w:ascii="Times New Roman" w:hAnsi="Times New Roman" w:eastAsia="宋体" w:cs="Times New Roman"/>
                <w:color w:val="auto"/>
                <w:sz w:val="24"/>
                <w:highlight w:val="none"/>
                <w:lang w:val="en-US" w:eastAsia="zh-CN"/>
              </w:rPr>
              <w:t>现有工程迁建过程仅为设备拆卸过程，迁建后，现有工程将不再存在。</w:t>
            </w:r>
          </w:p>
          <w:p w14:paraId="45037415">
            <w:pPr>
              <w:numPr>
                <w:ilvl w:val="0"/>
                <w:numId w:val="0"/>
              </w:numPr>
              <w:spacing w:line="520" w:lineRule="exact"/>
              <w:jc w:val="both"/>
              <w:rPr>
                <w:rFonts w:hint="default" w:ascii="Times New Roman" w:hAnsi="Times New Roman" w:cs="Times New Roman"/>
                <w:color w:val="auto"/>
                <w:sz w:val="24"/>
                <w:szCs w:val="22"/>
                <w:highlight w:val="none"/>
                <w:lang w:val="en-US" w:eastAsia="zh-CN"/>
              </w:rPr>
            </w:pPr>
          </w:p>
        </w:tc>
      </w:tr>
    </w:tbl>
    <w:p w14:paraId="316FBCA8">
      <w:pPr>
        <w:pStyle w:val="25"/>
        <w:keepNext w:val="0"/>
        <w:keepLines w:val="0"/>
        <w:pageBreakBefore w:val="0"/>
        <w:widowControl/>
        <w:kinsoku/>
        <w:wordWrap/>
        <w:overflowPunct/>
        <w:topLinePunct w:val="0"/>
        <w:autoSpaceDE/>
        <w:autoSpaceDN/>
        <w:bidi w:val="0"/>
        <w:adjustRightInd/>
        <w:snapToGrid/>
        <w:spacing w:before="0" w:beforeAutospacing="0" w:after="157" w:afterLines="50" w:afterAutospacing="0"/>
        <w:jc w:val="center"/>
        <w:textAlignment w:val="auto"/>
        <w:outlineLvl w:val="0"/>
        <w:rPr>
          <w:rFonts w:hint="default" w:ascii="Times New Roman" w:hAnsi="Times New Roman" w:eastAsia="宋体" w:cs="Times New Roman"/>
          <w:snapToGrid w:val="0"/>
          <w:color w:val="auto"/>
          <w:sz w:val="2"/>
          <w:szCs w:val="2"/>
          <w:highlight w:val="none"/>
        </w:rPr>
        <w:sectPr>
          <w:footerReference r:id="rId6" w:type="default"/>
          <w:pgSz w:w="11906" w:h="16838"/>
          <w:pgMar w:top="1440" w:right="1800" w:bottom="1440" w:left="1800" w:header="851" w:footer="851" w:gutter="0"/>
          <w:pgNumType w:fmt="decimal"/>
          <w:cols w:space="720" w:num="1"/>
          <w:docGrid w:linePitch="312" w:charSpace="0"/>
        </w:sectPr>
      </w:pPr>
    </w:p>
    <w:p w14:paraId="3F802830">
      <w:pPr>
        <w:pStyle w:val="25"/>
        <w:keepNext w:val="0"/>
        <w:keepLines w:val="0"/>
        <w:pageBreakBefore w:val="0"/>
        <w:widowControl/>
        <w:kinsoku/>
        <w:wordWrap/>
        <w:overflowPunct/>
        <w:topLinePunct w:val="0"/>
        <w:autoSpaceDE/>
        <w:autoSpaceDN/>
        <w:bidi w:val="0"/>
        <w:adjustRightInd/>
        <w:snapToGrid/>
        <w:spacing w:before="0" w:beforeAutospacing="0" w:after="157" w:afterLines="5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7" w:name="_Toc235"/>
      <w:bookmarkStart w:id="18" w:name="_Toc32276"/>
      <w:bookmarkStart w:id="19" w:name="_Toc24773"/>
      <w:r>
        <w:rPr>
          <w:rFonts w:hint="default" w:ascii="Times New Roman" w:hAnsi="Times New Roman" w:eastAsia="宋体" w:cs="Times New Roman"/>
          <w:snapToGrid w:val="0"/>
          <w:color w:val="auto"/>
          <w:sz w:val="30"/>
          <w:szCs w:val="30"/>
          <w:highlight w:val="none"/>
        </w:rPr>
        <w:t>三、区域环境质量现状、环境保护目标及评价标准</w:t>
      </w:r>
      <w:bookmarkEnd w:id="17"/>
      <w:bookmarkEnd w:id="18"/>
      <w:bookmarkEnd w:id="19"/>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7995"/>
      </w:tblGrid>
      <w:tr w14:paraId="7692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0" w:hRule="atLeast"/>
          <w:jc w:val="center"/>
        </w:trPr>
        <w:tc>
          <w:tcPr>
            <w:tcW w:w="316" w:type="pct"/>
            <w:noWrap w:val="0"/>
            <w:vAlign w:val="center"/>
          </w:tcPr>
          <w:p w14:paraId="731599A5">
            <w:pPr>
              <w:adjustRightInd w:val="0"/>
              <w:snapToGrid w:val="0"/>
              <w:jc w:val="center"/>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区域</w:t>
            </w:r>
          </w:p>
          <w:p w14:paraId="4F0447C9">
            <w:pPr>
              <w:adjustRightInd w:val="0"/>
              <w:snapToGrid w:val="0"/>
              <w:jc w:val="center"/>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环境</w:t>
            </w:r>
          </w:p>
          <w:p w14:paraId="20E86411">
            <w:pPr>
              <w:adjustRightInd w:val="0"/>
              <w:snapToGrid w:val="0"/>
              <w:jc w:val="center"/>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质量</w:t>
            </w:r>
          </w:p>
          <w:p w14:paraId="122B84A5">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 w:val="24"/>
                <w:szCs w:val="24"/>
                <w:highlight w:val="none"/>
              </w:rPr>
              <w:t>现状</w:t>
            </w:r>
          </w:p>
        </w:tc>
        <w:tc>
          <w:tcPr>
            <w:tcW w:w="4683" w:type="pct"/>
            <w:noWrap w:val="0"/>
            <w:vAlign w:val="center"/>
          </w:tcPr>
          <w:p w14:paraId="7E0C253B">
            <w:pPr>
              <w:keepNext w:val="0"/>
              <w:keepLines w:val="0"/>
              <w:pageBreakBefore w:val="0"/>
              <w:widowControl w:val="0"/>
              <w:tabs>
                <w:tab w:val="left" w:pos="1260"/>
              </w:tabs>
              <w:kinsoku/>
              <w:wordWrap/>
              <w:overflowPunct/>
              <w:topLinePunct w:val="0"/>
              <w:autoSpaceDE/>
              <w:autoSpaceDN/>
              <w:bidi w:val="0"/>
              <w:adjustRightInd w:val="0"/>
              <w:spacing w:line="520" w:lineRule="exact"/>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1、</w:t>
            </w:r>
            <w:r>
              <w:rPr>
                <w:rFonts w:hint="default" w:ascii="Times New Roman" w:hAnsi="Times New Roman" w:eastAsia="宋体" w:cs="Times New Roman"/>
                <w:b/>
                <w:color w:val="auto"/>
                <w:sz w:val="24"/>
                <w:highlight w:val="none"/>
              </w:rPr>
              <w:t>环境空气质量现状</w:t>
            </w:r>
          </w:p>
          <w:p w14:paraId="0ADCA168">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1.1 基本污染物</w:t>
            </w:r>
          </w:p>
          <w:p w14:paraId="237BF59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根据大气功能区划分，项目所在地属于环境空气二类功能区，环境空气质量应执行《环境空气质量标准》（GB3095-2012）二级标准。根据《建设项目环境影响报告表编制技术指南》（污染影响类）（试行），环境质量现状可以引用近3年的距离项目近的监测数据，国家、地方环境空气质量监测网数据或生态环境主管部门公开发布的质量数据等。本次评价选取2024年作为评价基准年，根据濮阳市生态环境局公布的2024年濮阳市环境质量概况，基本污染物统计数据见下表。</w:t>
            </w:r>
          </w:p>
          <w:p w14:paraId="24D6C7AC">
            <w:pPr>
              <w:pStyle w:val="16"/>
              <w:keepNext w:val="0"/>
              <w:keepLines w:val="0"/>
              <w:pageBreakBefore w:val="0"/>
              <w:widowControl w:val="0"/>
              <w:kinsoku/>
              <w:wordWrap/>
              <w:overflowPunct/>
              <w:topLinePunct w:val="0"/>
              <w:autoSpaceDE/>
              <w:autoSpaceDN/>
              <w:bidi w:val="0"/>
              <w:adjustRightInd w:val="0"/>
              <w:snapToGrid w:val="0"/>
              <w:spacing w:after="0" w:afterLines="0" w:line="52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 xml:space="preserve">表3-1  </w:t>
            </w:r>
            <w:r>
              <w:rPr>
                <w:rFonts w:hint="default" w:ascii="Times New Roman" w:hAnsi="Times New Roman" w:eastAsia="宋体" w:cs="Times New Roman"/>
                <w:b w:val="0"/>
                <w:bCs w:val="0"/>
                <w:color w:val="auto"/>
                <w:sz w:val="21"/>
                <w:szCs w:val="21"/>
                <w:highlight w:val="none"/>
                <w:u w:val="none"/>
                <w:lang w:val="en-US" w:eastAsia="zh-CN"/>
              </w:rPr>
              <w:t>环境空气质量监测统计结果一览表</w:t>
            </w:r>
          </w:p>
          <w:tbl>
            <w:tblPr>
              <w:tblStyle w:val="6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916"/>
              <w:gridCol w:w="2737"/>
              <w:gridCol w:w="1181"/>
              <w:gridCol w:w="1088"/>
              <w:gridCol w:w="987"/>
              <w:gridCol w:w="857"/>
            </w:tblGrid>
            <w:tr w14:paraId="3E5A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589" w:type="pct"/>
                  <w:tcBorders>
                    <w:tl2br w:val="nil"/>
                    <w:tr2bl w:val="nil"/>
                  </w:tcBorders>
                  <w:shd w:val="clear" w:color="auto" w:fill="auto"/>
                  <w:noWrap w:val="0"/>
                  <w:vAlign w:val="center"/>
                </w:tcPr>
                <w:p w14:paraId="6E822D53">
                  <w:pPr>
                    <w:pStyle w:val="59"/>
                    <w:keepNext w:val="0"/>
                    <w:keepLines w:val="0"/>
                    <w:pageBreakBefore w:val="0"/>
                    <w:widowControl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污染物</w:t>
                  </w:r>
                </w:p>
              </w:tc>
              <w:tc>
                <w:tcPr>
                  <w:tcW w:w="1761" w:type="pct"/>
                  <w:tcBorders>
                    <w:tl2br w:val="nil"/>
                    <w:tr2bl w:val="nil"/>
                  </w:tcBorders>
                  <w:shd w:val="clear" w:color="auto" w:fill="auto"/>
                  <w:noWrap w:val="0"/>
                  <w:vAlign w:val="center"/>
                </w:tcPr>
                <w:p w14:paraId="696553FE">
                  <w:pPr>
                    <w:pStyle w:val="59"/>
                    <w:keepNext w:val="0"/>
                    <w:keepLines w:val="0"/>
                    <w:pageBreakBefore w:val="0"/>
                    <w:widowControl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年评价指标</w:t>
                  </w:r>
                </w:p>
              </w:tc>
              <w:tc>
                <w:tcPr>
                  <w:tcW w:w="760" w:type="pct"/>
                  <w:tcBorders>
                    <w:tl2br w:val="nil"/>
                    <w:tr2bl w:val="nil"/>
                  </w:tcBorders>
                  <w:shd w:val="clear" w:color="auto" w:fill="auto"/>
                  <w:noWrap w:val="0"/>
                  <w:vAlign w:val="center"/>
                </w:tcPr>
                <w:p w14:paraId="58316D01">
                  <w:pPr>
                    <w:pStyle w:val="59"/>
                    <w:keepNext w:val="0"/>
                    <w:keepLines w:val="0"/>
                    <w:pageBreakBefore w:val="0"/>
                    <w:widowControl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rPr>
                    <w:t>现状浓度</w:t>
                  </w:r>
                  <w:r>
                    <w:rPr>
                      <w:rFonts w:hint="default" w:ascii="Times New Roman" w:hAnsi="Times New Roman" w:cs="Times New Roman"/>
                      <w:b w:val="0"/>
                      <w:bCs w:val="0"/>
                      <w:color w:val="auto"/>
                      <w:sz w:val="21"/>
                      <w:szCs w:val="21"/>
                      <w:highlight w:val="none"/>
                      <w:u w:val="none"/>
                      <w:lang w:val="en-US" w:eastAsia="zh-CN"/>
                    </w:rPr>
                    <w:t>/</w:t>
                  </w:r>
                  <w:r>
                    <w:rPr>
                      <w:rFonts w:hint="default" w:ascii="Times New Roman" w:hAnsi="Times New Roman" w:cs="Times New Roman"/>
                      <w:b w:val="0"/>
                      <w:bCs w:val="0"/>
                      <w:color w:val="auto"/>
                      <w:sz w:val="21"/>
                      <w:szCs w:val="21"/>
                      <w:highlight w:val="none"/>
                      <w:u w:val="none"/>
                      <w:lang w:eastAsia="zh-CN"/>
                    </w:rPr>
                    <w:t>μg/m</w:t>
                  </w:r>
                  <w:r>
                    <w:rPr>
                      <w:rFonts w:hint="default" w:ascii="Times New Roman" w:hAnsi="Times New Roman" w:cs="Times New Roman"/>
                      <w:b w:val="0"/>
                      <w:bCs w:val="0"/>
                      <w:color w:val="auto"/>
                      <w:sz w:val="21"/>
                      <w:szCs w:val="21"/>
                      <w:highlight w:val="none"/>
                      <w:u w:val="none"/>
                      <w:vertAlign w:val="superscript"/>
                      <w:lang w:eastAsia="zh-CN"/>
                    </w:rPr>
                    <w:t>3</w:t>
                  </w:r>
                </w:p>
              </w:tc>
              <w:tc>
                <w:tcPr>
                  <w:tcW w:w="700" w:type="pct"/>
                  <w:tcBorders>
                    <w:tl2br w:val="nil"/>
                    <w:tr2bl w:val="nil"/>
                  </w:tcBorders>
                  <w:shd w:val="clear" w:color="auto" w:fill="auto"/>
                  <w:noWrap w:val="0"/>
                  <w:vAlign w:val="center"/>
                </w:tcPr>
                <w:p w14:paraId="58F1DE6A">
                  <w:pPr>
                    <w:pStyle w:val="59"/>
                    <w:keepNext w:val="0"/>
                    <w:keepLines w:val="0"/>
                    <w:pageBreakBefore w:val="0"/>
                    <w:widowControl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标准值</w:t>
                  </w:r>
                </w:p>
              </w:tc>
              <w:tc>
                <w:tcPr>
                  <w:tcW w:w="635" w:type="pct"/>
                  <w:tcBorders>
                    <w:tl2br w:val="nil"/>
                    <w:tr2bl w:val="nil"/>
                  </w:tcBorders>
                  <w:shd w:val="clear" w:color="auto" w:fill="auto"/>
                  <w:noWrap w:val="0"/>
                  <w:vAlign w:val="center"/>
                </w:tcPr>
                <w:p w14:paraId="1B175D1F">
                  <w:pPr>
                    <w:pStyle w:val="59"/>
                    <w:keepNext w:val="0"/>
                    <w:keepLines w:val="0"/>
                    <w:pageBreakBefore w:val="0"/>
                    <w:widowControl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占标率/%</w:t>
                  </w:r>
                </w:p>
              </w:tc>
              <w:tc>
                <w:tcPr>
                  <w:tcW w:w="551" w:type="pct"/>
                  <w:tcBorders>
                    <w:tl2br w:val="nil"/>
                    <w:tr2bl w:val="nil"/>
                  </w:tcBorders>
                  <w:shd w:val="clear" w:color="auto" w:fill="auto"/>
                  <w:noWrap w:val="0"/>
                  <w:vAlign w:val="center"/>
                </w:tcPr>
                <w:p w14:paraId="6C6F03AA">
                  <w:pPr>
                    <w:pStyle w:val="59"/>
                    <w:keepNext w:val="0"/>
                    <w:keepLines w:val="0"/>
                    <w:pageBreakBefore w:val="0"/>
                    <w:widowControl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cs="Times New Roman"/>
                      <w:b w:val="0"/>
                      <w:bCs w:val="0"/>
                      <w:color w:val="auto"/>
                      <w:sz w:val="21"/>
                      <w:szCs w:val="21"/>
                      <w:highlight w:val="none"/>
                      <w:u w:val="none"/>
                      <w:lang w:val="en-US" w:eastAsia="zh-CN"/>
                    </w:rPr>
                    <w:t>达标情况</w:t>
                  </w:r>
                </w:p>
              </w:tc>
            </w:tr>
            <w:tr w14:paraId="50F36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6" w:hRule="atLeast"/>
                <w:jc w:val="center"/>
              </w:trPr>
              <w:tc>
                <w:tcPr>
                  <w:tcW w:w="589" w:type="pct"/>
                  <w:vMerge w:val="restart"/>
                  <w:tcBorders>
                    <w:tl2br w:val="nil"/>
                    <w:tr2bl w:val="nil"/>
                  </w:tcBorders>
                  <w:shd w:val="clear" w:color="auto" w:fill="auto"/>
                  <w:noWrap w:val="0"/>
                  <w:vAlign w:val="center"/>
                </w:tcPr>
                <w:p w14:paraId="22ED165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SO</w:t>
                  </w:r>
                  <w:r>
                    <w:rPr>
                      <w:rFonts w:hint="eastAsia" w:ascii="Times New Roman" w:hAnsi="Times New Roman" w:eastAsia="宋体" w:cs="Times New Roman"/>
                      <w:b w:val="0"/>
                      <w:bCs w:val="0"/>
                      <w:color w:val="auto"/>
                      <w:sz w:val="21"/>
                      <w:szCs w:val="21"/>
                      <w:u w:val="none"/>
                      <w:vertAlign w:val="subscript"/>
                      <w:lang w:val="en-US" w:eastAsia="zh-CN"/>
                    </w:rPr>
                    <w:t>2</w:t>
                  </w:r>
                </w:p>
              </w:tc>
              <w:tc>
                <w:tcPr>
                  <w:tcW w:w="1761" w:type="pct"/>
                  <w:tcBorders>
                    <w:bottom w:val="single" w:color="auto" w:sz="4" w:space="0"/>
                    <w:tl2br w:val="nil"/>
                    <w:tr2bl w:val="nil"/>
                  </w:tcBorders>
                  <w:shd w:val="clear" w:color="auto" w:fill="auto"/>
                  <w:noWrap w:val="0"/>
                  <w:vAlign w:val="center"/>
                </w:tcPr>
                <w:p w14:paraId="4F658A9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年平均浓度</w:t>
                  </w:r>
                </w:p>
              </w:tc>
              <w:tc>
                <w:tcPr>
                  <w:tcW w:w="760" w:type="pct"/>
                  <w:tcBorders>
                    <w:bottom w:val="single" w:color="auto" w:sz="4" w:space="0"/>
                    <w:tl2br w:val="nil"/>
                    <w:tr2bl w:val="nil"/>
                  </w:tcBorders>
                  <w:shd w:val="clear" w:color="auto" w:fill="auto"/>
                  <w:noWrap w:val="0"/>
                  <w:vAlign w:val="center"/>
                </w:tcPr>
                <w:p w14:paraId="0AB9B343">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7</w:t>
                  </w:r>
                </w:p>
              </w:tc>
              <w:tc>
                <w:tcPr>
                  <w:tcW w:w="700" w:type="pct"/>
                  <w:tcBorders>
                    <w:bottom w:val="single" w:color="auto" w:sz="4" w:space="0"/>
                    <w:tl2br w:val="nil"/>
                    <w:tr2bl w:val="nil"/>
                  </w:tcBorders>
                  <w:shd w:val="clear" w:color="auto" w:fill="auto"/>
                  <w:noWrap w:val="0"/>
                  <w:vAlign w:val="center"/>
                </w:tcPr>
                <w:p w14:paraId="2EF5F219">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60</w:t>
                  </w:r>
                </w:p>
              </w:tc>
              <w:tc>
                <w:tcPr>
                  <w:tcW w:w="635" w:type="pct"/>
                  <w:tcBorders>
                    <w:bottom w:val="single" w:color="auto" w:sz="4" w:space="0"/>
                    <w:tl2br w:val="nil"/>
                    <w:tr2bl w:val="nil"/>
                  </w:tcBorders>
                  <w:shd w:val="clear" w:color="auto" w:fill="auto"/>
                  <w:noWrap w:val="0"/>
                  <w:vAlign w:val="center"/>
                </w:tcPr>
                <w:p w14:paraId="51C08029">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11.7</w:t>
                  </w:r>
                </w:p>
              </w:tc>
              <w:tc>
                <w:tcPr>
                  <w:tcW w:w="551" w:type="pct"/>
                  <w:tcBorders>
                    <w:bottom w:val="single" w:color="auto" w:sz="4" w:space="0"/>
                    <w:tl2br w:val="nil"/>
                    <w:tr2bl w:val="nil"/>
                  </w:tcBorders>
                  <w:shd w:val="clear" w:color="auto" w:fill="auto"/>
                  <w:noWrap w:val="0"/>
                  <w:vAlign w:val="center"/>
                </w:tcPr>
                <w:p w14:paraId="2B5ACDC8">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达标</w:t>
                  </w:r>
                </w:p>
              </w:tc>
            </w:tr>
            <w:tr w14:paraId="4655E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 w:hRule="atLeast"/>
                <w:jc w:val="center"/>
              </w:trPr>
              <w:tc>
                <w:tcPr>
                  <w:tcW w:w="589" w:type="pct"/>
                  <w:vMerge w:val="continue"/>
                  <w:tcBorders>
                    <w:tl2br w:val="nil"/>
                    <w:tr2bl w:val="nil"/>
                  </w:tcBorders>
                  <w:shd w:val="clear" w:color="auto" w:fill="auto"/>
                  <w:noWrap w:val="0"/>
                  <w:vAlign w:val="center"/>
                </w:tcPr>
                <w:p w14:paraId="1DA43B7B">
                  <w:pPr>
                    <w:pStyle w:val="59"/>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textAlignment w:val="auto"/>
                    <w:rPr>
                      <w:rFonts w:hint="default" w:ascii="Times New Roman" w:hAnsi="Times New Roman" w:eastAsia="宋体" w:cs="Times New Roman"/>
                      <w:b w:val="0"/>
                      <w:bCs w:val="0"/>
                      <w:color w:val="auto"/>
                      <w:sz w:val="21"/>
                      <w:szCs w:val="21"/>
                      <w:highlight w:val="none"/>
                      <w:u w:val="none"/>
                      <w:lang w:val="en-US" w:eastAsia="zh-CN"/>
                    </w:rPr>
                  </w:pPr>
                </w:p>
              </w:tc>
              <w:tc>
                <w:tcPr>
                  <w:tcW w:w="1761" w:type="pct"/>
                  <w:tcBorders>
                    <w:top w:val="single" w:color="auto" w:sz="4" w:space="0"/>
                    <w:tl2br w:val="nil"/>
                    <w:tr2bl w:val="nil"/>
                  </w:tcBorders>
                  <w:shd w:val="clear" w:color="auto" w:fill="auto"/>
                  <w:noWrap w:val="0"/>
                  <w:vAlign w:val="center"/>
                </w:tcPr>
                <w:p w14:paraId="3FD0B6F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日平均第98百分位数</w:t>
                  </w:r>
                </w:p>
              </w:tc>
              <w:tc>
                <w:tcPr>
                  <w:tcW w:w="760" w:type="pct"/>
                  <w:tcBorders>
                    <w:top w:val="single" w:color="auto" w:sz="4" w:space="0"/>
                    <w:tl2br w:val="nil"/>
                    <w:tr2bl w:val="nil"/>
                  </w:tcBorders>
                  <w:shd w:val="clear" w:color="auto" w:fill="auto"/>
                  <w:noWrap w:val="0"/>
                  <w:vAlign w:val="center"/>
                </w:tcPr>
                <w:p w14:paraId="3E1261CA">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21</w:t>
                  </w:r>
                </w:p>
              </w:tc>
              <w:tc>
                <w:tcPr>
                  <w:tcW w:w="700" w:type="pct"/>
                  <w:tcBorders>
                    <w:top w:val="single" w:color="auto" w:sz="4" w:space="0"/>
                    <w:tl2br w:val="nil"/>
                    <w:tr2bl w:val="nil"/>
                  </w:tcBorders>
                  <w:shd w:val="clear" w:color="auto" w:fill="auto"/>
                  <w:noWrap w:val="0"/>
                  <w:vAlign w:val="center"/>
                </w:tcPr>
                <w:p w14:paraId="4482B4D7">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150</w:t>
                  </w:r>
                </w:p>
              </w:tc>
              <w:tc>
                <w:tcPr>
                  <w:tcW w:w="635" w:type="pct"/>
                  <w:tcBorders>
                    <w:top w:val="single" w:color="auto" w:sz="4" w:space="0"/>
                    <w:tl2br w:val="nil"/>
                    <w:tr2bl w:val="nil"/>
                  </w:tcBorders>
                  <w:shd w:val="clear" w:color="auto" w:fill="auto"/>
                  <w:noWrap w:val="0"/>
                  <w:vAlign w:val="center"/>
                </w:tcPr>
                <w:p w14:paraId="4830468A">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14</w:t>
                  </w:r>
                </w:p>
              </w:tc>
              <w:tc>
                <w:tcPr>
                  <w:tcW w:w="551" w:type="pct"/>
                  <w:tcBorders>
                    <w:top w:val="single" w:color="auto" w:sz="4" w:space="0"/>
                    <w:tl2br w:val="nil"/>
                    <w:tr2bl w:val="nil"/>
                  </w:tcBorders>
                  <w:shd w:val="clear" w:color="auto" w:fill="auto"/>
                  <w:noWrap w:val="0"/>
                  <w:vAlign w:val="center"/>
                </w:tcPr>
                <w:p w14:paraId="6EE49987">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达标</w:t>
                  </w:r>
                </w:p>
              </w:tc>
            </w:tr>
            <w:tr w14:paraId="4098C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9" w:type="pct"/>
                  <w:vMerge w:val="restart"/>
                  <w:tcBorders>
                    <w:tl2br w:val="nil"/>
                    <w:tr2bl w:val="nil"/>
                  </w:tcBorders>
                  <w:shd w:val="clear" w:color="auto" w:fill="auto"/>
                  <w:noWrap w:val="0"/>
                  <w:vAlign w:val="center"/>
                </w:tcPr>
                <w:p w14:paraId="43E3A8B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none"/>
                      <w:lang w:val="en-US"/>
                    </w:rPr>
                  </w:pPr>
                  <w:r>
                    <w:rPr>
                      <w:rFonts w:hint="eastAsia" w:ascii="Times New Roman" w:hAnsi="Times New Roman" w:eastAsia="宋体" w:cs="Times New Roman"/>
                      <w:b w:val="0"/>
                      <w:bCs w:val="0"/>
                      <w:color w:val="auto"/>
                      <w:sz w:val="21"/>
                      <w:szCs w:val="21"/>
                      <w:u w:val="none"/>
                      <w:vertAlign w:val="baseline"/>
                      <w:lang w:val="en-US" w:eastAsia="zh-CN"/>
                    </w:rPr>
                    <w:t>NO</w:t>
                  </w:r>
                  <w:r>
                    <w:rPr>
                      <w:rFonts w:hint="eastAsia" w:ascii="Times New Roman" w:hAnsi="Times New Roman" w:eastAsia="宋体" w:cs="Times New Roman"/>
                      <w:b w:val="0"/>
                      <w:bCs w:val="0"/>
                      <w:color w:val="auto"/>
                      <w:sz w:val="21"/>
                      <w:szCs w:val="21"/>
                      <w:u w:val="none"/>
                      <w:vertAlign w:val="subscript"/>
                      <w:lang w:val="en-US" w:eastAsia="zh-CN"/>
                    </w:rPr>
                    <w:t>2</w:t>
                  </w:r>
                </w:p>
              </w:tc>
              <w:tc>
                <w:tcPr>
                  <w:tcW w:w="1761" w:type="pct"/>
                  <w:tcBorders>
                    <w:bottom w:val="single" w:color="auto" w:sz="4" w:space="0"/>
                    <w:tl2br w:val="nil"/>
                    <w:tr2bl w:val="nil"/>
                  </w:tcBorders>
                  <w:shd w:val="clear" w:color="auto" w:fill="auto"/>
                  <w:noWrap w:val="0"/>
                  <w:vAlign w:val="center"/>
                </w:tcPr>
                <w:p w14:paraId="226C140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年平均浓度</w:t>
                  </w:r>
                </w:p>
              </w:tc>
              <w:tc>
                <w:tcPr>
                  <w:tcW w:w="760" w:type="pct"/>
                  <w:tcBorders>
                    <w:bottom w:val="single" w:color="auto" w:sz="4" w:space="0"/>
                    <w:tl2br w:val="nil"/>
                    <w:tr2bl w:val="nil"/>
                  </w:tcBorders>
                  <w:shd w:val="clear" w:color="auto" w:fill="auto"/>
                  <w:noWrap w:val="0"/>
                  <w:vAlign w:val="center"/>
                </w:tcPr>
                <w:p w14:paraId="465F102A">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22</w:t>
                  </w:r>
                </w:p>
              </w:tc>
              <w:tc>
                <w:tcPr>
                  <w:tcW w:w="700" w:type="pct"/>
                  <w:tcBorders>
                    <w:bottom w:val="single" w:color="auto" w:sz="4" w:space="0"/>
                    <w:tl2br w:val="nil"/>
                    <w:tr2bl w:val="nil"/>
                  </w:tcBorders>
                  <w:shd w:val="clear" w:color="auto" w:fill="auto"/>
                  <w:noWrap w:val="0"/>
                  <w:vAlign w:val="center"/>
                </w:tcPr>
                <w:p w14:paraId="76671CCE">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40</w:t>
                  </w:r>
                </w:p>
              </w:tc>
              <w:tc>
                <w:tcPr>
                  <w:tcW w:w="635" w:type="pct"/>
                  <w:tcBorders>
                    <w:bottom w:val="single" w:color="auto" w:sz="4" w:space="0"/>
                    <w:tl2br w:val="nil"/>
                    <w:tr2bl w:val="nil"/>
                  </w:tcBorders>
                  <w:shd w:val="clear" w:color="auto" w:fill="auto"/>
                  <w:noWrap w:val="0"/>
                  <w:vAlign w:val="center"/>
                </w:tcPr>
                <w:p w14:paraId="5DF32F2E">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55</w:t>
                  </w:r>
                </w:p>
              </w:tc>
              <w:tc>
                <w:tcPr>
                  <w:tcW w:w="551" w:type="pct"/>
                  <w:tcBorders>
                    <w:bottom w:val="single" w:color="auto" w:sz="4" w:space="0"/>
                    <w:tl2br w:val="nil"/>
                    <w:tr2bl w:val="nil"/>
                  </w:tcBorders>
                  <w:shd w:val="clear" w:color="auto" w:fill="auto"/>
                  <w:noWrap w:val="0"/>
                  <w:vAlign w:val="center"/>
                </w:tcPr>
                <w:p w14:paraId="47B1C3AE">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达标</w:t>
                  </w:r>
                </w:p>
              </w:tc>
            </w:tr>
            <w:tr w14:paraId="79A4F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jc w:val="center"/>
              </w:trPr>
              <w:tc>
                <w:tcPr>
                  <w:tcW w:w="589" w:type="pct"/>
                  <w:vMerge w:val="continue"/>
                  <w:tcBorders>
                    <w:tl2br w:val="nil"/>
                    <w:tr2bl w:val="nil"/>
                  </w:tcBorders>
                  <w:shd w:val="clear" w:color="auto" w:fill="auto"/>
                  <w:noWrap w:val="0"/>
                  <w:vAlign w:val="center"/>
                </w:tcPr>
                <w:p w14:paraId="5628DE5F">
                  <w:pPr>
                    <w:pStyle w:val="59"/>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textAlignment w:val="auto"/>
                    <w:rPr>
                      <w:rFonts w:hint="default" w:ascii="Times New Roman" w:hAnsi="Times New Roman" w:eastAsia="宋体" w:cs="Times New Roman"/>
                      <w:b w:val="0"/>
                      <w:bCs w:val="0"/>
                      <w:color w:val="auto"/>
                      <w:sz w:val="21"/>
                      <w:szCs w:val="21"/>
                      <w:highlight w:val="none"/>
                      <w:u w:val="none"/>
                      <w:lang w:val="en-US" w:eastAsia="zh-CN"/>
                    </w:rPr>
                  </w:pPr>
                </w:p>
              </w:tc>
              <w:tc>
                <w:tcPr>
                  <w:tcW w:w="1761" w:type="pct"/>
                  <w:tcBorders>
                    <w:top w:val="single" w:color="auto" w:sz="4" w:space="0"/>
                    <w:tl2br w:val="nil"/>
                    <w:tr2bl w:val="nil"/>
                  </w:tcBorders>
                  <w:shd w:val="clear" w:color="auto" w:fill="auto"/>
                  <w:noWrap w:val="0"/>
                  <w:vAlign w:val="center"/>
                </w:tcPr>
                <w:p w14:paraId="3FFD481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日平均第98百分位数</w:t>
                  </w:r>
                </w:p>
              </w:tc>
              <w:tc>
                <w:tcPr>
                  <w:tcW w:w="760" w:type="pct"/>
                  <w:tcBorders>
                    <w:top w:val="single" w:color="auto" w:sz="4" w:space="0"/>
                    <w:tl2br w:val="nil"/>
                    <w:tr2bl w:val="nil"/>
                  </w:tcBorders>
                  <w:shd w:val="clear" w:color="auto" w:fill="auto"/>
                  <w:noWrap w:val="0"/>
                  <w:vAlign w:val="center"/>
                </w:tcPr>
                <w:p w14:paraId="769D15D6">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54</w:t>
                  </w:r>
                </w:p>
              </w:tc>
              <w:tc>
                <w:tcPr>
                  <w:tcW w:w="700" w:type="pct"/>
                  <w:tcBorders>
                    <w:top w:val="single" w:color="auto" w:sz="4" w:space="0"/>
                    <w:tl2br w:val="nil"/>
                    <w:tr2bl w:val="nil"/>
                  </w:tcBorders>
                  <w:shd w:val="clear" w:color="auto" w:fill="auto"/>
                  <w:noWrap w:val="0"/>
                  <w:vAlign w:val="center"/>
                </w:tcPr>
                <w:p w14:paraId="2653F0B3">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80</w:t>
                  </w:r>
                </w:p>
              </w:tc>
              <w:tc>
                <w:tcPr>
                  <w:tcW w:w="635" w:type="pct"/>
                  <w:tcBorders>
                    <w:top w:val="single" w:color="auto" w:sz="4" w:space="0"/>
                    <w:tl2br w:val="nil"/>
                    <w:tr2bl w:val="nil"/>
                  </w:tcBorders>
                  <w:shd w:val="clear" w:color="auto" w:fill="auto"/>
                  <w:noWrap w:val="0"/>
                  <w:vAlign w:val="center"/>
                </w:tcPr>
                <w:p w14:paraId="7147CE3E">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67.5</w:t>
                  </w:r>
                </w:p>
              </w:tc>
              <w:tc>
                <w:tcPr>
                  <w:tcW w:w="551" w:type="pct"/>
                  <w:tcBorders>
                    <w:top w:val="single" w:color="auto" w:sz="4" w:space="0"/>
                    <w:bottom w:val="single" w:color="auto" w:sz="4" w:space="0"/>
                    <w:tl2br w:val="nil"/>
                    <w:tr2bl w:val="nil"/>
                  </w:tcBorders>
                  <w:shd w:val="clear" w:color="auto" w:fill="auto"/>
                  <w:noWrap w:val="0"/>
                  <w:vAlign w:val="center"/>
                </w:tcPr>
                <w:p w14:paraId="59E79475">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达标</w:t>
                  </w:r>
                </w:p>
              </w:tc>
            </w:tr>
            <w:tr w14:paraId="3743D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89" w:type="pct"/>
                  <w:vMerge w:val="restart"/>
                  <w:tcBorders>
                    <w:tl2br w:val="nil"/>
                    <w:tr2bl w:val="nil"/>
                  </w:tcBorders>
                  <w:shd w:val="clear" w:color="auto" w:fill="auto"/>
                  <w:noWrap w:val="0"/>
                  <w:vAlign w:val="center"/>
                </w:tcPr>
                <w:p w14:paraId="214F2DA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PM</w:t>
                  </w:r>
                  <w:r>
                    <w:rPr>
                      <w:rFonts w:hint="eastAsia" w:ascii="Times New Roman" w:hAnsi="Times New Roman" w:eastAsia="宋体" w:cs="Times New Roman"/>
                      <w:b w:val="0"/>
                      <w:bCs w:val="0"/>
                      <w:color w:val="auto"/>
                      <w:sz w:val="21"/>
                      <w:szCs w:val="21"/>
                      <w:u w:val="none"/>
                      <w:vertAlign w:val="subscript"/>
                      <w:lang w:val="en-US" w:eastAsia="zh-CN"/>
                    </w:rPr>
                    <w:t>10</w:t>
                  </w:r>
                </w:p>
              </w:tc>
              <w:tc>
                <w:tcPr>
                  <w:tcW w:w="1761" w:type="pct"/>
                  <w:tcBorders>
                    <w:bottom w:val="single" w:color="auto" w:sz="4" w:space="0"/>
                    <w:tl2br w:val="nil"/>
                    <w:tr2bl w:val="nil"/>
                  </w:tcBorders>
                  <w:shd w:val="clear" w:color="auto" w:fill="auto"/>
                  <w:noWrap w:val="0"/>
                  <w:vAlign w:val="center"/>
                </w:tcPr>
                <w:p w14:paraId="211CCEE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年平均浓度</w:t>
                  </w:r>
                </w:p>
              </w:tc>
              <w:tc>
                <w:tcPr>
                  <w:tcW w:w="760" w:type="pct"/>
                  <w:tcBorders>
                    <w:bottom w:val="single" w:color="auto" w:sz="4" w:space="0"/>
                    <w:tl2br w:val="nil"/>
                    <w:tr2bl w:val="nil"/>
                  </w:tcBorders>
                  <w:shd w:val="clear" w:color="auto" w:fill="auto"/>
                  <w:noWrap w:val="0"/>
                  <w:vAlign w:val="center"/>
                </w:tcPr>
                <w:p w14:paraId="4D075E38">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77</w:t>
                  </w:r>
                </w:p>
              </w:tc>
              <w:tc>
                <w:tcPr>
                  <w:tcW w:w="700" w:type="pct"/>
                  <w:tcBorders>
                    <w:bottom w:val="single" w:color="auto" w:sz="4" w:space="0"/>
                    <w:tl2br w:val="nil"/>
                    <w:tr2bl w:val="nil"/>
                  </w:tcBorders>
                  <w:shd w:val="clear" w:color="auto" w:fill="auto"/>
                  <w:noWrap w:val="0"/>
                  <w:vAlign w:val="center"/>
                </w:tcPr>
                <w:p w14:paraId="17CBC29C">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70</w:t>
                  </w:r>
                </w:p>
              </w:tc>
              <w:tc>
                <w:tcPr>
                  <w:tcW w:w="635" w:type="pct"/>
                  <w:tcBorders>
                    <w:bottom w:val="single" w:color="auto" w:sz="4" w:space="0"/>
                    <w:tl2br w:val="nil"/>
                    <w:tr2bl w:val="nil"/>
                  </w:tcBorders>
                  <w:shd w:val="clear" w:color="auto" w:fill="auto"/>
                  <w:noWrap w:val="0"/>
                  <w:vAlign w:val="center"/>
                </w:tcPr>
                <w:p w14:paraId="5BFC2C87">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110</w:t>
                  </w:r>
                </w:p>
              </w:tc>
              <w:tc>
                <w:tcPr>
                  <w:tcW w:w="551" w:type="pct"/>
                  <w:tcBorders>
                    <w:top w:val="single" w:color="auto" w:sz="4" w:space="0"/>
                    <w:bottom w:val="single" w:color="auto" w:sz="4" w:space="0"/>
                    <w:tl2br w:val="nil"/>
                    <w:tr2bl w:val="nil"/>
                  </w:tcBorders>
                  <w:shd w:val="clear" w:color="auto" w:fill="auto"/>
                  <w:noWrap w:val="0"/>
                  <w:vAlign w:val="center"/>
                </w:tcPr>
                <w:p w14:paraId="2D7D17D5">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不达标</w:t>
                  </w:r>
                </w:p>
              </w:tc>
            </w:tr>
            <w:tr w14:paraId="6FE9B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 w:hRule="atLeast"/>
                <w:jc w:val="center"/>
              </w:trPr>
              <w:tc>
                <w:tcPr>
                  <w:tcW w:w="589" w:type="pct"/>
                  <w:vMerge w:val="continue"/>
                  <w:tcBorders>
                    <w:tl2br w:val="nil"/>
                    <w:tr2bl w:val="nil"/>
                  </w:tcBorders>
                  <w:shd w:val="clear" w:color="auto" w:fill="auto"/>
                  <w:noWrap w:val="0"/>
                  <w:vAlign w:val="center"/>
                </w:tcPr>
                <w:p w14:paraId="063B5B2E">
                  <w:pPr>
                    <w:pStyle w:val="59"/>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textAlignment w:val="auto"/>
                    <w:rPr>
                      <w:rFonts w:hint="default" w:ascii="Times New Roman" w:hAnsi="Times New Roman" w:eastAsia="宋体" w:cs="Times New Roman"/>
                      <w:b w:val="0"/>
                      <w:bCs w:val="0"/>
                      <w:color w:val="auto"/>
                      <w:sz w:val="21"/>
                      <w:szCs w:val="21"/>
                      <w:highlight w:val="none"/>
                      <w:u w:val="none"/>
                      <w:lang w:val="en-US" w:eastAsia="zh-CN"/>
                    </w:rPr>
                  </w:pPr>
                </w:p>
              </w:tc>
              <w:tc>
                <w:tcPr>
                  <w:tcW w:w="1761" w:type="pct"/>
                  <w:tcBorders>
                    <w:top w:val="single" w:color="auto" w:sz="4" w:space="0"/>
                    <w:tl2br w:val="nil"/>
                    <w:tr2bl w:val="nil"/>
                  </w:tcBorders>
                  <w:shd w:val="clear" w:color="auto" w:fill="auto"/>
                  <w:noWrap w:val="0"/>
                  <w:vAlign w:val="center"/>
                </w:tcPr>
                <w:p w14:paraId="127DA94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日平均第95百分位数</w:t>
                  </w:r>
                </w:p>
              </w:tc>
              <w:tc>
                <w:tcPr>
                  <w:tcW w:w="760" w:type="pct"/>
                  <w:tcBorders>
                    <w:top w:val="single" w:color="auto" w:sz="4" w:space="0"/>
                    <w:tl2br w:val="nil"/>
                    <w:tr2bl w:val="nil"/>
                  </w:tcBorders>
                  <w:shd w:val="clear" w:color="auto" w:fill="auto"/>
                  <w:noWrap w:val="0"/>
                  <w:vAlign w:val="center"/>
                </w:tcPr>
                <w:p w14:paraId="3364081F">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141</w:t>
                  </w:r>
                </w:p>
              </w:tc>
              <w:tc>
                <w:tcPr>
                  <w:tcW w:w="700" w:type="pct"/>
                  <w:tcBorders>
                    <w:top w:val="single" w:color="auto" w:sz="4" w:space="0"/>
                    <w:tl2br w:val="nil"/>
                    <w:tr2bl w:val="nil"/>
                  </w:tcBorders>
                  <w:shd w:val="clear" w:color="auto" w:fill="auto"/>
                  <w:noWrap w:val="0"/>
                  <w:vAlign w:val="center"/>
                </w:tcPr>
                <w:p w14:paraId="77EC0D05">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150</w:t>
                  </w:r>
                </w:p>
              </w:tc>
              <w:tc>
                <w:tcPr>
                  <w:tcW w:w="635" w:type="pct"/>
                  <w:tcBorders>
                    <w:top w:val="single" w:color="auto" w:sz="4" w:space="0"/>
                    <w:tl2br w:val="nil"/>
                    <w:tr2bl w:val="nil"/>
                  </w:tcBorders>
                  <w:shd w:val="clear" w:color="auto" w:fill="auto"/>
                  <w:noWrap w:val="0"/>
                  <w:vAlign w:val="center"/>
                </w:tcPr>
                <w:p w14:paraId="679D28F5">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94</w:t>
                  </w:r>
                </w:p>
              </w:tc>
              <w:tc>
                <w:tcPr>
                  <w:tcW w:w="551" w:type="pct"/>
                  <w:tcBorders>
                    <w:top w:val="single" w:color="auto" w:sz="4" w:space="0"/>
                    <w:tl2br w:val="nil"/>
                    <w:tr2bl w:val="nil"/>
                  </w:tcBorders>
                  <w:shd w:val="clear" w:color="auto" w:fill="auto"/>
                  <w:noWrap w:val="0"/>
                  <w:vAlign w:val="center"/>
                </w:tcPr>
                <w:p w14:paraId="146F674B">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达标</w:t>
                  </w:r>
                </w:p>
              </w:tc>
            </w:tr>
            <w:tr w14:paraId="706DB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589" w:type="pct"/>
                  <w:vMerge w:val="restart"/>
                  <w:tcBorders>
                    <w:tl2br w:val="nil"/>
                    <w:tr2bl w:val="nil"/>
                  </w:tcBorders>
                  <w:shd w:val="clear" w:color="auto" w:fill="auto"/>
                  <w:noWrap w:val="0"/>
                  <w:vAlign w:val="center"/>
                </w:tcPr>
                <w:p w14:paraId="2F286AB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PM</w:t>
                  </w:r>
                  <w:r>
                    <w:rPr>
                      <w:rFonts w:hint="eastAsia" w:ascii="Times New Roman" w:hAnsi="Times New Roman" w:eastAsia="宋体" w:cs="Times New Roman"/>
                      <w:b w:val="0"/>
                      <w:bCs w:val="0"/>
                      <w:color w:val="auto"/>
                      <w:sz w:val="21"/>
                      <w:szCs w:val="21"/>
                      <w:u w:val="none"/>
                      <w:vertAlign w:val="subscript"/>
                      <w:lang w:val="en-US" w:eastAsia="zh-CN"/>
                    </w:rPr>
                    <w:t>2.5</w:t>
                  </w:r>
                </w:p>
              </w:tc>
              <w:tc>
                <w:tcPr>
                  <w:tcW w:w="1761" w:type="pct"/>
                  <w:tcBorders>
                    <w:bottom w:val="single" w:color="auto" w:sz="4" w:space="0"/>
                    <w:tl2br w:val="nil"/>
                    <w:tr2bl w:val="nil"/>
                  </w:tcBorders>
                  <w:shd w:val="clear" w:color="auto" w:fill="auto"/>
                  <w:noWrap w:val="0"/>
                  <w:vAlign w:val="center"/>
                </w:tcPr>
                <w:p w14:paraId="2F4983B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年平均浓度</w:t>
                  </w:r>
                </w:p>
              </w:tc>
              <w:tc>
                <w:tcPr>
                  <w:tcW w:w="760" w:type="pct"/>
                  <w:tcBorders>
                    <w:bottom w:val="single" w:color="auto" w:sz="4" w:space="0"/>
                    <w:tl2br w:val="nil"/>
                    <w:tr2bl w:val="nil"/>
                  </w:tcBorders>
                  <w:shd w:val="clear" w:color="auto" w:fill="auto"/>
                  <w:noWrap w:val="0"/>
                  <w:vAlign w:val="center"/>
                </w:tcPr>
                <w:p w14:paraId="50C105B9">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47</w:t>
                  </w:r>
                </w:p>
              </w:tc>
              <w:tc>
                <w:tcPr>
                  <w:tcW w:w="700" w:type="pct"/>
                  <w:tcBorders>
                    <w:bottom w:val="single" w:color="auto" w:sz="4" w:space="0"/>
                    <w:tl2br w:val="nil"/>
                    <w:tr2bl w:val="nil"/>
                  </w:tcBorders>
                  <w:shd w:val="clear" w:color="auto" w:fill="auto"/>
                  <w:noWrap w:val="0"/>
                  <w:vAlign w:val="center"/>
                </w:tcPr>
                <w:p w14:paraId="3A8D9183">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35</w:t>
                  </w:r>
                </w:p>
              </w:tc>
              <w:tc>
                <w:tcPr>
                  <w:tcW w:w="635" w:type="pct"/>
                  <w:tcBorders>
                    <w:bottom w:val="single" w:color="auto" w:sz="4" w:space="0"/>
                    <w:tl2br w:val="nil"/>
                    <w:tr2bl w:val="nil"/>
                  </w:tcBorders>
                  <w:shd w:val="clear" w:color="auto" w:fill="auto"/>
                  <w:noWrap w:val="0"/>
                  <w:vAlign w:val="center"/>
                </w:tcPr>
                <w:p w14:paraId="437EC210">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134.3</w:t>
                  </w:r>
                </w:p>
              </w:tc>
              <w:tc>
                <w:tcPr>
                  <w:tcW w:w="551" w:type="pct"/>
                  <w:tcBorders>
                    <w:bottom w:val="single" w:color="auto" w:sz="4" w:space="0"/>
                    <w:tl2br w:val="nil"/>
                    <w:tr2bl w:val="nil"/>
                  </w:tcBorders>
                  <w:shd w:val="clear" w:color="auto" w:fill="auto"/>
                  <w:noWrap w:val="0"/>
                  <w:vAlign w:val="center"/>
                </w:tcPr>
                <w:p w14:paraId="2C82A63F">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不达标</w:t>
                  </w:r>
                </w:p>
              </w:tc>
            </w:tr>
            <w:tr w14:paraId="3FF64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1" w:hRule="atLeast"/>
                <w:jc w:val="center"/>
              </w:trPr>
              <w:tc>
                <w:tcPr>
                  <w:tcW w:w="589" w:type="pct"/>
                  <w:vMerge w:val="continue"/>
                  <w:tcBorders>
                    <w:tl2br w:val="nil"/>
                    <w:tr2bl w:val="nil"/>
                  </w:tcBorders>
                  <w:shd w:val="clear" w:color="auto" w:fill="auto"/>
                  <w:noWrap w:val="0"/>
                  <w:vAlign w:val="center"/>
                </w:tcPr>
                <w:p w14:paraId="0FD21BA2">
                  <w:pPr>
                    <w:pStyle w:val="59"/>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textAlignment w:val="auto"/>
                    <w:rPr>
                      <w:rFonts w:hint="default" w:ascii="Times New Roman" w:hAnsi="Times New Roman" w:eastAsia="宋体" w:cs="Times New Roman"/>
                      <w:b w:val="0"/>
                      <w:bCs w:val="0"/>
                      <w:color w:val="auto"/>
                      <w:sz w:val="21"/>
                      <w:szCs w:val="21"/>
                      <w:highlight w:val="none"/>
                      <w:u w:val="none"/>
                      <w:lang w:val="en-US" w:eastAsia="zh-CN"/>
                    </w:rPr>
                  </w:pPr>
                </w:p>
              </w:tc>
              <w:tc>
                <w:tcPr>
                  <w:tcW w:w="1761" w:type="pct"/>
                  <w:tcBorders>
                    <w:top w:val="single" w:color="auto" w:sz="4" w:space="0"/>
                    <w:tl2br w:val="nil"/>
                    <w:tr2bl w:val="nil"/>
                  </w:tcBorders>
                  <w:shd w:val="clear" w:color="auto" w:fill="auto"/>
                  <w:noWrap w:val="0"/>
                  <w:vAlign w:val="center"/>
                </w:tcPr>
                <w:p w14:paraId="593CD70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日平均第95百分位数</w:t>
                  </w:r>
                </w:p>
              </w:tc>
              <w:tc>
                <w:tcPr>
                  <w:tcW w:w="760" w:type="pct"/>
                  <w:tcBorders>
                    <w:top w:val="single" w:color="auto" w:sz="4" w:space="0"/>
                    <w:tl2br w:val="nil"/>
                    <w:tr2bl w:val="nil"/>
                  </w:tcBorders>
                  <w:shd w:val="clear" w:color="auto" w:fill="auto"/>
                  <w:noWrap w:val="0"/>
                  <w:vAlign w:val="center"/>
                </w:tcPr>
                <w:p w14:paraId="55C8276C">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117</w:t>
                  </w:r>
                </w:p>
              </w:tc>
              <w:tc>
                <w:tcPr>
                  <w:tcW w:w="700" w:type="pct"/>
                  <w:tcBorders>
                    <w:top w:val="single" w:color="auto" w:sz="4" w:space="0"/>
                    <w:tl2br w:val="nil"/>
                    <w:tr2bl w:val="nil"/>
                  </w:tcBorders>
                  <w:shd w:val="clear" w:color="auto" w:fill="auto"/>
                  <w:noWrap w:val="0"/>
                  <w:vAlign w:val="center"/>
                </w:tcPr>
                <w:p w14:paraId="66A6179F">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75</w:t>
                  </w:r>
                </w:p>
              </w:tc>
              <w:tc>
                <w:tcPr>
                  <w:tcW w:w="635" w:type="pct"/>
                  <w:tcBorders>
                    <w:top w:val="single" w:color="auto" w:sz="4" w:space="0"/>
                    <w:tl2br w:val="nil"/>
                    <w:tr2bl w:val="nil"/>
                  </w:tcBorders>
                  <w:shd w:val="clear" w:color="auto" w:fill="auto"/>
                  <w:noWrap w:val="0"/>
                  <w:vAlign w:val="center"/>
                </w:tcPr>
                <w:p w14:paraId="644F3502">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156</w:t>
                  </w:r>
                </w:p>
              </w:tc>
              <w:tc>
                <w:tcPr>
                  <w:tcW w:w="551" w:type="pct"/>
                  <w:tcBorders>
                    <w:top w:val="single" w:color="auto" w:sz="4" w:space="0"/>
                    <w:tl2br w:val="nil"/>
                    <w:tr2bl w:val="nil"/>
                  </w:tcBorders>
                  <w:shd w:val="clear" w:color="auto" w:fill="auto"/>
                  <w:noWrap w:val="0"/>
                  <w:vAlign w:val="center"/>
                </w:tcPr>
                <w:p w14:paraId="3067CFA7">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不达标</w:t>
                  </w:r>
                </w:p>
              </w:tc>
            </w:tr>
            <w:tr w14:paraId="43F4E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589" w:type="pct"/>
                  <w:tcBorders>
                    <w:tl2br w:val="nil"/>
                    <w:tr2bl w:val="nil"/>
                  </w:tcBorders>
                  <w:shd w:val="clear" w:color="auto" w:fill="auto"/>
                  <w:noWrap w:val="0"/>
                  <w:vAlign w:val="center"/>
                </w:tcPr>
                <w:p w14:paraId="2120BFD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CO</w:t>
                  </w:r>
                </w:p>
              </w:tc>
              <w:tc>
                <w:tcPr>
                  <w:tcW w:w="1761" w:type="pct"/>
                  <w:tcBorders>
                    <w:tl2br w:val="nil"/>
                    <w:tr2bl w:val="nil"/>
                  </w:tcBorders>
                  <w:shd w:val="clear" w:color="auto" w:fill="auto"/>
                  <w:noWrap w:val="0"/>
                  <w:vAlign w:val="center"/>
                </w:tcPr>
                <w:p w14:paraId="09B946A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日平均第95百分位数</w:t>
                  </w:r>
                </w:p>
              </w:tc>
              <w:tc>
                <w:tcPr>
                  <w:tcW w:w="760" w:type="pct"/>
                  <w:tcBorders>
                    <w:tl2br w:val="nil"/>
                    <w:tr2bl w:val="nil"/>
                  </w:tcBorders>
                  <w:shd w:val="clear" w:color="auto" w:fill="auto"/>
                  <w:noWrap w:val="0"/>
                  <w:vAlign w:val="center"/>
                </w:tcPr>
                <w:p w14:paraId="2B0AE527">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1100</w:t>
                  </w:r>
                </w:p>
              </w:tc>
              <w:tc>
                <w:tcPr>
                  <w:tcW w:w="700" w:type="pct"/>
                  <w:tcBorders>
                    <w:tl2br w:val="nil"/>
                    <w:tr2bl w:val="nil"/>
                  </w:tcBorders>
                  <w:shd w:val="clear" w:color="auto" w:fill="auto"/>
                  <w:noWrap w:val="0"/>
                  <w:vAlign w:val="center"/>
                </w:tcPr>
                <w:p w14:paraId="2013CD43">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4000</w:t>
                  </w:r>
                </w:p>
              </w:tc>
              <w:tc>
                <w:tcPr>
                  <w:tcW w:w="635" w:type="pct"/>
                  <w:tcBorders>
                    <w:tl2br w:val="nil"/>
                    <w:tr2bl w:val="nil"/>
                  </w:tcBorders>
                  <w:shd w:val="clear" w:color="auto" w:fill="auto"/>
                  <w:noWrap w:val="0"/>
                  <w:vAlign w:val="center"/>
                </w:tcPr>
                <w:p w14:paraId="7151BF15">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27.5</w:t>
                  </w:r>
                </w:p>
              </w:tc>
              <w:tc>
                <w:tcPr>
                  <w:tcW w:w="551" w:type="pct"/>
                  <w:tcBorders>
                    <w:tl2br w:val="nil"/>
                    <w:tr2bl w:val="nil"/>
                  </w:tcBorders>
                  <w:shd w:val="clear" w:color="auto" w:fill="auto"/>
                  <w:noWrap w:val="0"/>
                  <w:vAlign w:val="center"/>
                </w:tcPr>
                <w:p w14:paraId="7A53B7FB">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达标</w:t>
                  </w:r>
                </w:p>
              </w:tc>
            </w:tr>
            <w:tr w14:paraId="0973B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jc w:val="center"/>
              </w:trPr>
              <w:tc>
                <w:tcPr>
                  <w:tcW w:w="589" w:type="pct"/>
                  <w:tcBorders>
                    <w:tl2br w:val="nil"/>
                    <w:tr2bl w:val="nil"/>
                  </w:tcBorders>
                  <w:shd w:val="clear" w:color="auto" w:fill="auto"/>
                  <w:noWrap w:val="0"/>
                  <w:vAlign w:val="center"/>
                </w:tcPr>
                <w:p w14:paraId="09FE38E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O</w:t>
                  </w:r>
                  <w:r>
                    <w:rPr>
                      <w:rFonts w:hint="eastAsia" w:ascii="Times New Roman" w:hAnsi="Times New Roman" w:eastAsia="宋体" w:cs="Times New Roman"/>
                      <w:b w:val="0"/>
                      <w:bCs w:val="0"/>
                      <w:color w:val="auto"/>
                      <w:sz w:val="21"/>
                      <w:szCs w:val="21"/>
                      <w:u w:val="none"/>
                      <w:vertAlign w:val="subscript"/>
                      <w:lang w:val="en-US" w:eastAsia="zh-CN"/>
                    </w:rPr>
                    <w:t>3</w:t>
                  </w:r>
                </w:p>
              </w:tc>
              <w:tc>
                <w:tcPr>
                  <w:tcW w:w="1761" w:type="pct"/>
                  <w:tcBorders>
                    <w:tl2br w:val="nil"/>
                    <w:tr2bl w:val="nil"/>
                  </w:tcBorders>
                  <w:shd w:val="clear" w:color="auto" w:fill="auto"/>
                  <w:noWrap w:val="0"/>
                  <w:vAlign w:val="center"/>
                </w:tcPr>
                <w:p w14:paraId="351D7A4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日最大8小时平均值第90百分位数</w:t>
                  </w:r>
                </w:p>
              </w:tc>
              <w:tc>
                <w:tcPr>
                  <w:tcW w:w="760" w:type="pct"/>
                  <w:tcBorders>
                    <w:tl2br w:val="nil"/>
                    <w:tr2bl w:val="nil"/>
                  </w:tcBorders>
                  <w:shd w:val="clear" w:color="auto" w:fill="auto"/>
                  <w:noWrap w:val="0"/>
                  <w:vAlign w:val="center"/>
                </w:tcPr>
                <w:p w14:paraId="29AA12F4">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167</w:t>
                  </w:r>
                </w:p>
              </w:tc>
              <w:tc>
                <w:tcPr>
                  <w:tcW w:w="700" w:type="pct"/>
                  <w:tcBorders>
                    <w:tl2br w:val="nil"/>
                    <w:tr2bl w:val="nil"/>
                  </w:tcBorders>
                  <w:shd w:val="clear" w:color="auto" w:fill="auto"/>
                  <w:noWrap w:val="0"/>
                  <w:vAlign w:val="center"/>
                </w:tcPr>
                <w:p w14:paraId="66E5BD14">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160</w:t>
                  </w:r>
                </w:p>
              </w:tc>
              <w:tc>
                <w:tcPr>
                  <w:tcW w:w="635" w:type="pct"/>
                  <w:tcBorders>
                    <w:tl2br w:val="nil"/>
                    <w:tr2bl w:val="nil"/>
                  </w:tcBorders>
                  <w:shd w:val="clear" w:color="auto" w:fill="auto"/>
                  <w:noWrap w:val="0"/>
                  <w:vAlign w:val="center"/>
                </w:tcPr>
                <w:p w14:paraId="6B7ECF0E">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104.4</w:t>
                  </w:r>
                </w:p>
              </w:tc>
              <w:tc>
                <w:tcPr>
                  <w:tcW w:w="551" w:type="pct"/>
                  <w:tcBorders>
                    <w:tl2br w:val="nil"/>
                    <w:tr2bl w:val="nil"/>
                  </w:tcBorders>
                  <w:shd w:val="clear" w:color="auto" w:fill="auto"/>
                  <w:noWrap w:val="0"/>
                  <w:vAlign w:val="center"/>
                </w:tcPr>
                <w:p w14:paraId="6F556269">
                  <w:pPr>
                    <w:keepNext w:val="0"/>
                    <w:keepLines w:val="0"/>
                    <w:pageBreakBefore w:val="0"/>
                    <w:widowControl w:val="0"/>
                    <w:kinsoku/>
                    <w:wordWrap/>
                    <w:overflowPunct/>
                    <w:topLinePunct w:val="0"/>
                    <w:autoSpaceDE/>
                    <w:autoSpaceDN/>
                    <w:bidi w:val="0"/>
                    <w:adjustRightInd/>
                    <w:snapToGrid/>
                    <w:spacing w:before="74"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不达标</w:t>
                  </w:r>
                </w:p>
              </w:tc>
            </w:tr>
          </w:tbl>
          <w:p w14:paraId="6381FF19">
            <w:pPr>
              <w:pStyle w:val="11"/>
              <w:keepNext w:val="0"/>
              <w:keepLines w:val="0"/>
              <w:pageBreakBefore w:val="0"/>
              <w:widowControl w:val="0"/>
              <w:kinsoku/>
              <w:wordWrap/>
              <w:overflowPunct/>
              <w:topLinePunct w:val="0"/>
              <w:autoSpaceDE w:val="0"/>
              <w:autoSpaceDN w:val="0"/>
              <w:bidi w:val="0"/>
              <w:adjustRightInd w:val="0"/>
              <w:snapToGrid w:val="0"/>
              <w:spacing w:before="0" w:line="520" w:lineRule="atLeast"/>
              <w:ind w:firstLine="480" w:firstLineChars="200"/>
              <w:textAlignment w:val="baseline"/>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lang w:val="en-US" w:eastAsia="zh-CN"/>
              </w:rPr>
              <w:t>202</w:t>
            </w:r>
            <w:r>
              <w:rPr>
                <w:rFonts w:hint="default" w:ascii="Times New Roman" w:hAnsi="Times New Roman" w:cs="Times New Roman"/>
                <w:color w:val="auto"/>
                <w:sz w:val="24"/>
                <w:highlight w:val="none"/>
                <w:u w:val="none"/>
                <w:lang w:val="en-US" w:eastAsia="zh-CN"/>
              </w:rPr>
              <w:t>4</w:t>
            </w:r>
            <w:r>
              <w:rPr>
                <w:rFonts w:hint="default" w:ascii="Times New Roman" w:hAnsi="Times New Roman" w:eastAsia="宋体" w:cs="Times New Roman"/>
                <w:color w:val="auto"/>
                <w:sz w:val="24"/>
                <w:highlight w:val="none"/>
                <w:u w:val="none"/>
                <w:lang w:val="en-US" w:eastAsia="zh-CN"/>
              </w:rPr>
              <w:t>年濮阳市环境空气中PM</w:t>
            </w:r>
            <w:r>
              <w:rPr>
                <w:rFonts w:hint="default" w:ascii="Times New Roman" w:hAnsi="Times New Roman" w:eastAsia="宋体" w:cs="Times New Roman"/>
                <w:color w:val="auto"/>
                <w:sz w:val="24"/>
                <w:highlight w:val="none"/>
                <w:u w:val="none"/>
                <w:vertAlign w:val="subscript"/>
                <w:lang w:val="en-US" w:eastAsia="zh-CN"/>
              </w:rPr>
              <w:t>10</w:t>
            </w:r>
            <w:r>
              <w:rPr>
                <w:rFonts w:hint="default" w:ascii="Times New Roman" w:hAnsi="Times New Roman" w:eastAsia="宋体" w:cs="Times New Roman"/>
                <w:color w:val="auto"/>
                <w:sz w:val="24"/>
                <w:highlight w:val="none"/>
                <w:u w:val="none"/>
                <w:lang w:val="en-US" w:eastAsia="zh-CN"/>
              </w:rPr>
              <w:t>年平均浓度、PM</w:t>
            </w:r>
            <w:r>
              <w:rPr>
                <w:rFonts w:hint="default" w:ascii="Times New Roman" w:hAnsi="Times New Roman" w:eastAsia="宋体" w:cs="Times New Roman"/>
                <w:color w:val="auto"/>
                <w:sz w:val="24"/>
                <w:highlight w:val="none"/>
                <w:u w:val="none"/>
                <w:vertAlign w:val="subscript"/>
                <w:lang w:val="en-US" w:eastAsia="zh-CN"/>
              </w:rPr>
              <w:t>2.5</w:t>
            </w:r>
            <w:r>
              <w:rPr>
                <w:rFonts w:hint="default" w:ascii="Times New Roman" w:hAnsi="Times New Roman" w:eastAsia="宋体" w:cs="Times New Roman"/>
                <w:color w:val="auto"/>
                <w:sz w:val="24"/>
                <w:highlight w:val="none"/>
                <w:u w:val="none"/>
                <w:lang w:val="en-US" w:eastAsia="zh-CN"/>
              </w:rPr>
              <w:t>年平均浓度及第95百分位数日平均质量浓度及O</w:t>
            </w:r>
            <w:r>
              <w:rPr>
                <w:rFonts w:hint="default" w:ascii="Times New Roman" w:hAnsi="Times New Roman" w:eastAsia="宋体" w:cs="Times New Roman"/>
                <w:color w:val="auto"/>
                <w:sz w:val="24"/>
                <w:highlight w:val="none"/>
                <w:u w:val="none"/>
                <w:vertAlign w:val="subscript"/>
                <w:lang w:val="en-US" w:eastAsia="zh-CN"/>
              </w:rPr>
              <w:t>3</w:t>
            </w:r>
            <w:r>
              <w:rPr>
                <w:rFonts w:hint="default" w:ascii="Times New Roman" w:hAnsi="Times New Roman" w:eastAsia="宋体" w:cs="Times New Roman"/>
                <w:color w:val="auto"/>
                <w:sz w:val="24"/>
                <w:highlight w:val="none"/>
                <w:u w:val="none"/>
                <w:lang w:val="en-US" w:eastAsia="zh-CN"/>
              </w:rPr>
              <w:t>日最大8小时平均质量浓度出现不达标情况，不满足《环境空气质量标准》（GB3095-2012）</w:t>
            </w:r>
            <w:r>
              <w:rPr>
                <w:rFonts w:hint="default" w:ascii="Times New Roman" w:hAnsi="Times New Roman" w:cs="Times New Roman"/>
                <w:color w:val="auto"/>
                <w:sz w:val="24"/>
                <w:highlight w:val="none"/>
                <w:u w:val="none"/>
                <w:lang w:val="en-US" w:eastAsia="zh-CN"/>
              </w:rPr>
              <w:t>及修改单</w:t>
            </w:r>
            <w:r>
              <w:rPr>
                <w:rFonts w:hint="default" w:ascii="Times New Roman" w:hAnsi="Times New Roman" w:eastAsia="宋体" w:cs="Times New Roman"/>
                <w:color w:val="auto"/>
                <w:sz w:val="24"/>
                <w:highlight w:val="none"/>
                <w:u w:val="none"/>
                <w:lang w:val="en-US" w:eastAsia="zh-CN"/>
              </w:rPr>
              <w:t>二级标准，所以判定本项目所在区域为不达标区。</w:t>
            </w:r>
          </w:p>
          <w:p w14:paraId="733D154C">
            <w:pPr>
              <w:pStyle w:val="11"/>
              <w:keepNext w:val="0"/>
              <w:keepLines w:val="0"/>
              <w:pageBreakBefore w:val="0"/>
              <w:widowControl w:val="0"/>
              <w:kinsoku/>
              <w:wordWrap/>
              <w:overflowPunct/>
              <w:topLinePunct w:val="0"/>
              <w:autoSpaceDE w:val="0"/>
              <w:autoSpaceDN w:val="0"/>
              <w:bidi w:val="0"/>
              <w:adjustRightInd w:val="0"/>
              <w:snapToGrid w:val="0"/>
              <w:spacing w:before="0" w:line="520" w:lineRule="atLeast"/>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为持续改善环境空气质量，根据《濮阳市202</w:t>
            </w:r>
            <w:r>
              <w:rPr>
                <w:rFonts w:hint="default"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年蓝天保卫战实施方案》（濮环委办〔202</w:t>
            </w:r>
            <w:r>
              <w:rPr>
                <w:rFonts w:hint="default"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号）文件要求，</w:t>
            </w:r>
            <w:r>
              <w:rPr>
                <w:rFonts w:hint="default" w:ascii="Times New Roman" w:hAnsi="Times New Roman" w:cs="Times New Roman"/>
                <w:color w:val="auto"/>
                <w:sz w:val="24"/>
                <w:highlight w:val="none"/>
                <w:lang w:val="en-US" w:eastAsia="zh-CN"/>
              </w:rPr>
              <w:t>通过：</w:t>
            </w:r>
            <w:r>
              <w:rPr>
                <w:rFonts w:hint="default" w:ascii="Times New Roman" w:hAnsi="Times New Roman" w:eastAsia="宋体"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结构优化升级专项攻坚</w:t>
            </w:r>
            <w:r>
              <w:rPr>
                <w:rFonts w:hint="default" w:ascii="Times New Roman" w:hAnsi="Times New Roman" w:eastAsia="宋体"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工业企业提标治理专项攻坚</w:t>
            </w:r>
            <w:r>
              <w:rPr>
                <w:rFonts w:hint="default" w:ascii="Times New Roman" w:hAnsi="Times New Roman" w:eastAsia="宋体" w:cs="Times New Roman"/>
                <w:color w:val="auto"/>
                <w:sz w:val="24"/>
                <w:highlight w:val="none"/>
                <w:lang w:val="en-US" w:eastAsia="zh-CN"/>
              </w:rPr>
              <w:t>；（3）移动源污染排放控制</w:t>
            </w:r>
            <w:r>
              <w:rPr>
                <w:rFonts w:hint="default" w:ascii="Times New Roman" w:hAnsi="Times New Roman" w:cs="Times New Roman"/>
                <w:color w:val="auto"/>
                <w:sz w:val="24"/>
                <w:highlight w:val="none"/>
                <w:lang w:val="en-US" w:eastAsia="zh-CN"/>
              </w:rPr>
              <w:t>专项攻坚</w:t>
            </w:r>
            <w:r>
              <w:rPr>
                <w:rFonts w:hint="default" w:ascii="Times New Roman" w:hAnsi="Times New Roman" w:eastAsia="宋体" w:cs="Times New Roman"/>
                <w:color w:val="auto"/>
                <w:sz w:val="24"/>
                <w:highlight w:val="none"/>
                <w:lang w:val="en-US" w:eastAsia="zh-CN"/>
              </w:rPr>
              <w:t>；（4）面源污染</w:t>
            </w:r>
            <w:r>
              <w:rPr>
                <w:rFonts w:hint="default" w:ascii="Times New Roman" w:hAnsi="Times New Roman" w:cs="Times New Roman"/>
                <w:color w:val="auto"/>
                <w:sz w:val="24"/>
                <w:highlight w:val="none"/>
                <w:lang w:val="en-US" w:eastAsia="zh-CN"/>
              </w:rPr>
              <w:t>防控专项攻坚</w:t>
            </w:r>
            <w:r>
              <w:rPr>
                <w:rFonts w:hint="default" w:ascii="Times New Roman" w:hAnsi="Times New Roman" w:eastAsia="宋体" w:cs="Times New Roman"/>
                <w:color w:val="auto"/>
                <w:sz w:val="24"/>
                <w:highlight w:val="none"/>
                <w:lang w:val="en-US" w:eastAsia="zh-CN"/>
              </w:rPr>
              <w:t>；（5）重污染天气应对</w:t>
            </w:r>
            <w:r>
              <w:rPr>
                <w:rFonts w:hint="default" w:ascii="Times New Roman" w:hAnsi="Times New Roman" w:cs="Times New Roman"/>
                <w:color w:val="auto"/>
                <w:sz w:val="24"/>
                <w:highlight w:val="none"/>
                <w:lang w:val="en-US" w:eastAsia="zh-CN"/>
              </w:rPr>
              <w:t>专项攻坚</w:t>
            </w:r>
            <w:r>
              <w:rPr>
                <w:rFonts w:hint="default" w:ascii="Times New Roman" w:hAnsi="Times New Roman" w:eastAsia="宋体"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监管能力提升专项攻坚</w:t>
            </w:r>
            <w:r>
              <w:rPr>
                <w:rFonts w:hint="default" w:ascii="Times New Roman" w:hAnsi="Times New Roman" w:eastAsia="宋体" w:cs="Times New Roman"/>
                <w:color w:val="auto"/>
                <w:sz w:val="24"/>
                <w:highlight w:val="none"/>
                <w:lang w:val="en-US" w:eastAsia="zh-CN"/>
              </w:rPr>
              <w:t>。待以上大气污染防治</w:t>
            </w:r>
            <w:r>
              <w:rPr>
                <w:rFonts w:hint="default" w:ascii="Times New Roman" w:hAnsi="Times New Roman" w:cs="Times New Roman"/>
                <w:color w:val="auto"/>
                <w:sz w:val="24"/>
                <w:highlight w:val="none"/>
                <w:lang w:val="en-US" w:eastAsia="zh-CN"/>
              </w:rPr>
              <w:t>行动</w:t>
            </w:r>
            <w:r>
              <w:rPr>
                <w:rFonts w:hint="default" w:ascii="Times New Roman" w:hAnsi="Times New Roman" w:eastAsia="宋体" w:cs="Times New Roman"/>
                <w:color w:val="auto"/>
                <w:sz w:val="24"/>
                <w:highlight w:val="none"/>
                <w:lang w:val="en-US" w:eastAsia="zh-CN"/>
              </w:rPr>
              <w:t>计划逐步实施后，濮阳市环境空气质量将得到持续改善。</w:t>
            </w:r>
          </w:p>
          <w:p w14:paraId="0CC0D167">
            <w:pPr>
              <w:pStyle w:val="11"/>
              <w:keepNext w:val="0"/>
              <w:keepLines w:val="0"/>
              <w:pageBreakBefore w:val="0"/>
              <w:widowControl w:val="0"/>
              <w:kinsoku/>
              <w:wordWrap/>
              <w:overflowPunct/>
              <w:topLinePunct w:val="0"/>
              <w:autoSpaceDE w:val="0"/>
              <w:autoSpaceDN w:val="0"/>
              <w:bidi w:val="0"/>
              <w:adjustRightInd w:val="0"/>
              <w:snapToGrid w:val="0"/>
              <w:spacing w:before="0" w:line="520" w:lineRule="atLeast"/>
              <w:ind w:left="0" w:leftChars="0" w:firstLine="0" w:firstLineChars="0"/>
              <w:textAlignment w:val="baseline"/>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1.2 其他污染物</w:t>
            </w:r>
          </w:p>
          <w:p w14:paraId="47C930B3">
            <w:pPr>
              <w:pStyle w:val="11"/>
              <w:keepNext w:val="0"/>
              <w:keepLines w:val="0"/>
              <w:pageBreakBefore w:val="0"/>
              <w:widowControl w:val="0"/>
              <w:kinsoku/>
              <w:wordWrap/>
              <w:overflowPunct/>
              <w:topLinePunct w:val="0"/>
              <w:autoSpaceDE w:val="0"/>
              <w:autoSpaceDN w:val="0"/>
              <w:bidi w:val="0"/>
              <w:adjustRightInd w:val="0"/>
              <w:snapToGrid w:val="0"/>
              <w:spacing w:before="0" w:line="520" w:lineRule="atLeast"/>
              <w:ind w:left="0" w:leftChars="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根据《建设项目环境影响报告表编制技术指南》（污染影响类）要求，结合本项目废气排放特征、项目选址周围环境特点，本评价环境空气质量现状评价因子为：非甲烷总烃、TSP。本项目特征因子评价标准详见下</w:t>
            </w:r>
            <w:r>
              <w:rPr>
                <w:rFonts w:hint="default" w:ascii="Times New Roman" w:hAnsi="Times New Roman" w:eastAsia="宋体" w:cs="Times New Roman"/>
                <w:b w:val="0"/>
                <w:bCs w:val="0"/>
                <w:snapToGrid w:val="0"/>
                <w:color w:val="auto"/>
                <w:kern w:val="10"/>
                <w:sz w:val="24"/>
                <w:szCs w:val="24"/>
                <w:u w:val="none"/>
                <w:lang w:val="en-US" w:eastAsia="zh-CN"/>
              </w:rPr>
              <w:t>表</w:t>
            </w:r>
            <w:r>
              <w:rPr>
                <w:rFonts w:hint="default" w:ascii="Times New Roman" w:hAnsi="Times New Roman" w:eastAsia="宋体" w:cs="Times New Roman"/>
                <w:color w:val="auto"/>
                <w:sz w:val="24"/>
                <w:szCs w:val="24"/>
                <w:highlight w:val="none"/>
                <w:lang w:eastAsia="zh-CN"/>
              </w:rPr>
              <w:t>。</w:t>
            </w:r>
          </w:p>
          <w:p w14:paraId="18C05F0E">
            <w:pPr>
              <w:pStyle w:val="16"/>
              <w:keepNext w:val="0"/>
              <w:keepLines w:val="0"/>
              <w:pageBreakBefore w:val="0"/>
              <w:widowControl w:val="0"/>
              <w:kinsoku/>
              <w:wordWrap/>
              <w:overflowPunct/>
              <w:topLinePunct w:val="0"/>
              <w:autoSpaceDE/>
              <w:autoSpaceDN/>
              <w:bidi w:val="0"/>
              <w:adjustRightInd w:val="0"/>
              <w:snapToGrid w:val="0"/>
              <w:spacing w:after="0" w:afterLines="0" w:line="52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表3-2   现状监测因子标准值</w:t>
            </w:r>
          </w:p>
          <w:tbl>
            <w:tblPr>
              <w:tblStyle w:val="28"/>
              <w:tblW w:w="498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28" w:type="dxa"/>
                <w:left w:w="28" w:type="dxa"/>
                <w:bottom w:w="28" w:type="dxa"/>
                <w:right w:w="28" w:type="dxa"/>
              </w:tblCellMar>
            </w:tblPr>
            <w:tblGrid>
              <w:gridCol w:w="718"/>
              <w:gridCol w:w="1094"/>
              <w:gridCol w:w="1308"/>
              <w:gridCol w:w="1113"/>
              <w:gridCol w:w="3505"/>
            </w:tblGrid>
            <w:tr w14:paraId="6EEAE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84" w:hRule="atLeast"/>
                <w:jc w:val="center"/>
              </w:trPr>
              <w:tc>
                <w:tcPr>
                  <w:tcW w:w="464" w:type="pct"/>
                  <w:vMerge w:val="restart"/>
                  <w:tcBorders>
                    <w:tl2br w:val="nil"/>
                    <w:tr2bl w:val="nil"/>
                  </w:tcBorders>
                  <w:noWrap w:val="0"/>
                  <w:vAlign w:val="center"/>
                </w:tcPr>
                <w:p w14:paraId="46C466E1">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污染物名称</w:t>
                  </w:r>
                </w:p>
              </w:tc>
              <w:tc>
                <w:tcPr>
                  <w:tcW w:w="2271" w:type="pct"/>
                  <w:gridSpan w:val="3"/>
                  <w:tcBorders>
                    <w:tl2br w:val="nil"/>
                    <w:tr2bl w:val="nil"/>
                  </w:tcBorders>
                  <w:noWrap w:val="0"/>
                  <w:vAlign w:val="center"/>
                </w:tcPr>
                <w:p w14:paraId="60195034">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浓度限值</w:t>
                  </w:r>
                </w:p>
              </w:tc>
              <w:tc>
                <w:tcPr>
                  <w:tcW w:w="2264" w:type="pct"/>
                  <w:vMerge w:val="restart"/>
                  <w:tcBorders>
                    <w:tl2br w:val="nil"/>
                    <w:tr2bl w:val="nil"/>
                  </w:tcBorders>
                  <w:noWrap w:val="0"/>
                  <w:vAlign w:val="center"/>
                </w:tcPr>
                <w:p w14:paraId="2057E02F">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评价标准</w:t>
                  </w:r>
                </w:p>
              </w:tc>
            </w:tr>
            <w:tr w14:paraId="6133B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84" w:hRule="atLeast"/>
                <w:jc w:val="center"/>
              </w:trPr>
              <w:tc>
                <w:tcPr>
                  <w:tcW w:w="464" w:type="pct"/>
                  <w:vMerge w:val="continue"/>
                  <w:tcBorders>
                    <w:tl2br w:val="nil"/>
                    <w:tr2bl w:val="nil"/>
                  </w:tcBorders>
                  <w:noWrap w:val="0"/>
                  <w:vAlign w:val="center"/>
                </w:tcPr>
                <w:p w14:paraId="2C8AEE0E">
                  <w:pPr>
                    <w:keepNext w:val="0"/>
                    <w:keepLines w:val="0"/>
                    <w:pageBreakBefore w:val="0"/>
                    <w:widowControl w:val="0"/>
                    <w:kinsoku/>
                    <w:wordWrap/>
                    <w:overflowPunct/>
                    <w:topLinePunct w:val="0"/>
                    <w:autoSpaceDE/>
                    <w:autoSpaceDN/>
                    <w:bidi w:val="0"/>
                    <w:adjustRightInd/>
                    <w:snapToGrid w:val="0"/>
                    <w:spacing w:before="63" w:beforeLines="20" w:after="63" w:afterLines="20"/>
                    <w:jc w:val="left"/>
                    <w:textAlignment w:val="auto"/>
                    <w:rPr>
                      <w:rFonts w:hint="default" w:ascii="Times New Roman" w:hAnsi="Times New Roman" w:eastAsia="宋体" w:cs="Times New Roman"/>
                      <w:b w:val="0"/>
                      <w:bCs w:val="0"/>
                      <w:color w:val="auto"/>
                      <w:szCs w:val="21"/>
                      <w:u w:val="none"/>
                    </w:rPr>
                  </w:pPr>
                </w:p>
              </w:tc>
              <w:tc>
                <w:tcPr>
                  <w:tcW w:w="707" w:type="pct"/>
                  <w:tcBorders>
                    <w:tl2br w:val="nil"/>
                    <w:tr2bl w:val="nil"/>
                  </w:tcBorders>
                  <w:noWrap w:val="0"/>
                  <w:vAlign w:val="center"/>
                </w:tcPr>
                <w:p w14:paraId="7909DD4A">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1小时平均</w:t>
                  </w:r>
                </w:p>
              </w:tc>
              <w:tc>
                <w:tcPr>
                  <w:tcW w:w="845" w:type="pct"/>
                  <w:tcBorders>
                    <w:tl2br w:val="nil"/>
                    <w:tr2bl w:val="nil"/>
                  </w:tcBorders>
                  <w:noWrap w:val="0"/>
                  <w:vAlign w:val="center"/>
                </w:tcPr>
                <w:p w14:paraId="2D5C16B8">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24小时平均</w:t>
                  </w:r>
                </w:p>
              </w:tc>
              <w:tc>
                <w:tcPr>
                  <w:tcW w:w="718" w:type="pct"/>
                  <w:tcBorders>
                    <w:tl2br w:val="nil"/>
                    <w:tr2bl w:val="nil"/>
                  </w:tcBorders>
                  <w:noWrap w:val="0"/>
                  <w:vAlign w:val="center"/>
                </w:tcPr>
                <w:p w14:paraId="40F8F1EE">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年平均</w:t>
                  </w:r>
                </w:p>
              </w:tc>
              <w:tc>
                <w:tcPr>
                  <w:tcW w:w="2264" w:type="pct"/>
                  <w:vMerge w:val="continue"/>
                  <w:tcBorders>
                    <w:tl2br w:val="nil"/>
                    <w:tr2bl w:val="nil"/>
                  </w:tcBorders>
                  <w:noWrap w:val="0"/>
                  <w:vAlign w:val="center"/>
                </w:tcPr>
                <w:p w14:paraId="26343E91">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szCs w:val="21"/>
                      <w:u w:val="none"/>
                    </w:rPr>
                  </w:pPr>
                </w:p>
              </w:tc>
            </w:tr>
            <w:tr w14:paraId="66E04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55" w:hRule="atLeast"/>
                <w:jc w:val="center"/>
              </w:trPr>
              <w:tc>
                <w:tcPr>
                  <w:tcW w:w="464" w:type="pct"/>
                  <w:tcBorders>
                    <w:tl2br w:val="nil"/>
                    <w:tr2bl w:val="nil"/>
                  </w:tcBorders>
                  <w:noWrap w:val="0"/>
                  <w:vAlign w:val="center"/>
                </w:tcPr>
                <w:p w14:paraId="0537F763">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非甲烷总烃</w:t>
                  </w:r>
                </w:p>
              </w:tc>
              <w:tc>
                <w:tcPr>
                  <w:tcW w:w="707" w:type="pct"/>
                  <w:tcBorders>
                    <w:tl2br w:val="nil"/>
                    <w:tr2bl w:val="nil"/>
                  </w:tcBorders>
                  <w:noWrap w:val="0"/>
                  <w:vAlign w:val="center"/>
                </w:tcPr>
                <w:p w14:paraId="16A131DD">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u w:val="none"/>
                    </w:rPr>
                  </w:pPr>
                  <w:r>
                    <w:rPr>
                      <w:rFonts w:hint="default" w:ascii="Times New Roman" w:hAnsi="Times New Roman" w:eastAsia="宋体" w:cs="Times New Roman"/>
                      <w:b w:val="0"/>
                      <w:bCs w:val="0"/>
                      <w:color w:val="auto"/>
                      <w:szCs w:val="21"/>
                      <w:u w:val="none"/>
                    </w:rPr>
                    <w:t>2.0mg/m</w:t>
                  </w:r>
                  <w:r>
                    <w:rPr>
                      <w:rFonts w:hint="default" w:ascii="Times New Roman" w:hAnsi="Times New Roman" w:eastAsia="宋体" w:cs="Times New Roman"/>
                      <w:b w:val="0"/>
                      <w:bCs w:val="0"/>
                      <w:color w:val="auto"/>
                      <w:szCs w:val="21"/>
                      <w:u w:val="none"/>
                      <w:vertAlign w:val="superscript"/>
                    </w:rPr>
                    <w:t>3</w:t>
                  </w:r>
                </w:p>
              </w:tc>
              <w:tc>
                <w:tcPr>
                  <w:tcW w:w="845" w:type="pct"/>
                  <w:tcBorders>
                    <w:tl2br w:val="nil"/>
                    <w:tr2bl w:val="nil"/>
                  </w:tcBorders>
                  <w:noWrap w:val="0"/>
                  <w:vAlign w:val="center"/>
                </w:tcPr>
                <w:p w14:paraId="48936BA3">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u w:val="none"/>
                    </w:rPr>
                  </w:pPr>
                  <w:r>
                    <w:rPr>
                      <w:rFonts w:hint="default" w:ascii="Times New Roman" w:hAnsi="Times New Roman" w:eastAsia="宋体" w:cs="Times New Roman"/>
                      <w:b w:val="0"/>
                      <w:bCs w:val="0"/>
                      <w:color w:val="auto"/>
                      <w:u w:val="none"/>
                    </w:rPr>
                    <w:t>/</w:t>
                  </w:r>
                </w:p>
              </w:tc>
              <w:tc>
                <w:tcPr>
                  <w:tcW w:w="718" w:type="pct"/>
                  <w:tcBorders>
                    <w:tl2br w:val="nil"/>
                    <w:tr2bl w:val="nil"/>
                  </w:tcBorders>
                  <w:noWrap w:val="0"/>
                  <w:vAlign w:val="center"/>
                </w:tcPr>
                <w:p w14:paraId="4944555D">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w:t>
                  </w:r>
                </w:p>
              </w:tc>
              <w:tc>
                <w:tcPr>
                  <w:tcW w:w="2264" w:type="pct"/>
                  <w:tcBorders>
                    <w:tl2br w:val="nil"/>
                    <w:tr2bl w:val="nil"/>
                  </w:tcBorders>
                  <w:noWrap w:val="0"/>
                  <w:vAlign w:val="center"/>
                </w:tcPr>
                <w:p w14:paraId="60142264">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《大气污染物综合排放标</w:t>
                  </w:r>
                  <w:r>
                    <w:rPr>
                      <w:rFonts w:hint="default" w:ascii="Times New Roman" w:hAnsi="Times New Roman" w:eastAsia="宋体" w:cs="Times New Roman"/>
                      <w:b w:val="0"/>
                      <w:bCs w:val="0"/>
                      <w:color w:val="auto"/>
                      <w:szCs w:val="21"/>
                      <w:u w:val="none"/>
                      <w:lang w:eastAsia="zh-CN"/>
                    </w:rPr>
                    <w:t>准</w:t>
                  </w:r>
                  <w:r>
                    <w:rPr>
                      <w:rFonts w:hint="default" w:ascii="Times New Roman" w:hAnsi="Times New Roman" w:eastAsia="宋体" w:cs="Times New Roman"/>
                      <w:b w:val="0"/>
                      <w:bCs w:val="0"/>
                      <w:color w:val="auto"/>
                      <w:szCs w:val="21"/>
                      <w:u w:val="none"/>
                    </w:rPr>
                    <w:t>》详解中推荐值</w:t>
                  </w:r>
                </w:p>
              </w:tc>
            </w:tr>
            <w:tr w14:paraId="56287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55" w:hRule="atLeast"/>
                <w:jc w:val="center"/>
              </w:trPr>
              <w:tc>
                <w:tcPr>
                  <w:tcW w:w="464" w:type="pct"/>
                  <w:tcBorders>
                    <w:tl2br w:val="nil"/>
                    <w:tr2bl w:val="nil"/>
                  </w:tcBorders>
                  <w:shd w:val="clear" w:color="auto" w:fill="auto"/>
                  <w:noWrap w:val="0"/>
                  <w:vAlign w:val="center"/>
                </w:tcPr>
                <w:p w14:paraId="34BC7B0A">
                  <w:pPr>
                    <w:snapToGrid w:val="0"/>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szCs w:val="21"/>
                      <w:u w:val="none"/>
                      <w:lang w:val="en-US" w:eastAsia="zh-CN"/>
                    </w:rPr>
                    <w:t>TSP</w:t>
                  </w:r>
                </w:p>
              </w:tc>
              <w:tc>
                <w:tcPr>
                  <w:tcW w:w="707" w:type="pct"/>
                  <w:tcBorders>
                    <w:tl2br w:val="nil"/>
                    <w:tr2bl w:val="nil"/>
                  </w:tcBorders>
                  <w:shd w:val="clear" w:color="auto" w:fill="auto"/>
                  <w:noWrap w:val="0"/>
                  <w:vAlign w:val="center"/>
                </w:tcPr>
                <w:p w14:paraId="35E7480D">
                  <w:pPr>
                    <w:snapToGrid w:val="0"/>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szCs w:val="21"/>
                      <w:u w:val="none"/>
                      <w:lang w:val="en-US" w:eastAsia="zh-CN"/>
                    </w:rPr>
                    <w:t>/</w:t>
                  </w:r>
                </w:p>
              </w:tc>
              <w:tc>
                <w:tcPr>
                  <w:tcW w:w="845" w:type="pct"/>
                  <w:tcBorders>
                    <w:tl2br w:val="nil"/>
                    <w:tr2bl w:val="nil"/>
                  </w:tcBorders>
                  <w:shd w:val="clear" w:color="auto" w:fill="auto"/>
                  <w:noWrap w:val="0"/>
                  <w:vAlign w:val="center"/>
                </w:tcPr>
                <w:p w14:paraId="44A57757">
                  <w:pPr>
                    <w:snapToGrid w:val="0"/>
                    <w:jc w:val="center"/>
                    <w:rPr>
                      <w:rFonts w:hint="default" w:ascii="Times New Roman" w:hAnsi="Times New Roman" w:eastAsia="宋体" w:cs="Times New Roman"/>
                      <w:b w:val="0"/>
                      <w:bCs w:val="0"/>
                      <w:color w:val="auto"/>
                      <w:kern w:val="2"/>
                      <w:sz w:val="21"/>
                      <w:szCs w:val="24"/>
                      <w:u w:val="none"/>
                      <w:lang w:val="en-US" w:eastAsia="zh-CN" w:bidi="ar-SA"/>
                    </w:rPr>
                  </w:pPr>
                  <w:r>
                    <w:rPr>
                      <w:rFonts w:hint="default" w:ascii="Times New Roman" w:hAnsi="Times New Roman" w:eastAsia="宋体" w:cs="Times New Roman"/>
                      <w:b w:val="0"/>
                      <w:bCs w:val="0"/>
                      <w:color w:val="auto"/>
                      <w:u w:val="none"/>
                      <w:lang w:val="en-US" w:eastAsia="zh-CN"/>
                    </w:rPr>
                    <w:t>0.3</w:t>
                  </w:r>
                  <w:r>
                    <w:rPr>
                      <w:rFonts w:hint="default" w:ascii="Times New Roman" w:hAnsi="Times New Roman" w:eastAsia="宋体" w:cs="Times New Roman"/>
                      <w:b w:val="0"/>
                      <w:bCs w:val="0"/>
                      <w:color w:val="auto"/>
                      <w:szCs w:val="21"/>
                      <w:u w:val="none"/>
                    </w:rPr>
                    <w:t>mg/m</w:t>
                  </w:r>
                  <w:r>
                    <w:rPr>
                      <w:rFonts w:hint="default" w:ascii="Times New Roman" w:hAnsi="Times New Roman" w:eastAsia="宋体" w:cs="Times New Roman"/>
                      <w:b w:val="0"/>
                      <w:bCs w:val="0"/>
                      <w:color w:val="auto"/>
                      <w:szCs w:val="21"/>
                      <w:u w:val="none"/>
                      <w:vertAlign w:val="superscript"/>
                    </w:rPr>
                    <w:t>3</w:t>
                  </w:r>
                </w:p>
              </w:tc>
              <w:tc>
                <w:tcPr>
                  <w:tcW w:w="718" w:type="pct"/>
                  <w:tcBorders>
                    <w:tl2br w:val="nil"/>
                    <w:tr2bl w:val="nil"/>
                  </w:tcBorders>
                  <w:shd w:val="clear" w:color="auto" w:fill="auto"/>
                  <w:noWrap w:val="0"/>
                  <w:vAlign w:val="center"/>
                </w:tcPr>
                <w:p w14:paraId="16D51078">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eastAsia="宋体" w:cs="Times New Roman"/>
                      <w:b w:val="0"/>
                      <w:bCs w:val="0"/>
                      <w:color w:val="auto"/>
                      <w:szCs w:val="21"/>
                      <w:u w:val="none"/>
                      <w:lang w:val="en-US" w:eastAsia="zh-CN"/>
                    </w:rPr>
                    <w:t>/</w:t>
                  </w:r>
                </w:p>
              </w:tc>
              <w:tc>
                <w:tcPr>
                  <w:tcW w:w="2264" w:type="pct"/>
                  <w:tcBorders>
                    <w:tl2br w:val="nil"/>
                    <w:tr2bl w:val="nil"/>
                  </w:tcBorders>
                  <w:shd w:val="clear" w:color="auto" w:fill="auto"/>
                  <w:noWrap w:val="0"/>
                  <w:vAlign w:val="center"/>
                </w:tcPr>
                <w:p w14:paraId="7DB3FAA5">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eastAsia="宋体" w:cs="Times New Roman"/>
                      <w:b w:val="0"/>
                      <w:bCs w:val="0"/>
                      <w:color w:val="auto"/>
                      <w:szCs w:val="21"/>
                      <w:u w:val="none"/>
                    </w:rPr>
                    <w:t>《环境空气质量标准》</w:t>
                  </w:r>
                  <w:r>
                    <w:rPr>
                      <w:rFonts w:hint="default" w:ascii="Times New Roman" w:hAnsi="Times New Roman" w:eastAsia="宋体" w:cs="Times New Roman"/>
                      <w:b w:val="0"/>
                      <w:bCs w:val="0"/>
                      <w:color w:val="auto"/>
                      <w:szCs w:val="21"/>
                      <w:u w:val="none"/>
                      <w:lang w:eastAsia="zh-CN"/>
                    </w:rPr>
                    <w:t>（</w:t>
                  </w:r>
                  <w:r>
                    <w:rPr>
                      <w:rFonts w:hint="default" w:ascii="Times New Roman" w:hAnsi="Times New Roman" w:eastAsia="宋体" w:cs="Times New Roman"/>
                      <w:b w:val="0"/>
                      <w:bCs w:val="0"/>
                      <w:color w:val="auto"/>
                      <w:szCs w:val="21"/>
                      <w:u w:val="none"/>
                    </w:rPr>
                    <w:t>GB3095-2012及2018年修改单）中二级标准</w:t>
                  </w:r>
                </w:p>
              </w:tc>
            </w:tr>
          </w:tbl>
          <w:p w14:paraId="22BC9FEC">
            <w:pPr>
              <w:pStyle w:val="11"/>
              <w:keepNext w:val="0"/>
              <w:keepLines w:val="0"/>
              <w:pageBreakBefore w:val="0"/>
              <w:widowControl w:val="0"/>
              <w:kinsoku/>
              <w:wordWrap/>
              <w:overflowPunct/>
              <w:topLinePunct w:val="0"/>
              <w:autoSpaceDE w:val="0"/>
              <w:autoSpaceDN w:val="0"/>
              <w:bidi w:val="0"/>
              <w:adjustRightInd w:val="0"/>
              <w:snapToGrid w:val="0"/>
              <w:spacing w:before="0" w:line="520" w:lineRule="atLeast"/>
              <w:ind w:left="0" w:leftChars="0" w:firstLine="480" w:firstLineChars="200"/>
              <w:textAlignment w:val="baseline"/>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非甲烷总烃引用《</w:t>
            </w:r>
            <w:r>
              <w:rPr>
                <w:rFonts w:hint="default" w:ascii="Times New Roman" w:hAnsi="Times New Roman" w:eastAsia="宋体" w:cs="Times New Roman"/>
                <w:color w:val="auto"/>
                <w:sz w:val="24"/>
                <w:szCs w:val="24"/>
                <w:highlight w:val="none"/>
                <w:lang w:val="en-US" w:eastAsia="zh-CN"/>
              </w:rPr>
              <w:t>河南省碳足迹再生资源有限公司濮阳市挥发性有机物综合治理废活性炭集中再生中心（绿岛）项目环境影响报告书</w:t>
            </w:r>
            <w:r>
              <w:rPr>
                <w:rFonts w:hint="default" w:ascii="Times New Roman" w:hAnsi="Times New Roman" w:eastAsia="宋体" w:cs="Times New Roman"/>
                <w:color w:val="auto"/>
                <w:sz w:val="24"/>
                <w:szCs w:val="24"/>
                <w:highlight w:val="none"/>
                <w:lang w:val="zh-CN" w:eastAsia="zh-CN"/>
              </w:rPr>
              <w:t>》中</w:t>
            </w:r>
            <w:r>
              <w:rPr>
                <w:rFonts w:hint="default" w:ascii="Times New Roman" w:hAnsi="Times New Roman" w:eastAsia="宋体" w:cs="Times New Roman"/>
                <w:color w:val="auto"/>
                <w:sz w:val="24"/>
                <w:szCs w:val="24"/>
                <w:highlight w:val="none"/>
                <w:lang w:val="en-US" w:eastAsia="zh-CN"/>
              </w:rPr>
              <w:t>2023年4月26日～5月2日，</w:t>
            </w:r>
            <w:r>
              <w:rPr>
                <w:rFonts w:hint="default" w:ascii="Times New Roman" w:hAnsi="Times New Roman" w:eastAsia="宋体" w:cs="Times New Roman"/>
                <w:color w:val="auto"/>
                <w:sz w:val="24"/>
                <w:szCs w:val="24"/>
                <w:highlight w:val="none"/>
                <w:lang w:val="zh-CN" w:eastAsia="zh-CN"/>
              </w:rPr>
              <w:t>对</w:t>
            </w:r>
            <w:r>
              <w:rPr>
                <w:rFonts w:hint="default" w:ascii="Times New Roman" w:hAnsi="Times New Roman" w:eastAsia="宋体" w:cs="Times New Roman"/>
                <w:color w:val="auto"/>
                <w:sz w:val="24"/>
                <w:szCs w:val="24"/>
                <w:highlight w:val="none"/>
                <w:lang w:val="en-US" w:eastAsia="zh-CN"/>
              </w:rPr>
              <w:t>其厂址</w:t>
            </w:r>
            <w:r>
              <w:rPr>
                <w:rFonts w:hint="default" w:ascii="Times New Roman" w:hAnsi="Times New Roman" w:eastAsia="宋体" w:cs="Times New Roman"/>
                <w:color w:val="auto"/>
                <w:sz w:val="24"/>
                <w:szCs w:val="24"/>
                <w:highlight w:val="none"/>
                <w:lang w:val="zh-CN" w:eastAsia="zh-CN"/>
              </w:rPr>
              <w:t>（本项目</w:t>
            </w:r>
            <w:r>
              <w:rPr>
                <w:rFonts w:hint="default" w:ascii="Times New Roman" w:hAnsi="Times New Roman" w:eastAsia="宋体" w:cs="Times New Roman"/>
                <w:color w:val="auto"/>
                <w:sz w:val="24"/>
                <w:szCs w:val="24"/>
                <w:highlight w:val="none"/>
                <w:lang w:val="en-US" w:eastAsia="zh-CN"/>
              </w:rPr>
              <w:t>东北</w:t>
            </w:r>
            <w:r>
              <w:rPr>
                <w:rFonts w:hint="default" w:ascii="Times New Roman" w:hAnsi="Times New Roman" w:eastAsia="宋体" w:cs="Times New Roman"/>
                <w:color w:val="auto"/>
                <w:sz w:val="24"/>
                <w:szCs w:val="24"/>
                <w:highlight w:val="none"/>
                <w:lang w:val="zh-CN" w:eastAsia="zh-CN"/>
              </w:rPr>
              <w:t>侧</w:t>
            </w:r>
            <w:r>
              <w:rPr>
                <w:rFonts w:hint="default" w:ascii="Times New Roman" w:hAnsi="Times New Roman" w:eastAsia="宋体" w:cs="Times New Roman"/>
                <w:color w:val="auto"/>
                <w:sz w:val="24"/>
                <w:szCs w:val="24"/>
                <w:highlight w:val="none"/>
                <w:lang w:val="en-US" w:eastAsia="zh-CN"/>
              </w:rPr>
              <w:t>2272</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lang w:val="en-US" w:eastAsia="zh-CN"/>
              </w:rPr>
              <w:t>和后荣花树村</w:t>
            </w:r>
            <w:r>
              <w:rPr>
                <w:rFonts w:hint="default" w:ascii="Times New Roman" w:hAnsi="Times New Roman" w:eastAsia="宋体" w:cs="Times New Roman"/>
                <w:color w:val="auto"/>
                <w:sz w:val="24"/>
                <w:szCs w:val="24"/>
                <w:highlight w:val="none"/>
                <w:lang w:val="zh-CN" w:eastAsia="zh-CN"/>
              </w:rPr>
              <w:t>（本项目东北侧</w:t>
            </w:r>
            <w:r>
              <w:rPr>
                <w:rFonts w:hint="default" w:ascii="Times New Roman" w:hAnsi="Times New Roman" w:eastAsia="宋体" w:cs="Times New Roman"/>
                <w:color w:val="auto"/>
                <w:sz w:val="24"/>
                <w:szCs w:val="24"/>
                <w:highlight w:val="none"/>
                <w:lang w:val="en-US" w:eastAsia="zh-CN"/>
              </w:rPr>
              <w:t>2806</w:t>
            </w:r>
            <w:r>
              <w:rPr>
                <w:rFonts w:hint="default" w:ascii="Times New Roman" w:hAnsi="Times New Roman" w:eastAsia="宋体" w:cs="Times New Roman"/>
                <w:color w:val="auto"/>
                <w:sz w:val="24"/>
                <w:szCs w:val="24"/>
                <w:highlight w:val="none"/>
                <w:lang w:val="zh-CN" w:eastAsia="zh-CN"/>
              </w:rPr>
              <w:t>m）的检测数据，TSP引用《清丰县先进制造业开发区发展规划（2022-2035）环境影响报告书》中2023年9月9日~9月15日对碧桂园西江月西侧（本项目西侧3.</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eastAsia="zh-CN"/>
              </w:rPr>
              <w:t>5km）的检测数据</w:t>
            </w:r>
            <w:r>
              <w:rPr>
                <w:rFonts w:hint="default" w:ascii="Times New Roman" w:hAnsi="Times New Roman" w:cs="Times New Roman"/>
                <w:color w:val="auto"/>
                <w:sz w:val="24"/>
                <w:szCs w:val="24"/>
                <w:highlight w:val="none"/>
                <w:lang w:val="zh-CN" w:eastAsia="zh-CN"/>
              </w:rPr>
              <w:t>。</w:t>
            </w:r>
            <w:r>
              <w:rPr>
                <w:rFonts w:hint="default" w:ascii="Times New Roman" w:hAnsi="Times New Roman" w:cs="Times New Roman"/>
                <w:color w:val="auto"/>
                <w:sz w:val="24"/>
                <w:szCs w:val="24"/>
                <w:highlight w:val="none"/>
                <w:lang w:val="en-US" w:eastAsia="zh-CN"/>
              </w:rPr>
              <w:t>引用监测点位</w:t>
            </w:r>
            <w:r>
              <w:rPr>
                <w:rFonts w:hint="default" w:ascii="Times New Roman" w:hAnsi="Times New Roman" w:eastAsia="宋体" w:cs="Times New Roman"/>
                <w:color w:val="auto"/>
                <w:sz w:val="24"/>
                <w:szCs w:val="24"/>
                <w:highlight w:val="none"/>
                <w:lang w:val="zh-CN" w:eastAsia="zh-CN"/>
              </w:rPr>
              <w:t>在项目厂界5km范围内；监测时间在3年之内，符合《建设项目环境影响报告表技术指南（环境影响类）试行》要求</w:t>
            </w:r>
            <w:r>
              <w:rPr>
                <w:rFonts w:hint="default" w:ascii="Times New Roman" w:hAnsi="Times New Roman"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可以反映本项目区域环境内非甲烷总烃</w:t>
            </w:r>
            <w:r>
              <w:rPr>
                <w:rFonts w:hint="default" w:ascii="Times New Roman" w:hAnsi="Times New Roman" w:cs="Times New Roman"/>
                <w:color w:val="auto"/>
                <w:sz w:val="24"/>
                <w:szCs w:val="24"/>
                <w:highlight w:val="none"/>
                <w:lang w:val="zh-CN" w:eastAsia="zh-CN"/>
              </w:rPr>
              <w:t>、</w:t>
            </w:r>
            <w:r>
              <w:rPr>
                <w:rFonts w:hint="default" w:ascii="Times New Roman" w:hAnsi="Times New Roman" w:cs="Times New Roman"/>
                <w:color w:val="auto"/>
                <w:sz w:val="24"/>
                <w:szCs w:val="24"/>
                <w:highlight w:val="none"/>
                <w:lang w:val="en-US" w:eastAsia="zh-CN"/>
              </w:rPr>
              <w:t>TSP</w:t>
            </w:r>
            <w:r>
              <w:rPr>
                <w:rFonts w:hint="default" w:ascii="Times New Roman" w:hAnsi="Times New Roman" w:eastAsia="宋体" w:cs="Times New Roman"/>
                <w:color w:val="auto"/>
                <w:sz w:val="24"/>
                <w:szCs w:val="24"/>
                <w:highlight w:val="none"/>
                <w:lang w:val="zh-CN" w:eastAsia="zh-CN"/>
              </w:rPr>
              <w:t>质量现状。</w:t>
            </w:r>
          </w:p>
          <w:p w14:paraId="757B8E46">
            <w:pPr>
              <w:pStyle w:val="16"/>
              <w:keepNext w:val="0"/>
              <w:keepLines w:val="0"/>
              <w:pageBreakBefore w:val="0"/>
              <w:widowControl w:val="0"/>
              <w:kinsoku/>
              <w:wordWrap/>
              <w:overflowPunct/>
              <w:topLinePunct w:val="0"/>
              <w:autoSpaceDE/>
              <w:autoSpaceDN/>
              <w:bidi w:val="0"/>
              <w:adjustRightInd w:val="0"/>
              <w:snapToGrid w:val="0"/>
              <w:spacing w:after="0" w:afterLines="0" w:line="52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表3-3   其他污染物环境质量现状评价表</w:t>
            </w:r>
          </w:p>
          <w:tbl>
            <w:tblPr>
              <w:tblStyle w:val="28"/>
              <w:tblW w:w="498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01"/>
              <w:gridCol w:w="1969"/>
              <w:gridCol w:w="1291"/>
              <w:gridCol w:w="1079"/>
              <w:gridCol w:w="952"/>
              <w:gridCol w:w="1141"/>
            </w:tblGrid>
            <w:tr w14:paraId="7036A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841" w:type="pct"/>
                  <w:tcBorders>
                    <w:tl2br w:val="nil"/>
                    <w:tr2bl w:val="nil"/>
                  </w:tcBorders>
                  <w:noWrap w:val="0"/>
                  <w:vAlign w:val="center"/>
                </w:tcPr>
                <w:p w14:paraId="45B65F7B">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评价因子</w:t>
                  </w:r>
                </w:p>
              </w:tc>
              <w:tc>
                <w:tcPr>
                  <w:tcW w:w="1273" w:type="pct"/>
                  <w:tcBorders>
                    <w:tl2br w:val="nil"/>
                    <w:tr2bl w:val="nil"/>
                  </w:tcBorders>
                  <w:noWrap w:val="0"/>
                  <w:vAlign w:val="center"/>
                </w:tcPr>
                <w:p w14:paraId="78BA6853">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检测点位</w:t>
                  </w:r>
                </w:p>
              </w:tc>
              <w:tc>
                <w:tcPr>
                  <w:tcW w:w="834" w:type="pct"/>
                  <w:tcBorders>
                    <w:tl2br w:val="nil"/>
                    <w:tr2bl w:val="nil"/>
                  </w:tcBorders>
                  <w:noWrap w:val="0"/>
                  <w:vAlign w:val="center"/>
                </w:tcPr>
                <w:p w14:paraId="412A72FB">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检测值</w:t>
                  </w:r>
                  <w:r>
                    <w:rPr>
                      <w:rFonts w:hint="default" w:ascii="Times New Roman" w:hAnsi="Times New Roman" w:eastAsia="宋体" w:cs="Times New Roman"/>
                      <w:b w:val="0"/>
                      <w:bCs w:val="0"/>
                      <w:color w:val="auto"/>
                      <w:szCs w:val="21"/>
                      <w:u w:val="none"/>
                      <w:lang w:val="en-US" w:eastAsia="zh-CN"/>
                    </w:rPr>
                    <w:t>/</w:t>
                  </w:r>
                  <w:r>
                    <w:rPr>
                      <w:rFonts w:hint="default" w:ascii="Times New Roman" w:hAnsi="Times New Roman" w:eastAsia="宋体" w:cs="Times New Roman"/>
                      <w:b w:val="0"/>
                      <w:bCs w:val="0"/>
                      <w:color w:val="auto"/>
                      <w:szCs w:val="21"/>
                      <w:u w:val="none"/>
                    </w:rPr>
                    <w:t>mg/m</w:t>
                  </w:r>
                  <w:r>
                    <w:rPr>
                      <w:rFonts w:hint="default" w:ascii="Times New Roman" w:hAnsi="Times New Roman" w:eastAsia="宋体" w:cs="Times New Roman"/>
                      <w:b w:val="0"/>
                      <w:bCs w:val="0"/>
                      <w:color w:val="auto"/>
                      <w:szCs w:val="21"/>
                      <w:u w:val="none"/>
                      <w:vertAlign w:val="superscript"/>
                    </w:rPr>
                    <w:t>3</w:t>
                  </w:r>
                </w:p>
              </w:tc>
              <w:tc>
                <w:tcPr>
                  <w:tcW w:w="697" w:type="pct"/>
                  <w:tcBorders>
                    <w:tl2br w:val="nil"/>
                    <w:tr2bl w:val="nil"/>
                  </w:tcBorders>
                  <w:noWrap w:val="0"/>
                  <w:vAlign w:val="center"/>
                </w:tcPr>
                <w:p w14:paraId="4B00711B">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标准值</w:t>
                  </w:r>
                  <w:r>
                    <w:rPr>
                      <w:rFonts w:hint="default" w:ascii="Times New Roman" w:hAnsi="Times New Roman" w:eastAsia="宋体" w:cs="Times New Roman"/>
                      <w:b w:val="0"/>
                      <w:bCs w:val="0"/>
                      <w:color w:val="auto"/>
                      <w:szCs w:val="21"/>
                      <w:u w:val="none"/>
                      <w:lang w:val="en-US" w:eastAsia="zh-CN"/>
                    </w:rPr>
                    <w:t>/</w:t>
                  </w:r>
                  <w:r>
                    <w:rPr>
                      <w:rFonts w:hint="default" w:ascii="Times New Roman" w:hAnsi="Times New Roman" w:eastAsia="宋体" w:cs="Times New Roman"/>
                      <w:b w:val="0"/>
                      <w:bCs w:val="0"/>
                      <w:color w:val="auto"/>
                      <w:szCs w:val="21"/>
                      <w:u w:val="none"/>
                    </w:rPr>
                    <w:t>mg/m</w:t>
                  </w:r>
                  <w:r>
                    <w:rPr>
                      <w:rFonts w:hint="default" w:ascii="Times New Roman" w:hAnsi="Times New Roman" w:eastAsia="宋体" w:cs="Times New Roman"/>
                      <w:b w:val="0"/>
                      <w:bCs w:val="0"/>
                      <w:color w:val="auto"/>
                      <w:szCs w:val="21"/>
                      <w:u w:val="none"/>
                      <w:vertAlign w:val="superscript"/>
                    </w:rPr>
                    <w:t>3</w:t>
                  </w:r>
                </w:p>
              </w:tc>
              <w:tc>
                <w:tcPr>
                  <w:tcW w:w="615" w:type="pct"/>
                  <w:tcBorders>
                    <w:tl2br w:val="nil"/>
                    <w:tr2bl w:val="nil"/>
                  </w:tcBorders>
                  <w:noWrap w:val="0"/>
                  <w:vAlign w:val="center"/>
                </w:tcPr>
                <w:p w14:paraId="50A9CDCD">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超标率</w:t>
                  </w:r>
                  <w:r>
                    <w:rPr>
                      <w:rFonts w:hint="default" w:ascii="Times New Roman" w:hAnsi="Times New Roman" w:eastAsia="宋体" w:cs="Times New Roman"/>
                      <w:b w:val="0"/>
                      <w:bCs w:val="0"/>
                      <w:color w:val="auto"/>
                      <w:szCs w:val="21"/>
                      <w:u w:val="none"/>
                      <w:lang w:val="en-US" w:eastAsia="zh-CN"/>
                    </w:rPr>
                    <w:t>/</w:t>
                  </w:r>
                  <w:r>
                    <w:rPr>
                      <w:rFonts w:hint="default" w:ascii="Times New Roman" w:hAnsi="Times New Roman" w:eastAsia="宋体" w:cs="Times New Roman"/>
                      <w:b w:val="0"/>
                      <w:bCs w:val="0"/>
                      <w:color w:val="auto"/>
                      <w:szCs w:val="21"/>
                      <w:u w:val="none"/>
                    </w:rPr>
                    <w:t>%</w:t>
                  </w:r>
                </w:p>
              </w:tc>
              <w:tc>
                <w:tcPr>
                  <w:tcW w:w="737" w:type="pct"/>
                  <w:tcBorders>
                    <w:tl2br w:val="nil"/>
                    <w:tr2bl w:val="nil"/>
                  </w:tcBorders>
                  <w:noWrap w:val="0"/>
                  <w:vAlign w:val="center"/>
                </w:tcPr>
                <w:p w14:paraId="5A62DDF3">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达标分析</w:t>
                  </w:r>
                </w:p>
              </w:tc>
            </w:tr>
            <w:tr w14:paraId="23CFF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841" w:type="pct"/>
                  <w:tcBorders>
                    <w:tl2br w:val="nil"/>
                    <w:tr2bl w:val="nil"/>
                  </w:tcBorders>
                  <w:noWrap w:val="0"/>
                  <w:vAlign w:val="center"/>
                </w:tcPr>
                <w:p w14:paraId="486EF5EC">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非甲烷总烃</w:t>
                  </w:r>
                </w:p>
              </w:tc>
              <w:tc>
                <w:tcPr>
                  <w:tcW w:w="1273" w:type="pct"/>
                  <w:tcBorders>
                    <w:tl2br w:val="nil"/>
                    <w:tr2bl w:val="nil"/>
                  </w:tcBorders>
                  <w:noWrap w:val="0"/>
                  <w:vAlign w:val="center"/>
                </w:tcPr>
                <w:p w14:paraId="4C585284">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u w:val="none"/>
                      <w:lang w:val="zh-CN"/>
                    </w:rPr>
                  </w:pPr>
                  <w:r>
                    <w:rPr>
                      <w:rFonts w:hint="default" w:ascii="Times New Roman" w:hAnsi="Times New Roman" w:eastAsia="宋体" w:cs="Times New Roman"/>
                      <w:b w:val="0"/>
                      <w:bCs w:val="0"/>
                      <w:color w:val="auto"/>
                      <w:szCs w:val="21"/>
                      <w:u w:val="none"/>
                      <w:lang w:val="en-US" w:eastAsia="zh-CN"/>
                    </w:rPr>
                    <w:t>碳足迹公司厂址</w:t>
                  </w:r>
                </w:p>
              </w:tc>
              <w:tc>
                <w:tcPr>
                  <w:tcW w:w="834" w:type="pct"/>
                  <w:tcBorders>
                    <w:tl2br w:val="nil"/>
                    <w:tr2bl w:val="nil"/>
                  </w:tcBorders>
                  <w:noWrap w:val="0"/>
                  <w:vAlign w:val="center"/>
                </w:tcPr>
                <w:p w14:paraId="37FADB14">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lang w:val="en-US" w:eastAsia="zh-CN"/>
                    </w:rPr>
                    <w:t>0.62-0.74</w:t>
                  </w:r>
                </w:p>
              </w:tc>
              <w:tc>
                <w:tcPr>
                  <w:tcW w:w="697" w:type="pct"/>
                  <w:tcBorders>
                    <w:tl2br w:val="nil"/>
                    <w:tr2bl w:val="nil"/>
                  </w:tcBorders>
                  <w:noWrap w:val="0"/>
                  <w:vAlign w:val="center"/>
                </w:tcPr>
                <w:p w14:paraId="28BD2A58">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lang w:val="en-US"/>
                    </w:rPr>
                  </w:pPr>
                  <w:r>
                    <w:rPr>
                      <w:rFonts w:hint="default" w:ascii="Times New Roman" w:hAnsi="Times New Roman" w:eastAsia="宋体" w:cs="Times New Roman"/>
                      <w:b w:val="0"/>
                      <w:bCs w:val="0"/>
                      <w:color w:val="auto"/>
                      <w:szCs w:val="21"/>
                      <w:u w:val="none"/>
                      <w:lang w:val="en-US" w:eastAsia="zh-CN"/>
                    </w:rPr>
                    <w:t>2.0</w:t>
                  </w:r>
                </w:p>
              </w:tc>
              <w:tc>
                <w:tcPr>
                  <w:tcW w:w="615" w:type="pct"/>
                  <w:tcBorders>
                    <w:tl2br w:val="nil"/>
                    <w:tr2bl w:val="nil"/>
                  </w:tcBorders>
                  <w:noWrap w:val="0"/>
                  <w:vAlign w:val="center"/>
                </w:tcPr>
                <w:p w14:paraId="5CA3AF3B">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eastAsia="宋体" w:cs="Times New Roman"/>
                      <w:b w:val="0"/>
                      <w:bCs w:val="0"/>
                      <w:color w:val="auto"/>
                      <w:szCs w:val="21"/>
                      <w:u w:val="none"/>
                      <w:lang w:val="en-US" w:eastAsia="zh-CN"/>
                    </w:rPr>
                    <w:t>0</w:t>
                  </w:r>
                </w:p>
              </w:tc>
              <w:tc>
                <w:tcPr>
                  <w:tcW w:w="737" w:type="pct"/>
                  <w:tcBorders>
                    <w:tl2br w:val="nil"/>
                    <w:tr2bl w:val="nil"/>
                  </w:tcBorders>
                  <w:noWrap w:val="0"/>
                  <w:vAlign w:val="center"/>
                </w:tcPr>
                <w:p w14:paraId="3C58DD79">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达标</w:t>
                  </w:r>
                </w:p>
              </w:tc>
            </w:tr>
            <w:tr w14:paraId="20151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41" w:type="pct"/>
                  <w:tcBorders>
                    <w:tl2br w:val="nil"/>
                    <w:tr2bl w:val="nil"/>
                  </w:tcBorders>
                  <w:noWrap w:val="0"/>
                  <w:vAlign w:val="center"/>
                </w:tcPr>
                <w:p w14:paraId="605D27F0">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非甲烷总烃</w:t>
                  </w:r>
                </w:p>
              </w:tc>
              <w:tc>
                <w:tcPr>
                  <w:tcW w:w="1273" w:type="pct"/>
                  <w:tcBorders>
                    <w:tl2br w:val="nil"/>
                    <w:tr2bl w:val="nil"/>
                  </w:tcBorders>
                  <w:noWrap w:val="0"/>
                  <w:vAlign w:val="center"/>
                </w:tcPr>
                <w:p w14:paraId="14625602">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u w:val="none"/>
                      <w:lang w:val="zh-CN"/>
                    </w:rPr>
                  </w:pPr>
                  <w:r>
                    <w:rPr>
                      <w:rFonts w:hint="default" w:ascii="Times New Roman" w:hAnsi="Times New Roman" w:eastAsia="宋体" w:cs="Times New Roman"/>
                      <w:b w:val="0"/>
                      <w:bCs w:val="0"/>
                      <w:snapToGrid w:val="0"/>
                      <w:color w:val="auto"/>
                      <w:kern w:val="10"/>
                      <w:szCs w:val="22"/>
                      <w:highlight w:val="none"/>
                      <w:u w:val="none"/>
                      <w:lang w:val="en-US" w:eastAsia="zh-CN"/>
                    </w:rPr>
                    <w:t>后荣花树村</w:t>
                  </w:r>
                </w:p>
              </w:tc>
              <w:tc>
                <w:tcPr>
                  <w:tcW w:w="834" w:type="pct"/>
                  <w:tcBorders>
                    <w:tl2br w:val="nil"/>
                    <w:tr2bl w:val="nil"/>
                  </w:tcBorders>
                  <w:noWrap w:val="0"/>
                  <w:vAlign w:val="center"/>
                </w:tcPr>
                <w:p w14:paraId="3181424C">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lang w:val="en-US"/>
                    </w:rPr>
                  </w:pPr>
                  <w:r>
                    <w:rPr>
                      <w:rFonts w:hint="default" w:ascii="Times New Roman" w:hAnsi="Times New Roman" w:eastAsia="宋体" w:cs="Times New Roman"/>
                      <w:b w:val="0"/>
                      <w:bCs w:val="0"/>
                      <w:color w:val="auto"/>
                      <w:szCs w:val="21"/>
                      <w:u w:val="none"/>
                      <w:lang w:val="en-US" w:eastAsia="zh-CN"/>
                    </w:rPr>
                    <w:t>0.76-0.95</w:t>
                  </w:r>
                </w:p>
              </w:tc>
              <w:tc>
                <w:tcPr>
                  <w:tcW w:w="697" w:type="pct"/>
                  <w:tcBorders>
                    <w:tl2br w:val="nil"/>
                    <w:tr2bl w:val="nil"/>
                  </w:tcBorders>
                  <w:noWrap w:val="0"/>
                  <w:vAlign w:val="center"/>
                </w:tcPr>
                <w:p w14:paraId="6BD79814">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lang w:val="en-US" w:eastAsia="zh-CN"/>
                    </w:rPr>
                    <w:t>2.0</w:t>
                  </w:r>
                </w:p>
              </w:tc>
              <w:tc>
                <w:tcPr>
                  <w:tcW w:w="615" w:type="pct"/>
                  <w:tcBorders>
                    <w:tl2br w:val="nil"/>
                    <w:tr2bl w:val="nil"/>
                  </w:tcBorders>
                  <w:noWrap w:val="0"/>
                  <w:vAlign w:val="center"/>
                </w:tcPr>
                <w:p w14:paraId="1DFDDEFD">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eastAsia="宋体" w:cs="Times New Roman"/>
                      <w:b w:val="0"/>
                      <w:bCs w:val="0"/>
                      <w:color w:val="auto"/>
                      <w:szCs w:val="21"/>
                      <w:u w:val="none"/>
                      <w:lang w:val="en-US" w:eastAsia="zh-CN"/>
                    </w:rPr>
                    <w:t>0</w:t>
                  </w:r>
                </w:p>
              </w:tc>
              <w:tc>
                <w:tcPr>
                  <w:tcW w:w="737" w:type="pct"/>
                  <w:tcBorders>
                    <w:tl2br w:val="nil"/>
                    <w:tr2bl w:val="nil"/>
                  </w:tcBorders>
                  <w:noWrap w:val="0"/>
                  <w:vAlign w:val="center"/>
                </w:tcPr>
                <w:p w14:paraId="5CE19BB3">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达标</w:t>
                  </w:r>
                </w:p>
              </w:tc>
            </w:tr>
            <w:tr w14:paraId="44C0B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41" w:type="pct"/>
                  <w:tcBorders>
                    <w:tl2br w:val="nil"/>
                    <w:tr2bl w:val="nil"/>
                  </w:tcBorders>
                  <w:shd w:val="clear" w:color="auto" w:fill="auto"/>
                  <w:noWrap w:val="0"/>
                  <w:vAlign w:val="center"/>
                </w:tcPr>
                <w:p w14:paraId="29919C30">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eastAsia="宋体" w:cs="Times New Roman"/>
                      <w:b w:val="0"/>
                      <w:bCs w:val="0"/>
                      <w:color w:val="auto"/>
                      <w:szCs w:val="21"/>
                      <w:u w:val="none"/>
                      <w:lang w:val="en-US" w:eastAsia="zh-CN"/>
                    </w:rPr>
                    <w:t>TSP</w:t>
                  </w:r>
                </w:p>
              </w:tc>
              <w:tc>
                <w:tcPr>
                  <w:tcW w:w="1273" w:type="pct"/>
                  <w:tcBorders>
                    <w:tl2br w:val="nil"/>
                    <w:tr2bl w:val="nil"/>
                  </w:tcBorders>
                  <w:shd w:val="clear" w:color="auto" w:fill="auto"/>
                  <w:noWrap w:val="0"/>
                  <w:vAlign w:val="center"/>
                </w:tcPr>
                <w:p w14:paraId="24A92BAE">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eastAsia="宋体" w:cs="Times New Roman"/>
                      <w:b w:val="0"/>
                      <w:bCs w:val="0"/>
                      <w:color w:val="auto"/>
                      <w:szCs w:val="21"/>
                      <w:u w:val="none"/>
                      <w:lang w:val="en-US" w:eastAsia="zh-CN"/>
                    </w:rPr>
                    <w:t>碧桂园西江月西侧</w:t>
                  </w:r>
                </w:p>
              </w:tc>
              <w:tc>
                <w:tcPr>
                  <w:tcW w:w="834" w:type="pct"/>
                  <w:tcBorders>
                    <w:tl2br w:val="nil"/>
                    <w:tr2bl w:val="nil"/>
                  </w:tcBorders>
                  <w:shd w:val="clear" w:color="auto" w:fill="auto"/>
                  <w:noWrap w:val="0"/>
                  <w:vAlign w:val="center"/>
                </w:tcPr>
                <w:p w14:paraId="39EABCE3">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eastAsia="宋体" w:cs="Times New Roman"/>
                      <w:b w:val="0"/>
                      <w:bCs w:val="0"/>
                      <w:color w:val="auto"/>
                      <w:szCs w:val="21"/>
                      <w:u w:val="none"/>
                      <w:lang w:val="en-US" w:eastAsia="zh-CN"/>
                    </w:rPr>
                    <w:t>0.161~0.178</w:t>
                  </w:r>
                </w:p>
              </w:tc>
              <w:tc>
                <w:tcPr>
                  <w:tcW w:w="697" w:type="pct"/>
                  <w:tcBorders>
                    <w:tl2br w:val="nil"/>
                    <w:tr2bl w:val="nil"/>
                  </w:tcBorders>
                  <w:shd w:val="clear" w:color="auto" w:fill="auto"/>
                  <w:noWrap w:val="0"/>
                  <w:vAlign w:val="center"/>
                </w:tcPr>
                <w:p w14:paraId="35B51CBD">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eastAsia="宋体" w:cs="Times New Roman"/>
                      <w:b w:val="0"/>
                      <w:bCs w:val="0"/>
                      <w:color w:val="auto"/>
                      <w:szCs w:val="21"/>
                      <w:u w:val="none"/>
                      <w:lang w:val="en-US" w:eastAsia="zh-CN"/>
                    </w:rPr>
                    <w:t>0.3</w:t>
                  </w:r>
                </w:p>
              </w:tc>
              <w:tc>
                <w:tcPr>
                  <w:tcW w:w="615" w:type="pct"/>
                  <w:tcBorders>
                    <w:tl2br w:val="nil"/>
                    <w:tr2bl w:val="nil"/>
                  </w:tcBorders>
                  <w:shd w:val="clear" w:color="auto" w:fill="auto"/>
                  <w:noWrap w:val="0"/>
                  <w:vAlign w:val="center"/>
                </w:tcPr>
                <w:p w14:paraId="713060DD">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eastAsia="宋体" w:cs="Times New Roman"/>
                      <w:b w:val="0"/>
                      <w:bCs w:val="0"/>
                      <w:color w:val="auto"/>
                      <w:szCs w:val="21"/>
                      <w:u w:val="none"/>
                      <w:lang w:val="en-US" w:eastAsia="zh-CN"/>
                    </w:rPr>
                    <w:t>0</w:t>
                  </w:r>
                </w:p>
              </w:tc>
              <w:tc>
                <w:tcPr>
                  <w:tcW w:w="737" w:type="pct"/>
                  <w:tcBorders>
                    <w:tl2br w:val="nil"/>
                    <w:tr2bl w:val="nil"/>
                  </w:tcBorders>
                  <w:shd w:val="clear" w:color="auto" w:fill="auto"/>
                  <w:noWrap w:val="0"/>
                  <w:vAlign w:val="center"/>
                </w:tcPr>
                <w:p w14:paraId="06E960DC">
                  <w:pPr>
                    <w:keepNext w:val="0"/>
                    <w:keepLines w:val="0"/>
                    <w:pageBreakBefore w:val="0"/>
                    <w:widowControl w:val="0"/>
                    <w:kinsoku/>
                    <w:wordWrap/>
                    <w:overflowPunct/>
                    <w:topLinePunct w:val="0"/>
                    <w:autoSpaceDE/>
                    <w:autoSpaceDN/>
                    <w:bidi w:val="0"/>
                    <w:adjustRightInd/>
                    <w:spacing w:before="63" w:beforeLines="20" w:after="63" w:afterLines="20" w:line="240" w:lineRule="auto"/>
                    <w:jc w:val="center"/>
                    <w:textAlignment w:val="auto"/>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eastAsia="宋体" w:cs="Times New Roman"/>
                      <w:b w:val="0"/>
                      <w:bCs w:val="0"/>
                      <w:color w:val="auto"/>
                      <w:szCs w:val="21"/>
                      <w:u w:val="none"/>
                      <w:lang w:val="en-US" w:eastAsia="zh-CN"/>
                    </w:rPr>
                    <w:t>达标</w:t>
                  </w:r>
                </w:p>
              </w:tc>
            </w:tr>
          </w:tbl>
          <w:p w14:paraId="5C88C721">
            <w:pPr>
              <w:pStyle w:val="11"/>
              <w:keepNext w:val="0"/>
              <w:keepLines w:val="0"/>
              <w:pageBreakBefore w:val="0"/>
              <w:widowControl w:val="0"/>
              <w:kinsoku/>
              <w:wordWrap/>
              <w:overflowPunct/>
              <w:topLinePunct w:val="0"/>
              <w:autoSpaceDE w:val="0"/>
              <w:autoSpaceDN w:val="0"/>
              <w:bidi w:val="0"/>
              <w:adjustRightInd w:val="0"/>
              <w:snapToGrid w:val="0"/>
              <w:spacing w:before="0" w:line="520" w:lineRule="atLeast"/>
              <w:ind w:left="0" w:leftChars="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由上表可知，各监测点非甲烷总烃满足《大气污染物综合排放标准详解》中推荐值</w:t>
            </w:r>
            <w:r>
              <w:rPr>
                <w:rFonts w:hint="default" w:ascii="Times New Roman" w:hAnsi="Times New Roman" w:cs="Times New Roman"/>
                <w:color w:val="auto"/>
                <w:sz w:val="24"/>
                <w:szCs w:val="24"/>
                <w:highlight w:val="none"/>
                <w:lang w:val="en-US" w:eastAsia="zh-CN"/>
              </w:rPr>
              <w:t>，TSP满足《环境空气质量标准》（GB3095-2012及2018年修改单）中二级标准要求</w:t>
            </w:r>
            <w:r>
              <w:rPr>
                <w:rFonts w:hint="default" w:ascii="Times New Roman" w:hAnsi="Times New Roman" w:eastAsia="宋体" w:cs="Times New Roman"/>
                <w:color w:val="auto"/>
                <w:sz w:val="24"/>
                <w:szCs w:val="24"/>
                <w:highlight w:val="none"/>
                <w:lang w:val="en-US" w:eastAsia="zh-CN"/>
              </w:rPr>
              <w:t>。</w:t>
            </w:r>
          </w:p>
          <w:p w14:paraId="4D245CF7">
            <w:pPr>
              <w:pStyle w:val="11"/>
              <w:keepNext w:val="0"/>
              <w:keepLines w:val="0"/>
              <w:pageBreakBefore w:val="0"/>
              <w:widowControl w:val="0"/>
              <w:kinsoku/>
              <w:wordWrap/>
              <w:overflowPunct/>
              <w:topLinePunct w:val="0"/>
              <w:autoSpaceDE w:val="0"/>
              <w:autoSpaceDN w:val="0"/>
              <w:bidi w:val="0"/>
              <w:adjustRightInd w:val="0"/>
              <w:snapToGrid w:val="0"/>
              <w:spacing w:before="0" w:line="520" w:lineRule="atLeast"/>
              <w:ind w:left="0" w:leftChars="0" w:firstLine="0" w:firstLineChars="0"/>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2、地表</w:t>
            </w:r>
            <w:r>
              <w:rPr>
                <w:rFonts w:hint="default" w:ascii="Times New Roman" w:hAnsi="Times New Roman" w:eastAsia="宋体" w:cs="Times New Roman"/>
                <w:b/>
                <w:bCs/>
                <w:color w:val="auto"/>
                <w:sz w:val="24"/>
                <w:highlight w:val="none"/>
              </w:rPr>
              <w:t>水环境现状</w:t>
            </w:r>
          </w:p>
          <w:p w14:paraId="40106188">
            <w:pPr>
              <w:pStyle w:val="18"/>
              <w:spacing w:line="520" w:lineRule="exact"/>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废水经处理后排入清丰中州水务有限公司第二污水处理厂。根据《清丰县先进制造业开发区发展规划（2022~2035）环境影响报告书》内容分析，清丰中州水务有限公司第二污水处理厂出水向北排入潴泷河，再汇入马颊河，最终汇入海河。地表水环境质量现状数据引用濮阳市生态环境局公布的濮阳市环境质量月报，濮阳市生态环境局公布的濮阳市环境质量月报从2022年开始截止目前未公布马颊河西吉七数据，本项目采用2024年1月-2024年12月马颊河南乐县水文站断面监测结果及引用《清丰县先进制造业开发区发展规划（2022-2035）环境影响报告书》（报批版）中对区域潴泷河地表水进行监测，对区域潴泷河地表水进行监测公司为河南地矿生态环境科技有限公司，监测时间为为2023年9月13日至9月15日，监测时间为3天，符合引用数据相关要求。马颊河南乐县水文站断面水质执行《地表水环境质量标准》（GB3838-2002）Ⅲ类标准，潴泷河地表水水质《地表水环境质量标准》（GB3838-2002）Ⅳ类标准。监测数据统计见下表。</w:t>
            </w:r>
          </w:p>
          <w:p w14:paraId="449F6C2F">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val="0"/>
                <w:bCs/>
                <w:color w:val="auto"/>
                <w:sz w:val="21"/>
                <w:szCs w:val="21"/>
                <w:highlight w:val="none"/>
              </w:rPr>
              <w:t>表</w:t>
            </w:r>
            <w:r>
              <w:rPr>
                <w:rFonts w:hint="default" w:ascii="Times New Roman" w:hAnsi="Times New Roman" w:eastAsia="宋体" w:cs="Times New Roman"/>
                <w:b w:val="0"/>
                <w:bCs/>
                <w:color w:val="auto"/>
                <w:sz w:val="21"/>
                <w:szCs w:val="21"/>
                <w:highlight w:val="none"/>
                <w:lang w:val="en-US" w:eastAsia="zh-CN"/>
              </w:rPr>
              <w:t>3-</w:t>
            </w:r>
            <w:r>
              <w:rPr>
                <w:rFonts w:hint="default" w:ascii="Times New Roman" w:hAnsi="Times New Roman"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rPr>
              <w:t xml:space="preserve">  </w:t>
            </w:r>
            <w:r>
              <w:rPr>
                <w:rFonts w:hint="default" w:ascii="Times New Roman" w:hAnsi="Times New Roman" w:eastAsia="宋体" w:cs="Times New Roman"/>
                <w:b w:val="0"/>
                <w:bCs/>
                <w:color w:val="auto"/>
                <w:sz w:val="21"/>
                <w:szCs w:val="21"/>
                <w:highlight w:val="none"/>
                <w:lang w:val="en-US" w:eastAsia="zh-CN"/>
              </w:rPr>
              <w:t xml:space="preserve"> 地表水环境质量现状统计（南乐县水文站断面）</w:t>
            </w:r>
            <w:r>
              <w:rPr>
                <w:rFonts w:hint="default" w:ascii="Times New Roman" w:hAnsi="Times New Roman" w:eastAsia="宋体" w:cs="Times New Roman"/>
                <w:b w:val="0"/>
                <w:bCs/>
                <w:color w:val="auto"/>
                <w:sz w:val="21"/>
                <w:szCs w:val="21"/>
                <w:highlight w:val="none"/>
              </w:rPr>
              <w:t xml:space="preserve"> </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1753"/>
              <w:gridCol w:w="1813"/>
              <w:gridCol w:w="1397"/>
              <w:gridCol w:w="1403"/>
            </w:tblGrid>
            <w:tr w14:paraId="2C65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noWrap w:val="0"/>
                  <w:vAlign w:val="center"/>
                </w:tcPr>
                <w:p w14:paraId="2A66E06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监测时间</w:t>
                  </w:r>
                </w:p>
              </w:tc>
              <w:tc>
                <w:tcPr>
                  <w:tcW w:w="1128" w:type="pct"/>
                  <w:noWrap w:val="0"/>
                  <w:vAlign w:val="center"/>
                </w:tcPr>
                <w:p w14:paraId="362B20D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污染因子</w:t>
                  </w:r>
                </w:p>
              </w:tc>
              <w:tc>
                <w:tcPr>
                  <w:tcW w:w="1167" w:type="pct"/>
                  <w:noWrap w:val="0"/>
                  <w:vAlign w:val="center"/>
                </w:tcPr>
                <w:p w14:paraId="5C9B6CC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监测浓度值/mg/L</w:t>
                  </w:r>
                </w:p>
              </w:tc>
              <w:tc>
                <w:tcPr>
                  <w:tcW w:w="899" w:type="pct"/>
                  <w:noWrap w:val="0"/>
                  <w:vAlign w:val="center"/>
                </w:tcPr>
                <w:p w14:paraId="737DFB2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标准指数</w:t>
                  </w:r>
                </w:p>
              </w:tc>
              <w:tc>
                <w:tcPr>
                  <w:tcW w:w="902" w:type="pct"/>
                  <w:noWrap w:val="0"/>
                  <w:vAlign w:val="center"/>
                </w:tcPr>
                <w:p w14:paraId="3016D7B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超标倍数</w:t>
                  </w:r>
                </w:p>
              </w:tc>
            </w:tr>
            <w:tr w14:paraId="7AF1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restart"/>
                  <w:noWrap w:val="0"/>
                  <w:vAlign w:val="center"/>
                </w:tcPr>
                <w:p w14:paraId="7A987D7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2024年1月</w:t>
                  </w:r>
                </w:p>
              </w:tc>
              <w:tc>
                <w:tcPr>
                  <w:tcW w:w="1128" w:type="pct"/>
                  <w:noWrap w:val="0"/>
                  <w:vAlign w:val="center"/>
                </w:tcPr>
                <w:p w14:paraId="6FB70B6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高锰酸钾指数</w:t>
                  </w:r>
                </w:p>
              </w:tc>
              <w:tc>
                <w:tcPr>
                  <w:tcW w:w="1167" w:type="pct"/>
                  <w:noWrap w:val="0"/>
                  <w:vAlign w:val="center"/>
                </w:tcPr>
                <w:p w14:paraId="008E9AC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5</w:t>
                  </w:r>
                </w:p>
              </w:tc>
              <w:tc>
                <w:tcPr>
                  <w:tcW w:w="899" w:type="pct"/>
                  <w:noWrap w:val="0"/>
                  <w:vAlign w:val="center"/>
                </w:tcPr>
                <w:p w14:paraId="754C4D8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0.83</w:t>
                  </w:r>
                </w:p>
              </w:tc>
              <w:tc>
                <w:tcPr>
                  <w:tcW w:w="902" w:type="pct"/>
                  <w:noWrap w:val="0"/>
                  <w:vAlign w:val="center"/>
                </w:tcPr>
                <w:p w14:paraId="426E8FB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0841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24EDF5C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noWrap w:val="0"/>
                  <w:vAlign w:val="center"/>
                </w:tcPr>
                <w:p w14:paraId="16B376C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NH</w:t>
                  </w:r>
                  <w:r>
                    <w:rPr>
                      <w:rFonts w:hint="default" w:ascii="Times New Roman" w:hAnsi="Times New Roman" w:cs="Times New Roman"/>
                      <w:b w:val="0"/>
                      <w:bCs w:val="0"/>
                      <w:color w:val="auto"/>
                      <w:spacing w:val="-11"/>
                      <w:sz w:val="21"/>
                      <w:szCs w:val="21"/>
                      <w:highlight w:val="none"/>
                      <w:u w:val="none" w:color="auto"/>
                      <w:vertAlign w:val="subscript"/>
                      <w:lang w:val="en-US" w:eastAsia="zh-CN"/>
                    </w:rPr>
                    <w:t>3</w:t>
                  </w:r>
                  <w:r>
                    <w:rPr>
                      <w:rFonts w:hint="default" w:ascii="Times New Roman" w:hAnsi="Times New Roman" w:cs="Times New Roman"/>
                      <w:b w:val="0"/>
                      <w:bCs w:val="0"/>
                      <w:color w:val="auto"/>
                      <w:spacing w:val="-11"/>
                      <w:sz w:val="21"/>
                      <w:szCs w:val="21"/>
                      <w:highlight w:val="none"/>
                      <w:u w:val="none" w:color="auto"/>
                      <w:lang w:val="en-US" w:eastAsia="zh-CN"/>
                    </w:rPr>
                    <w:t>-N</w:t>
                  </w:r>
                </w:p>
              </w:tc>
              <w:tc>
                <w:tcPr>
                  <w:tcW w:w="1167" w:type="pct"/>
                  <w:noWrap w:val="0"/>
                  <w:vAlign w:val="center"/>
                </w:tcPr>
                <w:p w14:paraId="6A68CC2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0.43</w:t>
                  </w:r>
                </w:p>
              </w:tc>
              <w:tc>
                <w:tcPr>
                  <w:tcW w:w="899" w:type="pct"/>
                  <w:noWrap w:val="0"/>
                  <w:vAlign w:val="center"/>
                </w:tcPr>
                <w:p w14:paraId="4DCA803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0.43</w:t>
                  </w:r>
                </w:p>
              </w:tc>
              <w:tc>
                <w:tcPr>
                  <w:tcW w:w="902" w:type="pct"/>
                  <w:noWrap w:val="0"/>
                  <w:vAlign w:val="center"/>
                </w:tcPr>
                <w:p w14:paraId="66EFBD8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796A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0CEECEF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noWrap w:val="0"/>
                  <w:vAlign w:val="center"/>
                </w:tcPr>
                <w:p w14:paraId="377C9DF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总磷</w:t>
                  </w:r>
                </w:p>
              </w:tc>
              <w:tc>
                <w:tcPr>
                  <w:tcW w:w="1167" w:type="pct"/>
                  <w:noWrap w:val="0"/>
                  <w:vAlign w:val="center"/>
                </w:tcPr>
                <w:p w14:paraId="610754E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0.093</w:t>
                  </w:r>
                </w:p>
              </w:tc>
              <w:tc>
                <w:tcPr>
                  <w:tcW w:w="899" w:type="pct"/>
                  <w:noWrap w:val="0"/>
                  <w:vAlign w:val="center"/>
                </w:tcPr>
                <w:p w14:paraId="419D9ED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0.465</w:t>
                  </w:r>
                </w:p>
              </w:tc>
              <w:tc>
                <w:tcPr>
                  <w:tcW w:w="902" w:type="pct"/>
                  <w:noWrap w:val="0"/>
                  <w:vAlign w:val="center"/>
                </w:tcPr>
                <w:p w14:paraId="5945FC1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0058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1" w:type="pct"/>
                  <w:vMerge w:val="restart"/>
                  <w:noWrap w:val="0"/>
                  <w:vAlign w:val="center"/>
                </w:tcPr>
                <w:p w14:paraId="7C99803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2024年2月</w:t>
                  </w:r>
                </w:p>
              </w:tc>
              <w:tc>
                <w:tcPr>
                  <w:tcW w:w="1128" w:type="pct"/>
                  <w:shd w:val="clear" w:color="auto" w:fill="auto"/>
                  <w:noWrap w:val="0"/>
                  <w:vAlign w:val="center"/>
                </w:tcPr>
                <w:p w14:paraId="322E87C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高锰酸钾指数</w:t>
                  </w:r>
                </w:p>
              </w:tc>
              <w:tc>
                <w:tcPr>
                  <w:tcW w:w="1167" w:type="pct"/>
                  <w:noWrap w:val="0"/>
                  <w:vAlign w:val="center"/>
                </w:tcPr>
                <w:p w14:paraId="18A418C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6.6</w:t>
                  </w:r>
                </w:p>
              </w:tc>
              <w:tc>
                <w:tcPr>
                  <w:tcW w:w="899" w:type="pct"/>
                  <w:noWrap w:val="0"/>
                  <w:vAlign w:val="center"/>
                </w:tcPr>
                <w:p w14:paraId="618F8C7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1.1</w:t>
                  </w:r>
                </w:p>
              </w:tc>
              <w:tc>
                <w:tcPr>
                  <w:tcW w:w="902" w:type="pct"/>
                  <w:noWrap w:val="0"/>
                  <w:vAlign w:val="center"/>
                </w:tcPr>
                <w:p w14:paraId="6873D64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0.1</w:t>
                  </w:r>
                </w:p>
              </w:tc>
            </w:tr>
            <w:tr w14:paraId="7AF9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3BE5315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057535E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NH</w:t>
                  </w:r>
                  <w:r>
                    <w:rPr>
                      <w:rFonts w:hint="default" w:ascii="Times New Roman" w:hAnsi="Times New Roman" w:cs="Times New Roman"/>
                      <w:b w:val="0"/>
                      <w:bCs w:val="0"/>
                      <w:color w:val="auto"/>
                      <w:spacing w:val="-11"/>
                      <w:sz w:val="21"/>
                      <w:szCs w:val="21"/>
                      <w:highlight w:val="none"/>
                      <w:u w:val="none" w:color="auto"/>
                      <w:vertAlign w:val="subscript"/>
                      <w:lang w:val="en-US" w:eastAsia="zh-CN"/>
                    </w:rPr>
                    <w:t>3</w:t>
                  </w:r>
                  <w:r>
                    <w:rPr>
                      <w:rFonts w:hint="default" w:ascii="Times New Roman" w:hAnsi="Times New Roman" w:cs="Times New Roman"/>
                      <w:b w:val="0"/>
                      <w:bCs w:val="0"/>
                      <w:color w:val="auto"/>
                      <w:spacing w:val="-11"/>
                      <w:sz w:val="21"/>
                      <w:szCs w:val="21"/>
                      <w:highlight w:val="none"/>
                      <w:u w:val="none" w:color="auto"/>
                      <w:lang w:val="en-US" w:eastAsia="zh-CN"/>
                    </w:rPr>
                    <w:t>-N</w:t>
                  </w:r>
                </w:p>
              </w:tc>
              <w:tc>
                <w:tcPr>
                  <w:tcW w:w="1167" w:type="pct"/>
                  <w:noWrap w:val="0"/>
                  <w:vAlign w:val="center"/>
                </w:tcPr>
                <w:p w14:paraId="495910A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0.43</w:t>
                  </w:r>
                </w:p>
              </w:tc>
              <w:tc>
                <w:tcPr>
                  <w:tcW w:w="899" w:type="pct"/>
                  <w:noWrap w:val="0"/>
                  <w:vAlign w:val="center"/>
                </w:tcPr>
                <w:p w14:paraId="2CDB13E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0.43</w:t>
                  </w:r>
                </w:p>
              </w:tc>
              <w:tc>
                <w:tcPr>
                  <w:tcW w:w="902" w:type="pct"/>
                  <w:noWrap w:val="0"/>
                  <w:vAlign w:val="center"/>
                </w:tcPr>
                <w:p w14:paraId="72CC4B4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2FB3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2517E7C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068A686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总磷</w:t>
                  </w:r>
                </w:p>
              </w:tc>
              <w:tc>
                <w:tcPr>
                  <w:tcW w:w="1167" w:type="pct"/>
                  <w:noWrap w:val="0"/>
                  <w:vAlign w:val="center"/>
                </w:tcPr>
                <w:p w14:paraId="7F82F16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0.133</w:t>
                  </w:r>
                </w:p>
              </w:tc>
              <w:tc>
                <w:tcPr>
                  <w:tcW w:w="899" w:type="pct"/>
                  <w:noWrap w:val="0"/>
                  <w:vAlign w:val="center"/>
                </w:tcPr>
                <w:p w14:paraId="07953E6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0.665</w:t>
                  </w:r>
                </w:p>
              </w:tc>
              <w:tc>
                <w:tcPr>
                  <w:tcW w:w="902" w:type="pct"/>
                  <w:noWrap w:val="0"/>
                  <w:vAlign w:val="center"/>
                </w:tcPr>
                <w:p w14:paraId="6F97EB6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4E59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restart"/>
                  <w:noWrap w:val="0"/>
                  <w:vAlign w:val="center"/>
                </w:tcPr>
                <w:p w14:paraId="796FE71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2024年3月</w:t>
                  </w:r>
                </w:p>
              </w:tc>
              <w:tc>
                <w:tcPr>
                  <w:tcW w:w="1128" w:type="pct"/>
                  <w:shd w:val="clear" w:color="auto" w:fill="auto"/>
                  <w:noWrap w:val="0"/>
                  <w:vAlign w:val="center"/>
                </w:tcPr>
                <w:p w14:paraId="35021E2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高锰酸钾指数</w:t>
                  </w:r>
                </w:p>
              </w:tc>
              <w:tc>
                <w:tcPr>
                  <w:tcW w:w="2969" w:type="pct"/>
                  <w:gridSpan w:val="3"/>
                  <w:vMerge w:val="restart"/>
                  <w:noWrap w:val="0"/>
                  <w:vAlign w:val="center"/>
                </w:tcPr>
                <w:p w14:paraId="458B53F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断流</w:t>
                  </w:r>
                </w:p>
              </w:tc>
            </w:tr>
            <w:tr w14:paraId="44FA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pct"/>
                  <w:vMerge w:val="continue"/>
                  <w:noWrap w:val="0"/>
                  <w:vAlign w:val="center"/>
                </w:tcPr>
                <w:p w14:paraId="41BE85C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312401F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NH</w:t>
                  </w:r>
                  <w:r>
                    <w:rPr>
                      <w:rFonts w:hint="default" w:ascii="Times New Roman" w:hAnsi="Times New Roman" w:cs="Times New Roman"/>
                      <w:b w:val="0"/>
                      <w:bCs w:val="0"/>
                      <w:color w:val="auto"/>
                      <w:spacing w:val="-11"/>
                      <w:sz w:val="21"/>
                      <w:szCs w:val="21"/>
                      <w:highlight w:val="none"/>
                      <w:u w:val="none" w:color="auto"/>
                      <w:vertAlign w:val="subscript"/>
                      <w:lang w:val="en-US" w:eastAsia="zh-CN"/>
                    </w:rPr>
                    <w:t>3</w:t>
                  </w:r>
                  <w:r>
                    <w:rPr>
                      <w:rFonts w:hint="default" w:ascii="Times New Roman" w:hAnsi="Times New Roman" w:cs="Times New Roman"/>
                      <w:b w:val="0"/>
                      <w:bCs w:val="0"/>
                      <w:color w:val="auto"/>
                      <w:spacing w:val="-11"/>
                      <w:sz w:val="21"/>
                      <w:szCs w:val="21"/>
                      <w:highlight w:val="none"/>
                      <w:u w:val="none" w:color="auto"/>
                      <w:lang w:val="en-US" w:eastAsia="zh-CN"/>
                    </w:rPr>
                    <w:t>-N</w:t>
                  </w:r>
                </w:p>
              </w:tc>
              <w:tc>
                <w:tcPr>
                  <w:tcW w:w="2969" w:type="pct"/>
                  <w:gridSpan w:val="3"/>
                  <w:vMerge w:val="continue"/>
                  <w:noWrap w:val="0"/>
                  <w:vAlign w:val="center"/>
                </w:tcPr>
                <w:p w14:paraId="4241CE3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r>
            <w:tr w14:paraId="7F83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66DDFEF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401A72E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总磷</w:t>
                  </w:r>
                </w:p>
              </w:tc>
              <w:tc>
                <w:tcPr>
                  <w:tcW w:w="2969" w:type="pct"/>
                  <w:gridSpan w:val="3"/>
                  <w:vMerge w:val="continue"/>
                  <w:noWrap w:val="0"/>
                  <w:vAlign w:val="center"/>
                </w:tcPr>
                <w:p w14:paraId="3102C80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r>
            <w:tr w14:paraId="67E1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restart"/>
                  <w:noWrap w:val="0"/>
                  <w:vAlign w:val="center"/>
                </w:tcPr>
                <w:p w14:paraId="1D44A9E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2024年4月</w:t>
                  </w:r>
                </w:p>
              </w:tc>
              <w:tc>
                <w:tcPr>
                  <w:tcW w:w="1128" w:type="pct"/>
                  <w:shd w:val="clear" w:color="auto" w:fill="auto"/>
                  <w:noWrap w:val="0"/>
                  <w:vAlign w:val="center"/>
                </w:tcPr>
                <w:p w14:paraId="0BE4400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高锰酸钾指数</w:t>
                  </w:r>
                </w:p>
              </w:tc>
              <w:tc>
                <w:tcPr>
                  <w:tcW w:w="2969" w:type="pct"/>
                  <w:gridSpan w:val="3"/>
                  <w:vMerge w:val="restart"/>
                  <w:noWrap w:val="0"/>
                  <w:vAlign w:val="center"/>
                </w:tcPr>
                <w:p w14:paraId="5FC2DC2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断流</w:t>
                  </w:r>
                </w:p>
              </w:tc>
            </w:tr>
            <w:tr w14:paraId="0960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0791AC3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1E7A491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NH</w:t>
                  </w:r>
                  <w:r>
                    <w:rPr>
                      <w:rFonts w:hint="default" w:ascii="Times New Roman" w:hAnsi="Times New Roman" w:cs="Times New Roman"/>
                      <w:b w:val="0"/>
                      <w:bCs w:val="0"/>
                      <w:color w:val="auto"/>
                      <w:spacing w:val="-11"/>
                      <w:sz w:val="21"/>
                      <w:szCs w:val="21"/>
                      <w:highlight w:val="none"/>
                      <w:u w:val="none" w:color="auto"/>
                      <w:vertAlign w:val="subscript"/>
                      <w:lang w:val="en-US" w:eastAsia="zh-CN"/>
                    </w:rPr>
                    <w:t>3</w:t>
                  </w:r>
                  <w:r>
                    <w:rPr>
                      <w:rFonts w:hint="default" w:ascii="Times New Roman" w:hAnsi="Times New Roman" w:cs="Times New Roman"/>
                      <w:b w:val="0"/>
                      <w:bCs w:val="0"/>
                      <w:color w:val="auto"/>
                      <w:spacing w:val="-11"/>
                      <w:sz w:val="21"/>
                      <w:szCs w:val="21"/>
                      <w:highlight w:val="none"/>
                      <w:u w:val="none" w:color="auto"/>
                      <w:lang w:val="en-US" w:eastAsia="zh-CN"/>
                    </w:rPr>
                    <w:t>-N</w:t>
                  </w:r>
                </w:p>
              </w:tc>
              <w:tc>
                <w:tcPr>
                  <w:tcW w:w="2969" w:type="pct"/>
                  <w:gridSpan w:val="3"/>
                  <w:vMerge w:val="continue"/>
                  <w:noWrap w:val="0"/>
                  <w:vAlign w:val="center"/>
                </w:tcPr>
                <w:p w14:paraId="7D7169C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r>
            <w:tr w14:paraId="21EE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521BCA3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0FBB5B7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总磷</w:t>
                  </w:r>
                </w:p>
              </w:tc>
              <w:tc>
                <w:tcPr>
                  <w:tcW w:w="2969" w:type="pct"/>
                  <w:gridSpan w:val="3"/>
                  <w:vMerge w:val="continue"/>
                  <w:noWrap w:val="0"/>
                  <w:vAlign w:val="center"/>
                </w:tcPr>
                <w:p w14:paraId="2369CB8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r>
            <w:tr w14:paraId="0EE8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901" w:type="pct"/>
                  <w:vMerge w:val="restart"/>
                  <w:noWrap w:val="0"/>
                  <w:vAlign w:val="center"/>
                </w:tcPr>
                <w:p w14:paraId="5DBB038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2024年5月</w:t>
                  </w:r>
                </w:p>
              </w:tc>
              <w:tc>
                <w:tcPr>
                  <w:tcW w:w="1128" w:type="pct"/>
                  <w:shd w:val="clear" w:color="auto" w:fill="auto"/>
                  <w:noWrap w:val="0"/>
                  <w:vAlign w:val="center"/>
                </w:tcPr>
                <w:p w14:paraId="77ADB32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高锰酸钾指数</w:t>
                  </w:r>
                </w:p>
              </w:tc>
              <w:tc>
                <w:tcPr>
                  <w:tcW w:w="1167" w:type="pct"/>
                  <w:shd w:val="clear" w:color="auto" w:fill="auto"/>
                  <w:noWrap w:val="0"/>
                  <w:vAlign w:val="center"/>
                </w:tcPr>
                <w:p w14:paraId="7C4DD38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3.9</w:t>
                  </w:r>
                </w:p>
              </w:tc>
              <w:tc>
                <w:tcPr>
                  <w:tcW w:w="899" w:type="pct"/>
                  <w:shd w:val="clear" w:color="auto" w:fill="auto"/>
                  <w:noWrap w:val="0"/>
                  <w:vAlign w:val="center"/>
                </w:tcPr>
                <w:p w14:paraId="177254E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0.65</w:t>
                  </w:r>
                </w:p>
              </w:tc>
              <w:tc>
                <w:tcPr>
                  <w:tcW w:w="902" w:type="pct"/>
                  <w:shd w:val="clear" w:color="auto" w:fill="auto"/>
                  <w:noWrap w:val="0"/>
                  <w:vAlign w:val="center"/>
                </w:tcPr>
                <w:p w14:paraId="376F186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7F98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3BC9192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538A24F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NH</w:t>
                  </w:r>
                  <w:r>
                    <w:rPr>
                      <w:rFonts w:hint="default" w:ascii="Times New Roman" w:hAnsi="Times New Roman" w:cs="Times New Roman"/>
                      <w:b w:val="0"/>
                      <w:bCs w:val="0"/>
                      <w:color w:val="auto"/>
                      <w:spacing w:val="-11"/>
                      <w:sz w:val="21"/>
                      <w:szCs w:val="21"/>
                      <w:highlight w:val="none"/>
                      <w:u w:val="none" w:color="auto"/>
                      <w:vertAlign w:val="subscript"/>
                      <w:lang w:val="en-US" w:eastAsia="zh-CN"/>
                    </w:rPr>
                    <w:t>3</w:t>
                  </w:r>
                  <w:r>
                    <w:rPr>
                      <w:rFonts w:hint="default" w:ascii="Times New Roman" w:hAnsi="Times New Roman" w:cs="Times New Roman"/>
                      <w:b w:val="0"/>
                      <w:bCs w:val="0"/>
                      <w:color w:val="auto"/>
                      <w:spacing w:val="-11"/>
                      <w:sz w:val="21"/>
                      <w:szCs w:val="21"/>
                      <w:highlight w:val="none"/>
                      <w:u w:val="none" w:color="auto"/>
                      <w:lang w:val="en-US" w:eastAsia="zh-CN"/>
                    </w:rPr>
                    <w:t>-N</w:t>
                  </w:r>
                </w:p>
              </w:tc>
              <w:tc>
                <w:tcPr>
                  <w:tcW w:w="1167" w:type="pct"/>
                  <w:shd w:val="clear" w:color="auto" w:fill="auto"/>
                  <w:noWrap w:val="0"/>
                  <w:vAlign w:val="center"/>
                </w:tcPr>
                <w:p w14:paraId="003195B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0.26</w:t>
                  </w:r>
                </w:p>
              </w:tc>
              <w:tc>
                <w:tcPr>
                  <w:tcW w:w="899" w:type="pct"/>
                  <w:shd w:val="clear" w:color="auto" w:fill="auto"/>
                  <w:noWrap w:val="0"/>
                  <w:vAlign w:val="center"/>
                </w:tcPr>
                <w:p w14:paraId="440A7AE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0.26</w:t>
                  </w:r>
                </w:p>
              </w:tc>
              <w:tc>
                <w:tcPr>
                  <w:tcW w:w="902" w:type="pct"/>
                  <w:shd w:val="clear" w:color="auto" w:fill="auto"/>
                  <w:noWrap w:val="0"/>
                  <w:vAlign w:val="center"/>
                </w:tcPr>
                <w:p w14:paraId="5F17459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4928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1E06C9C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01972EF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总磷</w:t>
                  </w:r>
                </w:p>
              </w:tc>
              <w:tc>
                <w:tcPr>
                  <w:tcW w:w="1167" w:type="pct"/>
                  <w:shd w:val="clear" w:color="auto" w:fill="auto"/>
                  <w:noWrap w:val="0"/>
                  <w:vAlign w:val="center"/>
                </w:tcPr>
                <w:p w14:paraId="4026D4D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0.091</w:t>
                  </w:r>
                </w:p>
              </w:tc>
              <w:tc>
                <w:tcPr>
                  <w:tcW w:w="899" w:type="pct"/>
                  <w:shd w:val="clear" w:color="auto" w:fill="auto"/>
                  <w:noWrap w:val="0"/>
                  <w:vAlign w:val="center"/>
                </w:tcPr>
                <w:p w14:paraId="1817C40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0.455</w:t>
                  </w:r>
                </w:p>
              </w:tc>
              <w:tc>
                <w:tcPr>
                  <w:tcW w:w="902" w:type="pct"/>
                  <w:shd w:val="clear" w:color="auto" w:fill="auto"/>
                  <w:noWrap w:val="0"/>
                  <w:vAlign w:val="center"/>
                </w:tcPr>
                <w:p w14:paraId="330D5A0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389B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restart"/>
                  <w:noWrap w:val="0"/>
                  <w:vAlign w:val="center"/>
                </w:tcPr>
                <w:p w14:paraId="54FC5B4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2024年6月</w:t>
                  </w:r>
                </w:p>
              </w:tc>
              <w:tc>
                <w:tcPr>
                  <w:tcW w:w="1128" w:type="pct"/>
                  <w:shd w:val="clear" w:color="auto" w:fill="auto"/>
                  <w:noWrap w:val="0"/>
                  <w:vAlign w:val="center"/>
                </w:tcPr>
                <w:p w14:paraId="1A05F7F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高锰酸钾指数</w:t>
                  </w:r>
                </w:p>
              </w:tc>
              <w:tc>
                <w:tcPr>
                  <w:tcW w:w="1167" w:type="pct"/>
                  <w:shd w:val="clear" w:color="auto" w:fill="auto"/>
                  <w:noWrap w:val="0"/>
                  <w:vAlign w:val="center"/>
                </w:tcPr>
                <w:p w14:paraId="326A70A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3.6</w:t>
                  </w:r>
                </w:p>
              </w:tc>
              <w:tc>
                <w:tcPr>
                  <w:tcW w:w="899" w:type="pct"/>
                  <w:shd w:val="clear" w:color="auto" w:fill="auto"/>
                  <w:noWrap w:val="0"/>
                  <w:vAlign w:val="center"/>
                </w:tcPr>
                <w:p w14:paraId="0D4C670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0.6</w:t>
                  </w:r>
                </w:p>
              </w:tc>
              <w:tc>
                <w:tcPr>
                  <w:tcW w:w="902" w:type="pct"/>
                  <w:shd w:val="clear" w:color="auto" w:fill="auto"/>
                  <w:noWrap w:val="0"/>
                  <w:vAlign w:val="center"/>
                </w:tcPr>
                <w:p w14:paraId="432A398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5A95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901" w:type="pct"/>
                  <w:vMerge w:val="continue"/>
                  <w:noWrap w:val="0"/>
                  <w:vAlign w:val="center"/>
                </w:tcPr>
                <w:p w14:paraId="72A6EE3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5AAB4AA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NH</w:t>
                  </w:r>
                  <w:r>
                    <w:rPr>
                      <w:rFonts w:hint="default" w:ascii="Times New Roman" w:hAnsi="Times New Roman" w:cs="Times New Roman"/>
                      <w:b w:val="0"/>
                      <w:bCs w:val="0"/>
                      <w:color w:val="auto"/>
                      <w:spacing w:val="-11"/>
                      <w:sz w:val="21"/>
                      <w:szCs w:val="21"/>
                      <w:highlight w:val="none"/>
                      <w:u w:val="none" w:color="auto"/>
                      <w:vertAlign w:val="subscript"/>
                      <w:lang w:val="en-US" w:eastAsia="zh-CN"/>
                    </w:rPr>
                    <w:t>3</w:t>
                  </w:r>
                  <w:r>
                    <w:rPr>
                      <w:rFonts w:hint="default" w:ascii="Times New Roman" w:hAnsi="Times New Roman" w:cs="Times New Roman"/>
                      <w:b w:val="0"/>
                      <w:bCs w:val="0"/>
                      <w:color w:val="auto"/>
                      <w:spacing w:val="-11"/>
                      <w:sz w:val="21"/>
                      <w:szCs w:val="21"/>
                      <w:highlight w:val="none"/>
                      <w:u w:val="none" w:color="auto"/>
                      <w:lang w:val="en-US" w:eastAsia="zh-CN"/>
                    </w:rPr>
                    <w:t>-N</w:t>
                  </w:r>
                </w:p>
              </w:tc>
              <w:tc>
                <w:tcPr>
                  <w:tcW w:w="1167" w:type="pct"/>
                  <w:shd w:val="clear" w:color="auto" w:fill="auto"/>
                  <w:noWrap w:val="0"/>
                  <w:vAlign w:val="center"/>
                </w:tcPr>
                <w:p w14:paraId="73F2A58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0.16</w:t>
                  </w:r>
                </w:p>
              </w:tc>
              <w:tc>
                <w:tcPr>
                  <w:tcW w:w="899" w:type="pct"/>
                  <w:shd w:val="clear" w:color="auto" w:fill="auto"/>
                  <w:noWrap w:val="0"/>
                  <w:vAlign w:val="center"/>
                </w:tcPr>
                <w:p w14:paraId="5D7CC1F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0.16</w:t>
                  </w:r>
                </w:p>
              </w:tc>
              <w:tc>
                <w:tcPr>
                  <w:tcW w:w="902" w:type="pct"/>
                  <w:shd w:val="clear" w:color="auto" w:fill="auto"/>
                  <w:noWrap w:val="0"/>
                  <w:vAlign w:val="center"/>
                </w:tcPr>
                <w:p w14:paraId="08C96D8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7749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75BD68E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1049047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总磷</w:t>
                  </w:r>
                </w:p>
              </w:tc>
              <w:tc>
                <w:tcPr>
                  <w:tcW w:w="1167" w:type="pct"/>
                  <w:shd w:val="clear" w:color="auto" w:fill="auto"/>
                  <w:noWrap w:val="0"/>
                  <w:vAlign w:val="center"/>
                </w:tcPr>
                <w:p w14:paraId="4451F90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0.076</w:t>
                  </w:r>
                </w:p>
              </w:tc>
              <w:tc>
                <w:tcPr>
                  <w:tcW w:w="899" w:type="pct"/>
                  <w:shd w:val="clear" w:color="auto" w:fill="auto"/>
                  <w:noWrap w:val="0"/>
                  <w:vAlign w:val="center"/>
                </w:tcPr>
                <w:p w14:paraId="14022F0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0.38</w:t>
                  </w:r>
                </w:p>
              </w:tc>
              <w:tc>
                <w:tcPr>
                  <w:tcW w:w="902" w:type="pct"/>
                  <w:shd w:val="clear" w:color="auto" w:fill="auto"/>
                  <w:noWrap w:val="0"/>
                  <w:vAlign w:val="center"/>
                </w:tcPr>
                <w:p w14:paraId="74BA4F9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0A1C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restart"/>
                  <w:noWrap w:val="0"/>
                  <w:vAlign w:val="center"/>
                </w:tcPr>
                <w:p w14:paraId="7C6118F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2024年7月</w:t>
                  </w:r>
                </w:p>
              </w:tc>
              <w:tc>
                <w:tcPr>
                  <w:tcW w:w="1128" w:type="pct"/>
                  <w:shd w:val="clear" w:color="auto" w:fill="auto"/>
                  <w:noWrap w:val="0"/>
                  <w:vAlign w:val="center"/>
                </w:tcPr>
                <w:p w14:paraId="374A2B5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高锰酸钾指数</w:t>
                  </w:r>
                </w:p>
              </w:tc>
              <w:tc>
                <w:tcPr>
                  <w:tcW w:w="1167" w:type="pct"/>
                  <w:shd w:val="clear" w:color="auto" w:fill="auto"/>
                  <w:noWrap w:val="0"/>
                  <w:vAlign w:val="center"/>
                </w:tcPr>
                <w:p w14:paraId="035F279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6.1</w:t>
                  </w:r>
                </w:p>
              </w:tc>
              <w:tc>
                <w:tcPr>
                  <w:tcW w:w="899" w:type="pct"/>
                  <w:shd w:val="clear" w:color="auto" w:fill="auto"/>
                  <w:noWrap w:val="0"/>
                  <w:vAlign w:val="center"/>
                </w:tcPr>
                <w:p w14:paraId="7CA1BDB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1.02</w:t>
                  </w:r>
                </w:p>
              </w:tc>
              <w:tc>
                <w:tcPr>
                  <w:tcW w:w="902" w:type="pct"/>
                  <w:shd w:val="clear" w:color="auto" w:fill="auto"/>
                  <w:noWrap w:val="0"/>
                  <w:vAlign w:val="center"/>
                </w:tcPr>
                <w:p w14:paraId="03BA0B7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0.02</w:t>
                  </w:r>
                </w:p>
              </w:tc>
            </w:tr>
            <w:tr w14:paraId="1986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153106E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17614CB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NH</w:t>
                  </w:r>
                  <w:r>
                    <w:rPr>
                      <w:rFonts w:hint="default" w:ascii="Times New Roman" w:hAnsi="Times New Roman" w:cs="Times New Roman"/>
                      <w:b w:val="0"/>
                      <w:bCs w:val="0"/>
                      <w:color w:val="auto"/>
                      <w:spacing w:val="-11"/>
                      <w:sz w:val="21"/>
                      <w:szCs w:val="21"/>
                      <w:highlight w:val="none"/>
                      <w:u w:val="none" w:color="auto"/>
                      <w:vertAlign w:val="subscript"/>
                      <w:lang w:val="en-US" w:eastAsia="zh-CN"/>
                    </w:rPr>
                    <w:t>3</w:t>
                  </w:r>
                  <w:r>
                    <w:rPr>
                      <w:rFonts w:hint="default" w:ascii="Times New Roman" w:hAnsi="Times New Roman" w:cs="Times New Roman"/>
                      <w:b w:val="0"/>
                      <w:bCs w:val="0"/>
                      <w:color w:val="auto"/>
                      <w:spacing w:val="-11"/>
                      <w:sz w:val="21"/>
                      <w:szCs w:val="21"/>
                      <w:highlight w:val="none"/>
                      <w:u w:val="none" w:color="auto"/>
                      <w:lang w:val="en-US" w:eastAsia="zh-CN"/>
                    </w:rPr>
                    <w:t>-N</w:t>
                  </w:r>
                </w:p>
              </w:tc>
              <w:tc>
                <w:tcPr>
                  <w:tcW w:w="1167" w:type="pct"/>
                  <w:shd w:val="clear" w:color="auto" w:fill="auto"/>
                  <w:noWrap w:val="0"/>
                  <w:vAlign w:val="center"/>
                </w:tcPr>
                <w:p w14:paraId="2C15CD3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0.97</w:t>
                  </w:r>
                </w:p>
              </w:tc>
              <w:tc>
                <w:tcPr>
                  <w:tcW w:w="899" w:type="pct"/>
                  <w:shd w:val="clear" w:color="auto" w:fill="auto"/>
                  <w:noWrap w:val="0"/>
                  <w:vAlign w:val="center"/>
                </w:tcPr>
                <w:p w14:paraId="46ED07F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0.97</w:t>
                  </w:r>
                </w:p>
              </w:tc>
              <w:tc>
                <w:tcPr>
                  <w:tcW w:w="902" w:type="pct"/>
                  <w:shd w:val="clear" w:color="auto" w:fill="auto"/>
                  <w:noWrap w:val="0"/>
                  <w:vAlign w:val="center"/>
                </w:tcPr>
                <w:p w14:paraId="043AA13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1B22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54EE57D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729FD19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总磷</w:t>
                  </w:r>
                </w:p>
              </w:tc>
              <w:tc>
                <w:tcPr>
                  <w:tcW w:w="1167" w:type="pct"/>
                  <w:shd w:val="clear" w:color="auto" w:fill="auto"/>
                  <w:noWrap w:val="0"/>
                  <w:vAlign w:val="center"/>
                </w:tcPr>
                <w:p w14:paraId="5E76B92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0.155</w:t>
                  </w:r>
                </w:p>
              </w:tc>
              <w:tc>
                <w:tcPr>
                  <w:tcW w:w="899" w:type="pct"/>
                  <w:shd w:val="clear" w:color="auto" w:fill="auto"/>
                  <w:noWrap w:val="0"/>
                  <w:vAlign w:val="center"/>
                </w:tcPr>
                <w:p w14:paraId="6FDE828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0.775</w:t>
                  </w:r>
                </w:p>
              </w:tc>
              <w:tc>
                <w:tcPr>
                  <w:tcW w:w="902" w:type="pct"/>
                  <w:shd w:val="clear" w:color="auto" w:fill="auto"/>
                  <w:noWrap w:val="0"/>
                  <w:vAlign w:val="center"/>
                </w:tcPr>
                <w:p w14:paraId="5C76DB8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314B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restart"/>
                  <w:noWrap w:val="0"/>
                  <w:vAlign w:val="center"/>
                </w:tcPr>
                <w:p w14:paraId="0F98087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2024年8月</w:t>
                  </w:r>
                </w:p>
              </w:tc>
              <w:tc>
                <w:tcPr>
                  <w:tcW w:w="1128" w:type="pct"/>
                  <w:shd w:val="clear" w:color="auto" w:fill="auto"/>
                  <w:noWrap w:val="0"/>
                  <w:vAlign w:val="center"/>
                </w:tcPr>
                <w:p w14:paraId="240E240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高锰酸钾指数</w:t>
                  </w:r>
                </w:p>
              </w:tc>
              <w:tc>
                <w:tcPr>
                  <w:tcW w:w="1167" w:type="pct"/>
                  <w:shd w:val="clear" w:color="auto" w:fill="auto"/>
                  <w:noWrap w:val="0"/>
                  <w:vAlign w:val="center"/>
                </w:tcPr>
                <w:p w14:paraId="0DF5187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6.5</w:t>
                  </w:r>
                </w:p>
              </w:tc>
              <w:tc>
                <w:tcPr>
                  <w:tcW w:w="899" w:type="pct"/>
                  <w:shd w:val="clear" w:color="auto" w:fill="auto"/>
                  <w:noWrap w:val="0"/>
                  <w:vAlign w:val="center"/>
                </w:tcPr>
                <w:p w14:paraId="205B749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1.08</w:t>
                  </w:r>
                </w:p>
              </w:tc>
              <w:tc>
                <w:tcPr>
                  <w:tcW w:w="902" w:type="pct"/>
                  <w:shd w:val="clear" w:color="auto" w:fill="auto"/>
                  <w:noWrap w:val="0"/>
                  <w:vAlign w:val="center"/>
                </w:tcPr>
                <w:p w14:paraId="52BE23E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0.08</w:t>
                  </w:r>
                </w:p>
              </w:tc>
            </w:tr>
            <w:tr w14:paraId="0F0F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448EF79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560C1F3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NH</w:t>
                  </w:r>
                  <w:r>
                    <w:rPr>
                      <w:rFonts w:hint="default" w:ascii="Times New Roman" w:hAnsi="Times New Roman" w:cs="Times New Roman"/>
                      <w:b w:val="0"/>
                      <w:bCs w:val="0"/>
                      <w:color w:val="auto"/>
                      <w:spacing w:val="-11"/>
                      <w:sz w:val="21"/>
                      <w:szCs w:val="21"/>
                      <w:highlight w:val="none"/>
                      <w:u w:val="none" w:color="auto"/>
                      <w:vertAlign w:val="subscript"/>
                      <w:lang w:val="en-US" w:eastAsia="zh-CN"/>
                    </w:rPr>
                    <w:t>3</w:t>
                  </w:r>
                  <w:r>
                    <w:rPr>
                      <w:rFonts w:hint="default" w:ascii="Times New Roman" w:hAnsi="Times New Roman" w:cs="Times New Roman"/>
                      <w:b w:val="0"/>
                      <w:bCs w:val="0"/>
                      <w:color w:val="auto"/>
                      <w:spacing w:val="-11"/>
                      <w:sz w:val="21"/>
                      <w:szCs w:val="21"/>
                      <w:highlight w:val="none"/>
                      <w:u w:val="none" w:color="auto"/>
                      <w:lang w:val="en-US" w:eastAsia="zh-CN"/>
                    </w:rPr>
                    <w:t>-N</w:t>
                  </w:r>
                </w:p>
              </w:tc>
              <w:tc>
                <w:tcPr>
                  <w:tcW w:w="1167" w:type="pct"/>
                  <w:shd w:val="clear" w:color="auto" w:fill="auto"/>
                  <w:noWrap w:val="0"/>
                  <w:vAlign w:val="center"/>
                </w:tcPr>
                <w:p w14:paraId="6B1626E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0.49</w:t>
                  </w:r>
                </w:p>
              </w:tc>
              <w:tc>
                <w:tcPr>
                  <w:tcW w:w="899" w:type="pct"/>
                  <w:shd w:val="clear" w:color="auto" w:fill="auto"/>
                  <w:noWrap w:val="0"/>
                  <w:vAlign w:val="center"/>
                </w:tcPr>
                <w:p w14:paraId="32C919F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0.49</w:t>
                  </w:r>
                </w:p>
              </w:tc>
              <w:tc>
                <w:tcPr>
                  <w:tcW w:w="902" w:type="pct"/>
                  <w:shd w:val="clear" w:color="auto" w:fill="auto"/>
                  <w:noWrap w:val="0"/>
                  <w:vAlign w:val="center"/>
                </w:tcPr>
                <w:p w14:paraId="1832017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7A3B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73C104A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229F0DF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总磷</w:t>
                  </w:r>
                </w:p>
              </w:tc>
              <w:tc>
                <w:tcPr>
                  <w:tcW w:w="1167" w:type="pct"/>
                  <w:shd w:val="clear" w:color="auto" w:fill="auto"/>
                  <w:noWrap w:val="0"/>
                  <w:vAlign w:val="center"/>
                </w:tcPr>
                <w:p w14:paraId="1255A32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0.156</w:t>
                  </w:r>
                </w:p>
              </w:tc>
              <w:tc>
                <w:tcPr>
                  <w:tcW w:w="899" w:type="pct"/>
                  <w:shd w:val="clear" w:color="auto" w:fill="auto"/>
                  <w:noWrap w:val="0"/>
                  <w:vAlign w:val="center"/>
                </w:tcPr>
                <w:p w14:paraId="0592C58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0.78</w:t>
                  </w:r>
                </w:p>
              </w:tc>
              <w:tc>
                <w:tcPr>
                  <w:tcW w:w="902" w:type="pct"/>
                  <w:shd w:val="clear" w:color="auto" w:fill="auto"/>
                  <w:noWrap w:val="0"/>
                  <w:vAlign w:val="center"/>
                </w:tcPr>
                <w:p w14:paraId="5F64FAB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7AB3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restart"/>
                  <w:noWrap w:val="0"/>
                  <w:vAlign w:val="center"/>
                </w:tcPr>
                <w:p w14:paraId="0374694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2024年9月</w:t>
                  </w:r>
                </w:p>
              </w:tc>
              <w:tc>
                <w:tcPr>
                  <w:tcW w:w="1128" w:type="pct"/>
                  <w:shd w:val="clear" w:color="auto" w:fill="auto"/>
                  <w:noWrap w:val="0"/>
                  <w:vAlign w:val="center"/>
                </w:tcPr>
                <w:p w14:paraId="3AD2CBA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高锰酸钾指数</w:t>
                  </w:r>
                </w:p>
              </w:tc>
              <w:tc>
                <w:tcPr>
                  <w:tcW w:w="1167" w:type="pct"/>
                  <w:shd w:val="clear" w:color="auto" w:fill="auto"/>
                  <w:noWrap w:val="0"/>
                  <w:vAlign w:val="center"/>
                </w:tcPr>
                <w:p w14:paraId="430DCC9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3.7</w:t>
                  </w:r>
                </w:p>
              </w:tc>
              <w:tc>
                <w:tcPr>
                  <w:tcW w:w="899" w:type="pct"/>
                  <w:shd w:val="clear" w:color="auto" w:fill="auto"/>
                  <w:noWrap w:val="0"/>
                  <w:vAlign w:val="center"/>
                </w:tcPr>
                <w:p w14:paraId="3F2F569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0.62</w:t>
                  </w:r>
                </w:p>
              </w:tc>
              <w:tc>
                <w:tcPr>
                  <w:tcW w:w="902" w:type="pct"/>
                  <w:shd w:val="clear" w:color="auto" w:fill="auto"/>
                  <w:noWrap w:val="0"/>
                  <w:vAlign w:val="center"/>
                </w:tcPr>
                <w:p w14:paraId="5A3E286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1C5E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2A63D16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6168223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NH</w:t>
                  </w:r>
                  <w:r>
                    <w:rPr>
                      <w:rFonts w:hint="default" w:ascii="Times New Roman" w:hAnsi="Times New Roman" w:cs="Times New Roman"/>
                      <w:b w:val="0"/>
                      <w:bCs w:val="0"/>
                      <w:color w:val="auto"/>
                      <w:spacing w:val="-11"/>
                      <w:sz w:val="21"/>
                      <w:szCs w:val="21"/>
                      <w:highlight w:val="none"/>
                      <w:u w:val="none" w:color="auto"/>
                      <w:vertAlign w:val="subscript"/>
                      <w:lang w:val="en-US" w:eastAsia="zh-CN"/>
                    </w:rPr>
                    <w:t>3</w:t>
                  </w:r>
                  <w:r>
                    <w:rPr>
                      <w:rFonts w:hint="default" w:ascii="Times New Roman" w:hAnsi="Times New Roman" w:cs="Times New Roman"/>
                      <w:b w:val="0"/>
                      <w:bCs w:val="0"/>
                      <w:color w:val="auto"/>
                      <w:spacing w:val="-11"/>
                      <w:sz w:val="21"/>
                      <w:szCs w:val="21"/>
                      <w:highlight w:val="none"/>
                      <w:u w:val="none" w:color="auto"/>
                      <w:lang w:val="en-US" w:eastAsia="zh-CN"/>
                    </w:rPr>
                    <w:t>-N</w:t>
                  </w:r>
                </w:p>
              </w:tc>
              <w:tc>
                <w:tcPr>
                  <w:tcW w:w="1167" w:type="pct"/>
                  <w:shd w:val="clear" w:color="auto" w:fill="auto"/>
                  <w:noWrap w:val="0"/>
                  <w:vAlign w:val="center"/>
                </w:tcPr>
                <w:p w14:paraId="5E4D136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0.11</w:t>
                  </w:r>
                </w:p>
              </w:tc>
              <w:tc>
                <w:tcPr>
                  <w:tcW w:w="899" w:type="pct"/>
                  <w:shd w:val="clear" w:color="auto" w:fill="auto"/>
                  <w:noWrap w:val="0"/>
                  <w:vAlign w:val="center"/>
                </w:tcPr>
                <w:p w14:paraId="0904A91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0.11</w:t>
                  </w:r>
                </w:p>
              </w:tc>
              <w:tc>
                <w:tcPr>
                  <w:tcW w:w="902" w:type="pct"/>
                  <w:shd w:val="clear" w:color="auto" w:fill="auto"/>
                  <w:noWrap w:val="0"/>
                  <w:vAlign w:val="center"/>
                </w:tcPr>
                <w:p w14:paraId="3BD1963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2711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1FE6A6A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740CA56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总磷</w:t>
                  </w:r>
                </w:p>
              </w:tc>
              <w:tc>
                <w:tcPr>
                  <w:tcW w:w="1167" w:type="pct"/>
                  <w:shd w:val="clear" w:color="auto" w:fill="auto"/>
                  <w:noWrap w:val="0"/>
                  <w:vAlign w:val="center"/>
                </w:tcPr>
                <w:p w14:paraId="40B5141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0.098</w:t>
                  </w:r>
                </w:p>
              </w:tc>
              <w:tc>
                <w:tcPr>
                  <w:tcW w:w="899" w:type="pct"/>
                  <w:shd w:val="clear" w:color="auto" w:fill="auto"/>
                  <w:noWrap w:val="0"/>
                  <w:vAlign w:val="center"/>
                </w:tcPr>
                <w:p w14:paraId="7D00B0B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0.49</w:t>
                  </w:r>
                </w:p>
              </w:tc>
              <w:tc>
                <w:tcPr>
                  <w:tcW w:w="902" w:type="pct"/>
                  <w:shd w:val="clear" w:color="auto" w:fill="auto"/>
                  <w:noWrap w:val="0"/>
                  <w:vAlign w:val="center"/>
                </w:tcPr>
                <w:p w14:paraId="55057AB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4786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restart"/>
                  <w:noWrap w:val="0"/>
                  <w:vAlign w:val="center"/>
                </w:tcPr>
                <w:p w14:paraId="4AD357D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2024年10月</w:t>
                  </w:r>
                </w:p>
              </w:tc>
              <w:tc>
                <w:tcPr>
                  <w:tcW w:w="1128" w:type="pct"/>
                  <w:shd w:val="clear" w:color="auto" w:fill="auto"/>
                  <w:noWrap w:val="0"/>
                  <w:vAlign w:val="center"/>
                </w:tcPr>
                <w:p w14:paraId="1FA40ED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高锰酸钾指数</w:t>
                  </w:r>
                </w:p>
              </w:tc>
              <w:tc>
                <w:tcPr>
                  <w:tcW w:w="1167" w:type="pct"/>
                  <w:shd w:val="clear" w:color="auto" w:fill="auto"/>
                  <w:noWrap w:val="0"/>
                  <w:vAlign w:val="center"/>
                </w:tcPr>
                <w:p w14:paraId="325EEF5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4</w:t>
                  </w:r>
                </w:p>
              </w:tc>
              <w:tc>
                <w:tcPr>
                  <w:tcW w:w="899" w:type="pct"/>
                  <w:shd w:val="clear" w:color="auto" w:fill="auto"/>
                  <w:noWrap w:val="0"/>
                  <w:vAlign w:val="center"/>
                </w:tcPr>
                <w:p w14:paraId="2625B3E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0.67</w:t>
                  </w:r>
                </w:p>
              </w:tc>
              <w:tc>
                <w:tcPr>
                  <w:tcW w:w="902" w:type="pct"/>
                  <w:shd w:val="clear" w:color="auto" w:fill="auto"/>
                  <w:noWrap w:val="0"/>
                  <w:vAlign w:val="center"/>
                </w:tcPr>
                <w:p w14:paraId="66F781C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42DE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3F860F8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19905D9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NH</w:t>
                  </w:r>
                  <w:r>
                    <w:rPr>
                      <w:rFonts w:hint="default" w:ascii="Times New Roman" w:hAnsi="Times New Roman" w:cs="Times New Roman"/>
                      <w:b w:val="0"/>
                      <w:bCs w:val="0"/>
                      <w:color w:val="auto"/>
                      <w:spacing w:val="-11"/>
                      <w:sz w:val="21"/>
                      <w:szCs w:val="21"/>
                      <w:highlight w:val="none"/>
                      <w:u w:val="none" w:color="auto"/>
                      <w:vertAlign w:val="subscript"/>
                      <w:lang w:val="en-US" w:eastAsia="zh-CN"/>
                    </w:rPr>
                    <w:t>3</w:t>
                  </w:r>
                  <w:r>
                    <w:rPr>
                      <w:rFonts w:hint="default" w:ascii="Times New Roman" w:hAnsi="Times New Roman" w:cs="Times New Roman"/>
                      <w:b w:val="0"/>
                      <w:bCs w:val="0"/>
                      <w:color w:val="auto"/>
                      <w:spacing w:val="-11"/>
                      <w:sz w:val="21"/>
                      <w:szCs w:val="21"/>
                      <w:highlight w:val="none"/>
                      <w:u w:val="none" w:color="auto"/>
                      <w:lang w:val="en-US" w:eastAsia="zh-CN"/>
                    </w:rPr>
                    <w:t>-N</w:t>
                  </w:r>
                </w:p>
              </w:tc>
              <w:tc>
                <w:tcPr>
                  <w:tcW w:w="1167" w:type="pct"/>
                  <w:shd w:val="clear" w:color="auto" w:fill="auto"/>
                  <w:noWrap w:val="0"/>
                  <w:vAlign w:val="center"/>
                </w:tcPr>
                <w:p w14:paraId="20FC50C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0.15</w:t>
                  </w:r>
                </w:p>
              </w:tc>
              <w:tc>
                <w:tcPr>
                  <w:tcW w:w="899" w:type="pct"/>
                  <w:shd w:val="clear" w:color="auto" w:fill="auto"/>
                  <w:noWrap w:val="0"/>
                  <w:vAlign w:val="center"/>
                </w:tcPr>
                <w:p w14:paraId="02B52D9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0.15</w:t>
                  </w:r>
                </w:p>
              </w:tc>
              <w:tc>
                <w:tcPr>
                  <w:tcW w:w="902" w:type="pct"/>
                  <w:shd w:val="clear" w:color="auto" w:fill="auto"/>
                  <w:noWrap w:val="0"/>
                  <w:vAlign w:val="center"/>
                </w:tcPr>
                <w:p w14:paraId="5BF9819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0E3C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102286D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218A99E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总磷</w:t>
                  </w:r>
                </w:p>
              </w:tc>
              <w:tc>
                <w:tcPr>
                  <w:tcW w:w="1167" w:type="pct"/>
                  <w:shd w:val="clear" w:color="auto" w:fill="auto"/>
                  <w:noWrap w:val="0"/>
                  <w:vAlign w:val="center"/>
                </w:tcPr>
                <w:p w14:paraId="5C3A5D0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0.075</w:t>
                  </w:r>
                </w:p>
              </w:tc>
              <w:tc>
                <w:tcPr>
                  <w:tcW w:w="899" w:type="pct"/>
                  <w:shd w:val="clear" w:color="auto" w:fill="auto"/>
                  <w:noWrap w:val="0"/>
                  <w:vAlign w:val="center"/>
                </w:tcPr>
                <w:p w14:paraId="0910F33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0.375</w:t>
                  </w:r>
                </w:p>
              </w:tc>
              <w:tc>
                <w:tcPr>
                  <w:tcW w:w="902" w:type="pct"/>
                  <w:shd w:val="clear" w:color="auto" w:fill="auto"/>
                  <w:noWrap w:val="0"/>
                  <w:vAlign w:val="center"/>
                </w:tcPr>
                <w:p w14:paraId="0D917FF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47B6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restart"/>
                  <w:noWrap w:val="0"/>
                  <w:vAlign w:val="center"/>
                </w:tcPr>
                <w:p w14:paraId="456EBA7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2024年11月</w:t>
                  </w:r>
                </w:p>
              </w:tc>
              <w:tc>
                <w:tcPr>
                  <w:tcW w:w="1128" w:type="pct"/>
                  <w:shd w:val="clear" w:color="auto" w:fill="auto"/>
                  <w:noWrap w:val="0"/>
                  <w:vAlign w:val="center"/>
                </w:tcPr>
                <w:p w14:paraId="0FA85ED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高锰酸钾指数</w:t>
                  </w:r>
                </w:p>
              </w:tc>
              <w:tc>
                <w:tcPr>
                  <w:tcW w:w="1167" w:type="pct"/>
                  <w:shd w:val="clear" w:color="auto" w:fill="auto"/>
                  <w:noWrap w:val="0"/>
                  <w:vAlign w:val="center"/>
                </w:tcPr>
                <w:p w14:paraId="542AEC5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2.5</w:t>
                  </w:r>
                </w:p>
              </w:tc>
              <w:tc>
                <w:tcPr>
                  <w:tcW w:w="899" w:type="pct"/>
                  <w:shd w:val="clear" w:color="auto" w:fill="auto"/>
                  <w:noWrap w:val="0"/>
                  <w:vAlign w:val="center"/>
                </w:tcPr>
                <w:p w14:paraId="2AFF62A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0.417</w:t>
                  </w:r>
                </w:p>
              </w:tc>
              <w:tc>
                <w:tcPr>
                  <w:tcW w:w="902" w:type="pct"/>
                  <w:shd w:val="clear" w:color="auto" w:fill="auto"/>
                  <w:noWrap w:val="0"/>
                  <w:vAlign w:val="center"/>
                </w:tcPr>
                <w:p w14:paraId="771F45F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1D80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25195A1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11F5F1A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NH</w:t>
                  </w:r>
                  <w:r>
                    <w:rPr>
                      <w:rFonts w:hint="default" w:ascii="Times New Roman" w:hAnsi="Times New Roman" w:cs="Times New Roman"/>
                      <w:b w:val="0"/>
                      <w:bCs w:val="0"/>
                      <w:color w:val="auto"/>
                      <w:spacing w:val="-11"/>
                      <w:sz w:val="21"/>
                      <w:szCs w:val="21"/>
                      <w:highlight w:val="none"/>
                      <w:u w:val="none" w:color="auto"/>
                      <w:vertAlign w:val="subscript"/>
                      <w:lang w:val="en-US" w:eastAsia="zh-CN"/>
                    </w:rPr>
                    <w:t>3</w:t>
                  </w:r>
                  <w:r>
                    <w:rPr>
                      <w:rFonts w:hint="default" w:ascii="Times New Roman" w:hAnsi="Times New Roman" w:cs="Times New Roman"/>
                      <w:b w:val="0"/>
                      <w:bCs w:val="0"/>
                      <w:color w:val="auto"/>
                      <w:spacing w:val="-11"/>
                      <w:sz w:val="21"/>
                      <w:szCs w:val="21"/>
                      <w:highlight w:val="none"/>
                      <w:u w:val="none" w:color="auto"/>
                      <w:lang w:val="en-US" w:eastAsia="zh-CN"/>
                    </w:rPr>
                    <w:t>-N</w:t>
                  </w:r>
                </w:p>
              </w:tc>
              <w:tc>
                <w:tcPr>
                  <w:tcW w:w="1167" w:type="pct"/>
                  <w:shd w:val="clear" w:color="auto" w:fill="auto"/>
                  <w:noWrap w:val="0"/>
                  <w:vAlign w:val="center"/>
                </w:tcPr>
                <w:p w14:paraId="0FD15E2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0.12</w:t>
                  </w:r>
                </w:p>
              </w:tc>
              <w:tc>
                <w:tcPr>
                  <w:tcW w:w="899" w:type="pct"/>
                  <w:shd w:val="clear" w:color="auto" w:fill="auto"/>
                  <w:noWrap w:val="0"/>
                  <w:vAlign w:val="center"/>
                </w:tcPr>
                <w:p w14:paraId="4D40694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0.12</w:t>
                  </w:r>
                </w:p>
              </w:tc>
              <w:tc>
                <w:tcPr>
                  <w:tcW w:w="902" w:type="pct"/>
                  <w:shd w:val="clear" w:color="auto" w:fill="auto"/>
                  <w:noWrap w:val="0"/>
                  <w:vAlign w:val="center"/>
                </w:tcPr>
                <w:p w14:paraId="6247E89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7C28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3639F89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752537C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总磷</w:t>
                  </w:r>
                </w:p>
              </w:tc>
              <w:tc>
                <w:tcPr>
                  <w:tcW w:w="1167" w:type="pct"/>
                  <w:shd w:val="clear" w:color="auto" w:fill="auto"/>
                  <w:noWrap w:val="0"/>
                  <w:vAlign w:val="center"/>
                </w:tcPr>
                <w:p w14:paraId="033E117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0.057</w:t>
                  </w:r>
                </w:p>
              </w:tc>
              <w:tc>
                <w:tcPr>
                  <w:tcW w:w="899" w:type="pct"/>
                  <w:shd w:val="clear" w:color="auto" w:fill="auto"/>
                  <w:noWrap w:val="0"/>
                  <w:vAlign w:val="center"/>
                </w:tcPr>
                <w:p w14:paraId="666D321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0.285</w:t>
                  </w:r>
                </w:p>
              </w:tc>
              <w:tc>
                <w:tcPr>
                  <w:tcW w:w="902" w:type="pct"/>
                  <w:shd w:val="clear" w:color="auto" w:fill="auto"/>
                  <w:noWrap w:val="0"/>
                  <w:vAlign w:val="center"/>
                </w:tcPr>
                <w:p w14:paraId="12CD994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0860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restart"/>
                  <w:noWrap w:val="0"/>
                  <w:vAlign w:val="center"/>
                </w:tcPr>
                <w:p w14:paraId="6EE3FC6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cs="Times New Roman"/>
                      <w:b w:val="0"/>
                      <w:bCs w:val="0"/>
                      <w:color w:val="auto"/>
                      <w:spacing w:val="-11"/>
                      <w:sz w:val="21"/>
                      <w:szCs w:val="21"/>
                      <w:highlight w:val="none"/>
                      <w:u w:val="none" w:color="auto"/>
                      <w:lang w:val="en-US" w:eastAsia="zh-CN"/>
                    </w:rPr>
                    <w:t>2024年12月</w:t>
                  </w:r>
                </w:p>
              </w:tc>
              <w:tc>
                <w:tcPr>
                  <w:tcW w:w="1128" w:type="pct"/>
                  <w:shd w:val="clear" w:color="auto" w:fill="auto"/>
                  <w:noWrap w:val="0"/>
                  <w:vAlign w:val="center"/>
                </w:tcPr>
                <w:p w14:paraId="0379431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高锰酸钾指数</w:t>
                  </w:r>
                </w:p>
              </w:tc>
              <w:tc>
                <w:tcPr>
                  <w:tcW w:w="1167" w:type="pct"/>
                  <w:shd w:val="clear" w:color="auto" w:fill="auto"/>
                  <w:noWrap w:val="0"/>
                  <w:vAlign w:val="center"/>
                </w:tcPr>
                <w:p w14:paraId="63665D9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2.7</w:t>
                  </w:r>
                </w:p>
              </w:tc>
              <w:tc>
                <w:tcPr>
                  <w:tcW w:w="899" w:type="pct"/>
                  <w:shd w:val="clear" w:color="auto" w:fill="auto"/>
                  <w:noWrap w:val="0"/>
                  <w:vAlign w:val="center"/>
                </w:tcPr>
                <w:p w14:paraId="61CA3DD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0.45</w:t>
                  </w:r>
                </w:p>
              </w:tc>
              <w:tc>
                <w:tcPr>
                  <w:tcW w:w="902" w:type="pct"/>
                  <w:shd w:val="clear" w:color="auto" w:fill="auto"/>
                  <w:noWrap w:val="0"/>
                  <w:vAlign w:val="center"/>
                </w:tcPr>
                <w:p w14:paraId="284D9B0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6386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1AC943F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1CE7C30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NH</w:t>
                  </w:r>
                  <w:r>
                    <w:rPr>
                      <w:rFonts w:hint="default" w:ascii="Times New Roman" w:hAnsi="Times New Roman" w:cs="Times New Roman"/>
                      <w:b w:val="0"/>
                      <w:bCs w:val="0"/>
                      <w:color w:val="auto"/>
                      <w:spacing w:val="-11"/>
                      <w:sz w:val="21"/>
                      <w:szCs w:val="21"/>
                      <w:highlight w:val="none"/>
                      <w:u w:val="none" w:color="auto"/>
                      <w:vertAlign w:val="subscript"/>
                      <w:lang w:val="en-US" w:eastAsia="zh-CN"/>
                    </w:rPr>
                    <w:t>3</w:t>
                  </w:r>
                  <w:r>
                    <w:rPr>
                      <w:rFonts w:hint="default" w:ascii="Times New Roman" w:hAnsi="Times New Roman" w:cs="Times New Roman"/>
                      <w:b w:val="0"/>
                      <w:bCs w:val="0"/>
                      <w:color w:val="auto"/>
                      <w:spacing w:val="-11"/>
                      <w:sz w:val="21"/>
                      <w:szCs w:val="21"/>
                      <w:highlight w:val="none"/>
                      <w:u w:val="none" w:color="auto"/>
                      <w:lang w:val="en-US" w:eastAsia="zh-CN"/>
                    </w:rPr>
                    <w:t>-N</w:t>
                  </w:r>
                </w:p>
              </w:tc>
              <w:tc>
                <w:tcPr>
                  <w:tcW w:w="1167" w:type="pct"/>
                  <w:shd w:val="clear" w:color="auto" w:fill="auto"/>
                  <w:noWrap w:val="0"/>
                  <w:vAlign w:val="center"/>
                </w:tcPr>
                <w:p w14:paraId="5AADE38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0.26</w:t>
                  </w:r>
                </w:p>
              </w:tc>
              <w:tc>
                <w:tcPr>
                  <w:tcW w:w="899" w:type="pct"/>
                  <w:shd w:val="clear" w:color="auto" w:fill="auto"/>
                  <w:noWrap w:val="0"/>
                  <w:vAlign w:val="center"/>
                </w:tcPr>
                <w:p w14:paraId="1778E87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0.26</w:t>
                  </w:r>
                </w:p>
              </w:tc>
              <w:tc>
                <w:tcPr>
                  <w:tcW w:w="902" w:type="pct"/>
                  <w:shd w:val="clear" w:color="auto" w:fill="auto"/>
                  <w:noWrap w:val="0"/>
                  <w:vAlign w:val="center"/>
                </w:tcPr>
                <w:p w14:paraId="7B2CCAF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r w14:paraId="669A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vMerge w:val="continue"/>
                  <w:noWrap w:val="0"/>
                  <w:vAlign w:val="center"/>
                </w:tcPr>
                <w:p w14:paraId="0703137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128" w:type="pct"/>
                  <w:shd w:val="clear" w:color="auto" w:fill="auto"/>
                  <w:noWrap w:val="0"/>
                  <w:vAlign w:val="center"/>
                </w:tcPr>
                <w:p w14:paraId="3D84A35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cs="Times New Roman"/>
                      <w:b w:val="0"/>
                      <w:bCs w:val="0"/>
                      <w:color w:val="auto"/>
                      <w:spacing w:val="-11"/>
                      <w:sz w:val="21"/>
                      <w:szCs w:val="21"/>
                      <w:highlight w:val="none"/>
                      <w:u w:val="none" w:color="auto"/>
                      <w:lang w:val="en-US" w:eastAsia="zh-CN"/>
                    </w:rPr>
                    <w:t>总磷</w:t>
                  </w:r>
                </w:p>
              </w:tc>
              <w:tc>
                <w:tcPr>
                  <w:tcW w:w="1167" w:type="pct"/>
                  <w:shd w:val="clear" w:color="auto" w:fill="auto"/>
                  <w:noWrap w:val="0"/>
                  <w:vAlign w:val="center"/>
                </w:tcPr>
                <w:p w14:paraId="61950CA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0.07</w:t>
                  </w:r>
                </w:p>
              </w:tc>
              <w:tc>
                <w:tcPr>
                  <w:tcW w:w="899" w:type="pct"/>
                  <w:shd w:val="clear" w:color="auto" w:fill="auto"/>
                  <w:noWrap w:val="0"/>
                  <w:vAlign w:val="center"/>
                </w:tcPr>
                <w:p w14:paraId="012AF3A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0.35</w:t>
                  </w:r>
                </w:p>
              </w:tc>
              <w:tc>
                <w:tcPr>
                  <w:tcW w:w="902" w:type="pct"/>
                  <w:shd w:val="clear" w:color="auto" w:fill="auto"/>
                  <w:noWrap w:val="0"/>
                  <w:vAlign w:val="center"/>
                </w:tcPr>
                <w:p w14:paraId="5F993E7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0</w:t>
                  </w:r>
                </w:p>
              </w:tc>
            </w:tr>
          </w:tbl>
          <w:p w14:paraId="689227D5">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52" w:firstLineChars="200"/>
              <w:jc w:val="both"/>
              <w:textAlignment w:val="baseline"/>
              <w:rPr>
                <w:rFonts w:hint="default" w:ascii="Times New Roman" w:hAnsi="Times New Roman" w:cs="Times New Roman"/>
                <w:bCs/>
                <w:color w:val="auto"/>
                <w:spacing w:val="-7"/>
                <w:sz w:val="24"/>
                <w:highlight w:val="none"/>
              </w:rPr>
            </w:pPr>
            <w:r>
              <w:rPr>
                <w:rFonts w:hint="default" w:ascii="Times New Roman" w:hAnsi="Times New Roman" w:cs="Times New Roman"/>
                <w:bCs/>
                <w:color w:val="auto"/>
                <w:spacing w:val="-7"/>
                <w:sz w:val="24"/>
                <w:highlight w:val="none"/>
              </w:rPr>
              <w:t>由上表可知，2024年马颊河南乐县水文站断面2月、7月、8月高锰酸盐指数超标，其他季度监测因子均满足《地表水环境质量标准》（GB3838-2002）Ⅲ类标准。</w:t>
            </w:r>
          </w:p>
          <w:p w14:paraId="46EEB0CA">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表3-5   地表水监测断面一览表</w:t>
            </w:r>
          </w:p>
          <w:tbl>
            <w:tblPr>
              <w:tblStyle w:val="29"/>
              <w:tblW w:w="7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035"/>
              <w:gridCol w:w="1770"/>
              <w:gridCol w:w="4220"/>
            </w:tblGrid>
            <w:tr w14:paraId="1330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14:paraId="73B7A05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序号</w:t>
                  </w:r>
                </w:p>
              </w:tc>
              <w:tc>
                <w:tcPr>
                  <w:tcW w:w="1035" w:type="dxa"/>
                  <w:vAlign w:val="center"/>
                </w:tcPr>
                <w:p w14:paraId="3D097E4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水体名称</w:t>
                  </w:r>
                </w:p>
              </w:tc>
              <w:tc>
                <w:tcPr>
                  <w:tcW w:w="1770" w:type="dxa"/>
                  <w:vAlign w:val="center"/>
                </w:tcPr>
                <w:p w14:paraId="472A907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断面位置</w:t>
                  </w:r>
                </w:p>
              </w:tc>
              <w:tc>
                <w:tcPr>
                  <w:tcW w:w="4220" w:type="dxa"/>
                  <w:vAlign w:val="center"/>
                </w:tcPr>
                <w:p w14:paraId="13B06D8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监测因子</w:t>
                  </w:r>
                </w:p>
              </w:tc>
            </w:tr>
            <w:tr w14:paraId="4EC6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shd w:val="clear" w:color="auto" w:fill="auto"/>
                  <w:vAlign w:val="center"/>
                </w:tcPr>
                <w:p w14:paraId="6F54CA4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W1</w:t>
                  </w:r>
                </w:p>
              </w:tc>
              <w:tc>
                <w:tcPr>
                  <w:tcW w:w="1035" w:type="dxa"/>
                  <w:vMerge w:val="restart"/>
                  <w:vAlign w:val="center"/>
                </w:tcPr>
                <w:p w14:paraId="039CDC3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潴泷河</w:t>
                  </w:r>
                </w:p>
              </w:tc>
              <w:tc>
                <w:tcPr>
                  <w:tcW w:w="1770" w:type="dxa"/>
                  <w:shd w:val="clear" w:color="auto" w:fill="auto"/>
                  <w:vAlign w:val="top"/>
                </w:tcPr>
                <w:p w14:paraId="4E16891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排污口上游500m</w:t>
                  </w:r>
                </w:p>
              </w:tc>
              <w:tc>
                <w:tcPr>
                  <w:tcW w:w="4220" w:type="dxa"/>
                  <w:vMerge w:val="restart"/>
                  <w:vAlign w:val="center"/>
                </w:tcPr>
                <w:p w14:paraId="68AC5B7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pH、COD、BOD</w:t>
                  </w:r>
                  <w:r>
                    <w:rPr>
                      <w:rFonts w:hint="default" w:ascii="Times New Roman" w:hAnsi="Times New Roman" w:eastAsia="宋体" w:cs="Times New Roman"/>
                      <w:b w:val="0"/>
                      <w:bCs w:val="0"/>
                      <w:color w:val="auto"/>
                      <w:spacing w:val="-11"/>
                      <w:sz w:val="21"/>
                      <w:szCs w:val="21"/>
                      <w:highlight w:val="none"/>
                      <w:u w:val="none" w:color="auto"/>
                      <w:vertAlign w:val="subscript"/>
                      <w:lang w:val="en-US" w:eastAsia="zh-CN"/>
                    </w:rPr>
                    <w:t>5</w:t>
                  </w:r>
                  <w:r>
                    <w:rPr>
                      <w:rFonts w:hint="default" w:ascii="Times New Roman" w:hAnsi="Times New Roman" w:eastAsia="宋体" w:cs="Times New Roman"/>
                      <w:b w:val="0"/>
                      <w:bCs w:val="0"/>
                      <w:color w:val="auto"/>
                      <w:spacing w:val="-11"/>
                      <w:sz w:val="21"/>
                      <w:szCs w:val="21"/>
                      <w:highlight w:val="none"/>
                      <w:u w:val="none" w:color="auto"/>
                      <w:lang w:val="en-US" w:eastAsia="zh-CN"/>
                    </w:rPr>
                    <w:t>、SS、NH</w:t>
                  </w:r>
                  <w:r>
                    <w:rPr>
                      <w:rFonts w:hint="default" w:ascii="Times New Roman" w:hAnsi="Times New Roman" w:eastAsia="宋体" w:cs="Times New Roman"/>
                      <w:b w:val="0"/>
                      <w:bCs w:val="0"/>
                      <w:color w:val="auto"/>
                      <w:spacing w:val="-11"/>
                      <w:sz w:val="21"/>
                      <w:szCs w:val="21"/>
                      <w:highlight w:val="none"/>
                      <w:u w:val="none" w:color="auto"/>
                      <w:vertAlign w:val="subscript"/>
                      <w:lang w:val="en-US" w:eastAsia="zh-CN"/>
                    </w:rPr>
                    <w:t>3</w:t>
                  </w:r>
                  <w:r>
                    <w:rPr>
                      <w:rFonts w:hint="default" w:ascii="Times New Roman" w:hAnsi="Times New Roman" w:eastAsia="宋体" w:cs="Times New Roman"/>
                      <w:b w:val="0"/>
                      <w:bCs w:val="0"/>
                      <w:color w:val="auto"/>
                      <w:spacing w:val="-11"/>
                      <w:sz w:val="21"/>
                      <w:szCs w:val="21"/>
                      <w:highlight w:val="none"/>
                      <w:u w:val="none" w:color="auto"/>
                      <w:lang w:val="en-US" w:eastAsia="zh-CN"/>
                    </w:rPr>
                    <w:t>-N、TP、TN、挥发酚、氟化物、硫化物、氰化物、六价铬、阴离子表面活性剂、石油类</w:t>
                  </w:r>
                </w:p>
              </w:tc>
            </w:tr>
            <w:tr w14:paraId="73F0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shd w:val="clear" w:color="auto" w:fill="auto"/>
                  <w:vAlign w:val="center"/>
                </w:tcPr>
                <w:p w14:paraId="445DD1F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W2</w:t>
                  </w:r>
                </w:p>
              </w:tc>
              <w:tc>
                <w:tcPr>
                  <w:tcW w:w="1035" w:type="dxa"/>
                  <w:vMerge w:val="continue"/>
                  <w:vAlign w:val="center"/>
                </w:tcPr>
                <w:p w14:paraId="38EFE5C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770" w:type="dxa"/>
                  <w:shd w:val="clear" w:color="auto" w:fill="auto"/>
                  <w:vAlign w:val="top"/>
                </w:tcPr>
                <w:p w14:paraId="10A7979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排污口</w:t>
                  </w:r>
                </w:p>
              </w:tc>
              <w:tc>
                <w:tcPr>
                  <w:tcW w:w="4220" w:type="dxa"/>
                  <w:vMerge w:val="continue"/>
                  <w:vAlign w:val="center"/>
                </w:tcPr>
                <w:p w14:paraId="7C4554D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r>
            <w:tr w14:paraId="7B27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shd w:val="clear" w:color="auto" w:fill="auto"/>
                  <w:vAlign w:val="center"/>
                </w:tcPr>
                <w:p w14:paraId="4B8EBDF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W3</w:t>
                  </w:r>
                </w:p>
              </w:tc>
              <w:tc>
                <w:tcPr>
                  <w:tcW w:w="1035" w:type="dxa"/>
                  <w:vMerge w:val="continue"/>
                  <w:vAlign w:val="center"/>
                </w:tcPr>
                <w:p w14:paraId="34320AD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770" w:type="dxa"/>
                  <w:shd w:val="clear" w:color="auto" w:fill="auto"/>
                  <w:vAlign w:val="top"/>
                </w:tcPr>
                <w:p w14:paraId="0F6E946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排污口下游1500m</w:t>
                  </w:r>
                </w:p>
              </w:tc>
              <w:tc>
                <w:tcPr>
                  <w:tcW w:w="4220" w:type="dxa"/>
                  <w:vMerge w:val="continue"/>
                  <w:vAlign w:val="center"/>
                </w:tcPr>
                <w:p w14:paraId="1E3E111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r>
          </w:tbl>
          <w:p w14:paraId="042EA023">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表3-6   地表水环境现状监测结果一览表</w:t>
            </w:r>
          </w:p>
          <w:tbl>
            <w:tblPr>
              <w:tblStyle w:val="2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2234"/>
              <w:gridCol w:w="966"/>
              <w:gridCol w:w="742"/>
              <w:gridCol w:w="853"/>
              <w:gridCol w:w="813"/>
              <w:gridCol w:w="730"/>
              <w:gridCol w:w="680"/>
            </w:tblGrid>
            <w:tr w14:paraId="7157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noWrap w:val="0"/>
                  <w:vAlign w:val="center"/>
                </w:tcPr>
                <w:p w14:paraId="1EE6B9A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断面名称</w:t>
                  </w:r>
                </w:p>
              </w:tc>
              <w:tc>
                <w:tcPr>
                  <w:tcW w:w="1445" w:type="pct"/>
                  <w:noWrap w:val="0"/>
                  <w:vAlign w:val="center"/>
                </w:tcPr>
                <w:p w14:paraId="66E6CEE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检测项目</w:t>
                  </w:r>
                </w:p>
              </w:tc>
              <w:tc>
                <w:tcPr>
                  <w:tcW w:w="628" w:type="pct"/>
                  <w:noWrap w:val="0"/>
                  <w:vAlign w:val="center"/>
                </w:tcPr>
                <w:p w14:paraId="4EF2CE1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监测值范围</w:t>
                  </w:r>
                </w:p>
              </w:tc>
              <w:tc>
                <w:tcPr>
                  <w:tcW w:w="485" w:type="pct"/>
                  <w:noWrap w:val="0"/>
                  <w:vAlign w:val="center"/>
                </w:tcPr>
                <w:p w14:paraId="56DD895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均值</w:t>
                  </w:r>
                </w:p>
              </w:tc>
              <w:tc>
                <w:tcPr>
                  <w:tcW w:w="556" w:type="pct"/>
                  <w:noWrap w:val="0"/>
                  <w:vAlign w:val="center"/>
                </w:tcPr>
                <w:p w14:paraId="2180576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均值标准指数</w:t>
                  </w:r>
                </w:p>
              </w:tc>
              <w:tc>
                <w:tcPr>
                  <w:tcW w:w="530" w:type="pct"/>
                  <w:noWrap w:val="0"/>
                  <w:vAlign w:val="center"/>
                </w:tcPr>
                <w:p w14:paraId="5AA6788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最大标准指数</w:t>
                  </w:r>
                </w:p>
              </w:tc>
              <w:tc>
                <w:tcPr>
                  <w:tcW w:w="477" w:type="pct"/>
                  <w:noWrap w:val="0"/>
                  <w:vAlign w:val="center"/>
                </w:tcPr>
                <w:p w14:paraId="162920A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评价标准</w:t>
                  </w:r>
                </w:p>
              </w:tc>
              <w:tc>
                <w:tcPr>
                  <w:tcW w:w="445" w:type="pct"/>
                  <w:noWrap w:val="0"/>
                  <w:vAlign w:val="center"/>
                </w:tcPr>
                <w:p w14:paraId="5CBAE5B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达标情况</w:t>
                  </w:r>
                </w:p>
              </w:tc>
            </w:tr>
            <w:tr w14:paraId="6ECC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restart"/>
                  <w:noWrap w:val="0"/>
                  <w:vAlign w:val="center"/>
                </w:tcPr>
                <w:p w14:paraId="5FE1920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W1潴泷河排污口上游500m</w:t>
                  </w:r>
                </w:p>
              </w:tc>
              <w:tc>
                <w:tcPr>
                  <w:tcW w:w="1445" w:type="pct"/>
                  <w:noWrap w:val="0"/>
                  <w:vAlign w:val="center"/>
                </w:tcPr>
                <w:p w14:paraId="496F7BA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pH/无量纲</w:t>
                  </w:r>
                </w:p>
              </w:tc>
              <w:tc>
                <w:tcPr>
                  <w:tcW w:w="628" w:type="pct"/>
                  <w:noWrap w:val="0"/>
                  <w:vAlign w:val="center"/>
                </w:tcPr>
                <w:p w14:paraId="6CB4A5D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8</w:t>
                  </w:r>
                </w:p>
              </w:tc>
              <w:tc>
                <w:tcPr>
                  <w:tcW w:w="485" w:type="pct"/>
                  <w:noWrap w:val="0"/>
                  <w:vAlign w:val="center"/>
                </w:tcPr>
                <w:p w14:paraId="1DBB328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8.0</w:t>
                  </w:r>
                </w:p>
              </w:tc>
              <w:tc>
                <w:tcPr>
                  <w:tcW w:w="556" w:type="pct"/>
                  <w:noWrap w:val="0"/>
                  <w:vAlign w:val="center"/>
                </w:tcPr>
                <w:p w14:paraId="4CBABB9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0.5</w:t>
                  </w:r>
                </w:p>
              </w:tc>
              <w:tc>
                <w:tcPr>
                  <w:tcW w:w="530" w:type="pct"/>
                  <w:noWrap w:val="0"/>
                  <w:vAlign w:val="center"/>
                </w:tcPr>
                <w:p w14:paraId="363FA29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0.5</w:t>
                  </w:r>
                </w:p>
              </w:tc>
              <w:tc>
                <w:tcPr>
                  <w:tcW w:w="477" w:type="pct"/>
                  <w:noWrap w:val="0"/>
                  <w:vAlign w:val="center"/>
                </w:tcPr>
                <w:p w14:paraId="37237E7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6-9</w:t>
                  </w:r>
                </w:p>
              </w:tc>
              <w:tc>
                <w:tcPr>
                  <w:tcW w:w="445" w:type="pct"/>
                  <w:noWrap w:val="0"/>
                  <w:vAlign w:val="center"/>
                </w:tcPr>
                <w:p w14:paraId="787A19F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2434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1EC0BC9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noWrap w:val="0"/>
                  <w:vAlign w:val="center"/>
                </w:tcPr>
                <w:p w14:paraId="015D48B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化学需氧量/mg/L</w:t>
                  </w:r>
                </w:p>
              </w:tc>
              <w:tc>
                <w:tcPr>
                  <w:tcW w:w="628" w:type="pct"/>
                  <w:noWrap w:val="0"/>
                  <w:vAlign w:val="center"/>
                </w:tcPr>
                <w:p w14:paraId="58D4328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17~26</w:t>
                  </w:r>
                </w:p>
              </w:tc>
              <w:tc>
                <w:tcPr>
                  <w:tcW w:w="485" w:type="pct"/>
                  <w:noWrap w:val="0"/>
                  <w:vAlign w:val="center"/>
                </w:tcPr>
                <w:p w14:paraId="21E4CE5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20.7</w:t>
                  </w:r>
                </w:p>
              </w:tc>
              <w:tc>
                <w:tcPr>
                  <w:tcW w:w="556" w:type="pct"/>
                  <w:noWrap w:val="0"/>
                  <w:vAlign w:val="center"/>
                </w:tcPr>
                <w:p w14:paraId="51EC4B7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0.69</w:t>
                  </w:r>
                </w:p>
              </w:tc>
              <w:tc>
                <w:tcPr>
                  <w:tcW w:w="530" w:type="pct"/>
                  <w:noWrap w:val="0"/>
                  <w:vAlign w:val="center"/>
                </w:tcPr>
                <w:p w14:paraId="789B33D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0.86</w:t>
                  </w:r>
                </w:p>
              </w:tc>
              <w:tc>
                <w:tcPr>
                  <w:tcW w:w="477" w:type="pct"/>
                  <w:noWrap w:val="0"/>
                  <w:vAlign w:val="center"/>
                </w:tcPr>
                <w:p w14:paraId="621B805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30</w:t>
                  </w:r>
                </w:p>
              </w:tc>
              <w:tc>
                <w:tcPr>
                  <w:tcW w:w="445" w:type="pct"/>
                  <w:noWrap w:val="0"/>
                  <w:vAlign w:val="center"/>
                </w:tcPr>
                <w:p w14:paraId="3E09549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6F7E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562831B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noWrap w:val="0"/>
                  <w:vAlign w:val="center"/>
                </w:tcPr>
                <w:p w14:paraId="6712E24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五日生化需氧量/mg/L</w:t>
                  </w:r>
                </w:p>
              </w:tc>
              <w:tc>
                <w:tcPr>
                  <w:tcW w:w="628" w:type="pct"/>
                  <w:noWrap w:val="0"/>
                  <w:vAlign w:val="center"/>
                </w:tcPr>
                <w:p w14:paraId="6341A4F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5.9~9.4</w:t>
                  </w:r>
                </w:p>
              </w:tc>
              <w:tc>
                <w:tcPr>
                  <w:tcW w:w="485" w:type="pct"/>
                  <w:noWrap w:val="0"/>
                  <w:vAlign w:val="center"/>
                </w:tcPr>
                <w:p w14:paraId="6A53C2D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7.6</w:t>
                  </w:r>
                </w:p>
              </w:tc>
              <w:tc>
                <w:tcPr>
                  <w:tcW w:w="556" w:type="pct"/>
                  <w:noWrap w:val="0"/>
                  <w:vAlign w:val="center"/>
                </w:tcPr>
                <w:p w14:paraId="21300C6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1.27</w:t>
                  </w:r>
                </w:p>
              </w:tc>
              <w:tc>
                <w:tcPr>
                  <w:tcW w:w="530" w:type="pct"/>
                  <w:noWrap w:val="0"/>
                  <w:vAlign w:val="center"/>
                </w:tcPr>
                <w:p w14:paraId="0B86E06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1.57</w:t>
                  </w:r>
                </w:p>
              </w:tc>
              <w:tc>
                <w:tcPr>
                  <w:tcW w:w="477" w:type="pct"/>
                  <w:noWrap w:val="0"/>
                  <w:vAlign w:val="center"/>
                </w:tcPr>
                <w:p w14:paraId="2964157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6</w:t>
                  </w:r>
                </w:p>
              </w:tc>
              <w:tc>
                <w:tcPr>
                  <w:tcW w:w="445" w:type="pct"/>
                  <w:noWrap w:val="0"/>
                  <w:vAlign w:val="center"/>
                </w:tcPr>
                <w:p w14:paraId="3270B89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超标</w:t>
                  </w:r>
                </w:p>
              </w:tc>
            </w:tr>
            <w:tr w14:paraId="7577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3B3F3AF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noWrap w:val="0"/>
                  <w:vAlign w:val="center"/>
                </w:tcPr>
                <w:p w14:paraId="73F65CD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悬浮物/mg/L</w:t>
                  </w:r>
                </w:p>
              </w:tc>
              <w:tc>
                <w:tcPr>
                  <w:tcW w:w="628" w:type="pct"/>
                  <w:noWrap w:val="0"/>
                  <w:vAlign w:val="center"/>
                </w:tcPr>
                <w:p w14:paraId="33B73AC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78~101</w:t>
                  </w:r>
                </w:p>
              </w:tc>
              <w:tc>
                <w:tcPr>
                  <w:tcW w:w="485" w:type="pct"/>
                  <w:noWrap w:val="0"/>
                  <w:vAlign w:val="center"/>
                </w:tcPr>
                <w:p w14:paraId="6373EBE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87.0</w:t>
                  </w:r>
                </w:p>
              </w:tc>
              <w:tc>
                <w:tcPr>
                  <w:tcW w:w="556" w:type="pct"/>
                  <w:noWrap w:val="0"/>
                  <w:vAlign w:val="center"/>
                </w:tcPr>
                <w:p w14:paraId="3900C92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1.45</w:t>
                  </w:r>
                </w:p>
              </w:tc>
              <w:tc>
                <w:tcPr>
                  <w:tcW w:w="530" w:type="pct"/>
                  <w:noWrap w:val="0"/>
                  <w:vAlign w:val="center"/>
                </w:tcPr>
                <w:p w14:paraId="4C1FD38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1.68</w:t>
                  </w:r>
                </w:p>
              </w:tc>
              <w:tc>
                <w:tcPr>
                  <w:tcW w:w="477" w:type="pct"/>
                  <w:noWrap w:val="0"/>
                  <w:vAlign w:val="center"/>
                </w:tcPr>
                <w:p w14:paraId="53D8373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60</w:t>
                  </w:r>
                </w:p>
              </w:tc>
              <w:tc>
                <w:tcPr>
                  <w:tcW w:w="445" w:type="pct"/>
                  <w:noWrap w:val="0"/>
                  <w:vAlign w:val="center"/>
                </w:tcPr>
                <w:p w14:paraId="54A8CB5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超标</w:t>
                  </w:r>
                </w:p>
              </w:tc>
            </w:tr>
            <w:tr w14:paraId="7A15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2759B8B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noWrap w:val="0"/>
                  <w:vAlign w:val="center"/>
                </w:tcPr>
                <w:p w14:paraId="303F24F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氨氮/mg/L</w:t>
                  </w:r>
                </w:p>
              </w:tc>
              <w:tc>
                <w:tcPr>
                  <w:tcW w:w="628" w:type="pct"/>
                  <w:noWrap w:val="0"/>
                  <w:vAlign w:val="center"/>
                </w:tcPr>
                <w:p w14:paraId="5379A0B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0.75~1.39</w:t>
                  </w:r>
                </w:p>
              </w:tc>
              <w:tc>
                <w:tcPr>
                  <w:tcW w:w="485" w:type="pct"/>
                  <w:noWrap w:val="0"/>
                  <w:vAlign w:val="center"/>
                </w:tcPr>
                <w:p w14:paraId="5234009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1.0</w:t>
                  </w:r>
                </w:p>
              </w:tc>
              <w:tc>
                <w:tcPr>
                  <w:tcW w:w="556" w:type="pct"/>
                  <w:noWrap w:val="0"/>
                  <w:vAlign w:val="center"/>
                </w:tcPr>
                <w:p w14:paraId="77AB960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0.67</w:t>
                  </w:r>
                </w:p>
              </w:tc>
              <w:tc>
                <w:tcPr>
                  <w:tcW w:w="530" w:type="pct"/>
                  <w:noWrap w:val="0"/>
                  <w:vAlign w:val="center"/>
                </w:tcPr>
                <w:p w14:paraId="1BC7DF5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0.93</w:t>
                  </w:r>
                </w:p>
              </w:tc>
              <w:tc>
                <w:tcPr>
                  <w:tcW w:w="477" w:type="pct"/>
                  <w:noWrap w:val="0"/>
                  <w:vAlign w:val="center"/>
                </w:tcPr>
                <w:p w14:paraId="7261EDB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1.5</w:t>
                  </w:r>
                </w:p>
              </w:tc>
              <w:tc>
                <w:tcPr>
                  <w:tcW w:w="445" w:type="pct"/>
                  <w:noWrap w:val="0"/>
                  <w:vAlign w:val="center"/>
                </w:tcPr>
                <w:p w14:paraId="3C900E5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56BA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62FCF5E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noWrap w:val="0"/>
                  <w:vAlign w:val="center"/>
                </w:tcPr>
                <w:p w14:paraId="11489EB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总磷/mg/L</w:t>
                  </w:r>
                </w:p>
              </w:tc>
              <w:tc>
                <w:tcPr>
                  <w:tcW w:w="628" w:type="pct"/>
                  <w:noWrap w:val="0"/>
                  <w:vAlign w:val="center"/>
                </w:tcPr>
                <w:p w14:paraId="0BCD10F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0.26~0.36</w:t>
                  </w:r>
                </w:p>
              </w:tc>
              <w:tc>
                <w:tcPr>
                  <w:tcW w:w="485" w:type="pct"/>
                  <w:noWrap w:val="0"/>
                  <w:vAlign w:val="center"/>
                </w:tcPr>
                <w:p w14:paraId="5973667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0.3</w:t>
                  </w:r>
                </w:p>
              </w:tc>
              <w:tc>
                <w:tcPr>
                  <w:tcW w:w="556" w:type="pct"/>
                  <w:noWrap w:val="0"/>
                  <w:vAlign w:val="center"/>
                </w:tcPr>
                <w:p w14:paraId="7A7E21D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w:t>
                  </w:r>
                </w:p>
              </w:tc>
              <w:tc>
                <w:tcPr>
                  <w:tcW w:w="530" w:type="pct"/>
                  <w:noWrap w:val="0"/>
                  <w:vAlign w:val="center"/>
                </w:tcPr>
                <w:p w14:paraId="083981A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1.2</w:t>
                  </w:r>
                </w:p>
              </w:tc>
              <w:tc>
                <w:tcPr>
                  <w:tcW w:w="477" w:type="pct"/>
                  <w:noWrap w:val="0"/>
                  <w:vAlign w:val="center"/>
                </w:tcPr>
                <w:p w14:paraId="40E016D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0.3</w:t>
                  </w:r>
                </w:p>
              </w:tc>
              <w:tc>
                <w:tcPr>
                  <w:tcW w:w="445" w:type="pct"/>
                  <w:noWrap w:val="0"/>
                  <w:vAlign w:val="center"/>
                </w:tcPr>
                <w:p w14:paraId="5D0DA2D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超标</w:t>
                  </w:r>
                </w:p>
              </w:tc>
            </w:tr>
            <w:tr w14:paraId="1C08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4C8F313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noWrap w:val="0"/>
                  <w:vAlign w:val="center"/>
                </w:tcPr>
                <w:p w14:paraId="7E8F1E3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总氮/mg/L</w:t>
                  </w:r>
                </w:p>
              </w:tc>
              <w:tc>
                <w:tcPr>
                  <w:tcW w:w="628" w:type="pct"/>
                  <w:noWrap w:val="0"/>
                  <w:vAlign w:val="center"/>
                </w:tcPr>
                <w:p w14:paraId="3907023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4.56~4.83</w:t>
                  </w:r>
                </w:p>
              </w:tc>
              <w:tc>
                <w:tcPr>
                  <w:tcW w:w="485" w:type="pct"/>
                  <w:noWrap w:val="0"/>
                  <w:vAlign w:val="center"/>
                </w:tcPr>
                <w:p w14:paraId="4088650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4.7</w:t>
                  </w:r>
                </w:p>
              </w:tc>
              <w:tc>
                <w:tcPr>
                  <w:tcW w:w="556" w:type="pct"/>
                  <w:noWrap w:val="0"/>
                  <w:vAlign w:val="center"/>
                </w:tcPr>
                <w:p w14:paraId="47EEF8B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3.1</w:t>
                  </w:r>
                </w:p>
              </w:tc>
              <w:tc>
                <w:tcPr>
                  <w:tcW w:w="530" w:type="pct"/>
                  <w:noWrap w:val="0"/>
                  <w:vAlign w:val="center"/>
                </w:tcPr>
                <w:p w14:paraId="5738859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3.22</w:t>
                  </w:r>
                </w:p>
              </w:tc>
              <w:tc>
                <w:tcPr>
                  <w:tcW w:w="477" w:type="pct"/>
                  <w:noWrap w:val="0"/>
                  <w:vAlign w:val="center"/>
                </w:tcPr>
                <w:p w14:paraId="1F57A02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1.5</w:t>
                  </w:r>
                </w:p>
              </w:tc>
              <w:tc>
                <w:tcPr>
                  <w:tcW w:w="445" w:type="pct"/>
                  <w:noWrap w:val="0"/>
                  <w:vAlign w:val="center"/>
                </w:tcPr>
                <w:p w14:paraId="7169CBA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超标</w:t>
                  </w:r>
                </w:p>
              </w:tc>
            </w:tr>
            <w:tr w14:paraId="610B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355CA41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noWrap w:val="0"/>
                  <w:vAlign w:val="center"/>
                </w:tcPr>
                <w:p w14:paraId="72F3083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挥发酚/mg/L</w:t>
                  </w:r>
                </w:p>
              </w:tc>
              <w:tc>
                <w:tcPr>
                  <w:tcW w:w="628" w:type="pct"/>
                  <w:noWrap w:val="0"/>
                  <w:vAlign w:val="center"/>
                </w:tcPr>
                <w:p w14:paraId="702656D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6B31637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461BDFC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594EDB3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40FB640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0.01</w:t>
                  </w:r>
                </w:p>
              </w:tc>
              <w:tc>
                <w:tcPr>
                  <w:tcW w:w="445" w:type="pct"/>
                  <w:noWrap w:val="0"/>
                  <w:vAlign w:val="center"/>
                </w:tcPr>
                <w:p w14:paraId="2989D23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0FF9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0C7D00A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noWrap w:val="0"/>
                  <w:vAlign w:val="center"/>
                </w:tcPr>
                <w:p w14:paraId="501218F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氟化物/mg/L</w:t>
                  </w:r>
                </w:p>
              </w:tc>
              <w:tc>
                <w:tcPr>
                  <w:tcW w:w="628" w:type="pct"/>
                  <w:noWrap w:val="0"/>
                  <w:vAlign w:val="center"/>
                </w:tcPr>
                <w:p w14:paraId="7ABA0C2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1~1.02</w:t>
                  </w:r>
                </w:p>
              </w:tc>
              <w:tc>
                <w:tcPr>
                  <w:tcW w:w="485" w:type="pct"/>
                  <w:noWrap w:val="0"/>
                  <w:vAlign w:val="center"/>
                </w:tcPr>
                <w:p w14:paraId="7DDD5B2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1.0</w:t>
                  </w:r>
                </w:p>
              </w:tc>
              <w:tc>
                <w:tcPr>
                  <w:tcW w:w="556" w:type="pct"/>
                  <w:noWrap w:val="0"/>
                  <w:vAlign w:val="center"/>
                </w:tcPr>
                <w:p w14:paraId="7CC388C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0.67</w:t>
                  </w:r>
                </w:p>
              </w:tc>
              <w:tc>
                <w:tcPr>
                  <w:tcW w:w="530" w:type="pct"/>
                  <w:noWrap w:val="0"/>
                  <w:vAlign w:val="center"/>
                </w:tcPr>
                <w:p w14:paraId="5DCF7D1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0.68</w:t>
                  </w:r>
                </w:p>
              </w:tc>
              <w:tc>
                <w:tcPr>
                  <w:tcW w:w="477" w:type="pct"/>
                  <w:noWrap w:val="0"/>
                  <w:vAlign w:val="center"/>
                </w:tcPr>
                <w:p w14:paraId="104490F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1.5</w:t>
                  </w:r>
                </w:p>
              </w:tc>
              <w:tc>
                <w:tcPr>
                  <w:tcW w:w="445" w:type="pct"/>
                  <w:noWrap w:val="0"/>
                  <w:vAlign w:val="center"/>
                </w:tcPr>
                <w:p w14:paraId="3B30016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565F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1D0AE18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noWrap w:val="0"/>
                  <w:vAlign w:val="center"/>
                </w:tcPr>
                <w:p w14:paraId="47236B4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氰化物/mg/L</w:t>
                  </w:r>
                </w:p>
              </w:tc>
              <w:tc>
                <w:tcPr>
                  <w:tcW w:w="628" w:type="pct"/>
                  <w:noWrap w:val="0"/>
                  <w:vAlign w:val="center"/>
                </w:tcPr>
                <w:p w14:paraId="72693D2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2962567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438EB8E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46A0135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2ACD4FF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0.2</w:t>
                  </w:r>
                </w:p>
              </w:tc>
              <w:tc>
                <w:tcPr>
                  <w:tcW w:w="445" w:type="pct"/>
                  <w:noWrap w:val="0"/>
                  <w:vAlign w:val="center"/>
                </w:tcPr>
                <w:p w14:paraId="6AF0EB3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137F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4B9F08F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noWrap w:val="0"/>
                  <w:vAlign w:val="center"/>
                </w:tcPr>
                <w:p w14:paraId="368CC8C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硫化物/mg/L</w:t>
                  </w:r>
                </w:p>
              </w:tc>
              <w:tc>
                <w:tcPr>
                  <w:tcW w:w="628" w:type="pct"/>
                  <w:noWrap w:val="0"/>
                  <w:vAlign w:val="center"/>
                </w:tcPr>
                <w:p w14:paraId="33783DE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09F756B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1D844F5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4B43732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6E8C9D9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0.5</w:t>
                  </w:r>
                </w:p>
              </w:tc>
              <w:tc>
                <w:tcPr>
                  <w:tcW w:w="445" w:type="pct"/>
                  <w:noWrap w:val="0"/>
                  <w:vAlign w:val="center"/>
                </w:tcPr>
                <w:p w14:paraId="2CC4487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5B14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3D0B8A9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noWrap w:val="0"/>
                  <w:vAlign w:val="center"/>
                </w:tcPr>
                <w:p w14:paraId="6EEA756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六价铬/mg/L</w:t>
                  </w:r>
                </w:p>
              </w:tc>
              <w:tc>
                <w:tcPr>
                  <w:tcW w:w="628" w:type="pct"/>
                  <w:noWrap w:val="0"/>
                  <w:vAlign w:val="center"/>
                </w:tcPr>
                <w:p w14:paraId="46721C1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2A3915E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36D48F6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687F9C1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1C52AAD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0.05</w:t>
                  </w:r>
                </w:p>
              </w:tc>
              <w:tc>
                <w:tcPr>
                  <w:tcW w:w="445" w:type="pct"/>
                  <w:noWrap w:val="0"/>
                  <w:vAlign w:val="center"/>
                </w:tcPr>
                <w:p w14:paraId="0ACE8B8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222A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52B412E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noWrap w:val="0"/>
                  <w:vAlign w:val="center"/>
                </w:tcPr>
                <w:p w14:paraId="1FA7772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阴离子表面活性剂/mg/L</w:t>
                  </w:r>
                </w:p>
              </w:tc>
              <w:tc>
                <w:tcPr>
                  <w:tcW w:w="628" w:type="pct"/>
                  <w:noWrap w:val="0"/>
                  <w:vAlign w:val="center"/>
                </w:tcPr>
                <w:p w14:paraId="49D736C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20B2767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1D6D516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5A8EB27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01EF011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0.3</w:t>
                  </w:r>
                </w:p>
              </w:tc>
              <w:tc>
                <w:tcPr>
                  <w:tcW w:w="445" w:type="pct"/>
                  <w:noWrap w:val="0"/>
                  <w:vAlign w:val="center"/>
                </w:tcPr>
                <w:p w14:paraId="20671F6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2F01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60B1E43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noWrap w:val="0"/>
                  <w:vAlign w:val="center"/>
                </w:tcPr>
                <w:p w14:paraId="1152A11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石油类/mg/L</w:t>
                  </w:r>
                </w:p>
              </w:tc>
              <w:tc>
                <w:tcPr>
                  <w:tcW w:w="628" w:type="pct"/>
                  <w:noWrap w:val="0"/>
                  <w:vAlign w:val="center"/>
                </w:tcPr>
                <w:p w14:paraId="1B767F1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0.08~0.1</w:t>
                  </w:r>
                </w:p>
              </w:tc>
              <w:tc>
                <w:tcPr>
                  <w:tcW w:w="485" w:type="pct"/>
                  <w:noWrap w:val="0"/>
                  <w:vAlign w:val="center"/>
                </w:tcPr>
                <w:p w14:paraId="7817204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0.1</w:t>
                  </w:r>
                </w:p>
              </w:tc>
              <w:tc>
                <w:tcPr>
                  <w:tcW w:w="556" w:type="pct"/>
                  <w:noWrap w:val="0"/>
                  <w:vAlign w:val="center"/>
                </w:tcPr>
                <w:p w14:paraId="4777DF2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0.2</w:t>
                  </w:r>
                </w:p>
              </w:tc>
              <w:tc>
                <w:tcPr>
                  <w:tcW w:w="530" w:type="pct"/>
                  <w:noWrap w:val="0"/>
                  <w:vAlign w:val="center"/>
                </w:tcPr>
                <w:p w14:paraId="52A1857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0.2</w:t>
                  </w:r>
                </w:p>
              </w:tc>
              <w:tc>
                <w:tcPr>
                  <w:tcW w:w="477" w:type="pct"/>
                  <w:noWrap w:val="0"/>
                  <w:vAlign w:val="center"/>
                </w:tcPr>
                <w:p w14:paraId="3223B1A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0.5</w:t>
                  </w:r>
                </w:p>
              </w:tc>
              <w:tc>
                <w:tcPr>
                  <w:tcW w:w="445" w:type="pct"/>
                  <w:noWrap w:val="0"/>
                  <w:vAlign w:val="center"/>
                </w:tcPr>
                <w:p w14:paraId="5417B71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10D2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restart"/>
                  <w:noWrap w:val="0"/>
                  <w:vAlign w:val="center"/>
                </w:tcPr>
                <w:p w14:paraId="14F2AAC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W2潴泷河排污口</w:t>
                  </w:r>
                </w:p>
              </w:tc>
              <w:tc>
                <w:tcPr>
                  <w:tcW w:w="1445" w:type="pct"/>
                  <w:shd w:val="clear" w:color="auto" w:fill="auto"/>
                  <w:noWrap w:val="0"/>
                  <w:vAlign w:val="center"/>
                </w:tcPr>
                <w:p w14:paraId="6BE2165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pH/无量纲</w:t>
                  </w:r>
                </w:p>
              </w:tc>
              <w:tc>
                <w:tcPr>
                  <w:tcW w:w="628" w:type="pct"/>
                  <w:noWrap w:val="0"/>
                  <w:vAlign w:val="center"/>
                </w:tcPr>
                <w:p w14:paraId="45A3BF0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7.9</w:t>
                  </w:r>
                </w:p>
              </w:tc>
              <w:tc>
                <w:tcPr>
                  <w:tcW w:w="485" w:type="pct"/>
                  <w:noWrap w:val="0"/>
                  <w:vAlign w:val="center"/>
                </w:tcPr>
                <w:p w14:paraId="2BDABFD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7.9</w:t>
                  </w:r>
                </w:p>
              </w:tc>
              <w:tc>
                <w:tcPr>
                  <w:tcW w:w="556" w:type="pct"/>
                  <w:noWrap w:val="0"/>
                  <w:vAlign w:val="center"/>
                </w:tcPr>
                <w:p w14:paraId="763429B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0.45</w:t>
                  </w:r>
                </w:p>
              </w:tc>
              <w:tc>
                <w:tcPr>
                  <w:tcW w:w="530" w:type="pct"/>
                  <w:noWrap w:val="0"/>
                  <w:vAlign w:val="center"/>
                </w:tcPr>
                <w:p w14:paraId="4A95AFF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0.45</w:t>
                  </w:r>
                </w:p>
              </w:tc>
              <w:tc>
                <w:tcPr>
                  <w:tcW w:w="477" w:type="pct"/>
                  <w:noWrap w:val="0"/>
                  <w:vAlign w:val="center"/>
                </w:tcPr>
                <w:p w14:paraId="3FDEE88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6-9</w:t>
                  </w:r>
                </w:p>
              </w:tc>
              <w:tc>
                <w:tcPr>
                  <w:tcW w:w="445" w:type="pct"/>
                  <w:noWrap w:val="0"/>
                  <w:vAlign w:val="center"/>
                </w:tcPr>
                <w:p w14:paraId="085E9FA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5C77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478D389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3EF70C5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化学需氧量/mg/L</w:t>
                  </w:r>
                </w:p>
              </w:tc>
              <w:tc>
                <w:tcPr>
                  <w:tcW w:w="628" w:type="pct"/>
                  <w:noWrap w:val="0"/>
                  <w:vAlign w:val="center"/>
                </w:tcPr>
                <w:p w14:paraId="39E8DC2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7~13</w:t>
                  </w:r>
                </w:p>
              </w:tc>
              <w:tc>
                <w:tcPr>
                  <w:tcW w:w="485" w:type="pct"/>
                  <w:noWrap w:val="0"/>
                  <w:vAlign w:val="center"/>
                </w:tcPr>
                <w:p w14:paraId="0187DE8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9.7</w:t>
                  </w:r>
                </w:p>
              </w:tc>
              <w:tc>
                <w:tcPr>
                  <w:tcW w:w="556" w:type="pct"/>
                  <w:noWrap w:val="0"/>
                  <w:vAlign w:val="center"/>
                </w:tcPr>
                <w:p w14:paraId="55C10FA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0.32</w:t>
                  </w:r>
                </w:p>
              </w:tc>
              <w:tc>
                <w:tcPr>
                  <w:tcW w:w="530" w:type="pct"/>
                  <w:noWrap w:val="0"/>
                  <w:vAlign w:val="center"/>
                </w:tcPr>
                <w:p w14:paraId="75BA50A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0.43</w:t>
                  </w:r>
                </w:p>
              </w:tc>
              <w:tc>
                <w:tcPr>
                  <w:tcW w:w="477" w:type="pct"/>
                  <w:noWrap w:val="0"/>
                  <w:vAlign w:val="center"/>
                </w:tcPr>
                <w:p w14:paraId="5A35993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30</w:t>
                  </w:r>
                </w:p>
              </w:tc>
              <w:tc>
                <w:tcPr>
                  <w:tcW w:w="445" w:type="pct"/>
                  <w:noWrap w:val="0"/>
                  <w:vAlign w:val="center"/>
                </w:tcPr>
                <w:p w14:paraId="4843B35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6033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550A189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5E27C47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五日生化需氧量/mg/L</w:t>
                  </w:r>
                </w:p>
              </w:tc>
              <w:tc>
                <w:tcPr>
                  <w:tcW w:w="628" w:type="pct"/>
                  <w:noWrap w:val="0"/>
                  <w:vAlign w:val="center"/>
                </w:tcPr>
                <w:p w14:paraId="0308E69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3.3~4.9</w:t>
                  </w:r>
                </w:p>
              </w:tc>
              <w:tc>
                <w:tcPr>
                  <w:tcW w:w="485" w:type="pct"/>
                  <w:noWrap w:val="0"/>
                  <w:vAlign w:val="center"/>
                </w:tcPr>
                <w:p w14:paraId="6AD5359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3.9</w:t>
                  </w:r>
                </w:p>
              </w:tc>
              <w:tc>
                <w:tcPr>
                  <w:tcW w:w="556" w:type="pct"/>
                  <w:noWrap w:val="0"/>
                  <w:vAlign w:val="center"/>
                </w:tcPr>
                <w:p w14:paraId="59ACB4A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0.65</w:t>
                  </w:r>
                </w:p>
              </w:tc>
              <w:tc>
                <w:tcPr>
                  <w:tcW w:w="530" w:type="pct"/>
                  <w:noWrap w:val="0"/>
                  <w:vAlign w:val="center"/>
                </w:tcPr>
                <w:p w14:paraId="228901B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0.82</w:t>
                  </w:r>
                </w:p>
              </w:tc>
              <w:tc>
                <w:tcPr>
                  <w:tcW w:w="477" w:type="pct"/>
                  <w:noWrap w:val="0"/>
                  <w:vAlign w:val="center"/>
                </w:tcPr>
                <w:p w14:paraId="186046E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6</w:t>
                  </w:r>
                </w:p>
              </w:tc>
              <w:tc>
                <w:tcPr>
                  <w:tcW w:w="445" w:type="pct"/>
                  <w:noWrap w:val="0"/>
                  <w:vAlign w:val="center"/>
                </w:tcPr>
                <w:p w14:paraId="6906CEE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0B29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0F2F00B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0AFF7DB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悬浮物/mg/L</w:t>
                  </w:r>
                </w:p>
              </w:tc>
              <w:tc>
                <w:tcPr>
                  <w:tcW w:w="628" w:type="pct"/>
                  <w:noWrap w:val="0"/>
                  <w:vAlign w:val="center"/>
                </w:tcPr>
                <w:p w14:paraId="49C88F1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78~167</w:t>
                  </w:r>
                </w:p>
              </w:tc>
              <w:tc>
                <w:tcPr>
                  <w:tcW w:w="485" w:type="pct"/>
                  <w:noWrap w:val="0"/>
                  <w:vAlign w:val="center"/>
                </w:tcPr>
                <w:p w14:paraId="1995361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121</w:t>
                  </w:r>
                </w:p>
              </w:tc>
              <w:tc>
                <w:tcPr>
                  <w:tcW w:w="556" w:type="pct"/>
                  <w:noWrap w:val="0"/>
                  <w:vAlign w:val="center"/>
                </w:tcPr>
                <w:p w14:paraId="094A6A8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2.02</w:t>
                  </w:r>
                </w:p>
              </w:tc>
              <w:tc>
                <w:tcPr>
                  <w:tcW w:w="530" w:type="pct"/>
                  <w:noWrap w:val="0"/>
                  <w:vAlign w:val="center"/>
                </w:tcPr>
                <w:p w14:paraId="22DBB27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2.78</w:t>
                  </w:r>
                </w:p>
              </w:tc>
              <w:tc>
                <w:tcPr>
                  <w:tcW w:w="477" w:type="pct"/>
                  <w:noWrap w:val="0"/>
                  <w:vAlign w:val="center"/>
                </w:tcPr>
                <w:p w14:paraId="70A55FD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60</w:t>
                  </w:r>
                </w:p>
              </w:tc>
              <w:tc>
                <w:tcPr>
                  <w:tcW w:w="445" w:type="pct"/>
                  <w:noWrap w:val="0"/>
                  <w:vAlign w:val="center"/>
                </w:tcPr>
                <w:p w14:paraId="4632132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超标</w:t>
                  </w:r>
                </w:p>
              </w:tc>
            </w:tr>
            <w:tr w14:paraId="1207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5218C21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65FBD1D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氨氮/mg/L</w:t>
                  </w:r>
                </w:p>
              </w:tc>
              <w:tc>
                <w:tcPr>
                  <w:tcW w:w="628" w:type="pct"/>
                  <w:noWrap w:val="0"/>
                  <w:vAlign w:val="center"/>
                </w:tcPr>
                <w:p w14:paraId="6E78F44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0.03~0.08</w:t>
                  </w:r>
                </w:p>
              </w:tc>
              <w:tc>
                <w:tcPr>
                  <w:tcW w:w="485" w:type="pct"/>
                  <w:noWrap w:val="0"/>
                  <w:vAlign w:val="center"/>
                </w:tcPr>
                <w:p w14:paraId="5CC4326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0.05</w:t>
                  </w:r>
                </w:p>
              </w:tc>
              <w:tc>
                <w:tcPr>
                  <w:tcW w:w="556" w:type="pct"/>
                  <w:noWrap w:val="0"/>
                  <w:vAlign w:val="center"/>
                </w:tcPr>
                <w:p w14:paraId="6ACEBCB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0.03</w:t>
                  </w:r>
                </w:p>
              </w:tc>
              <w:tc>
                <w:tcPr>
                  <w:tcW w:w="530" w:type="pct"/>
                  <w:noWrap w:val="0"/>
                  <w:vAlign w:val="center"/>
                </w:tcPr>
                <w:p w14:paraId="129856F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0.053</w:t>
                  </w:r>
                </w:p>
              </w:tc>
              <w:tc>
                <w:tcPr>
                  <w:tcW w:w="477" w:type="pct"/>
                  <w:noWrap w:val="0"/>
                  <w:vAlign w:val="center"/>
                </w:tcPr>
                <w:p w14:paraId="5CBD90C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1.5</w:t>
                  </w:r>
                </w:p>
              </w:tc>
              <w:tc>
                <w:tcPr>
                  <w:tcW w:w="445" w:type="pct"/>
                  <w:noWrap w:val="0"/>
                  <w:vAlign w:val="center"/>
                </w:tcPr>
                <w:p w14:paraId="5975E9D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5523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5703959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0A55D0E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总磷/mg/L</w:t>
                  </w:r>
                </w:p>
              </w:tc>
              <w:tc>
                <w:tcPr>
                  <w:tcW w:w="628" w:type="pct"/>
                  <w:noWrap w:val="0"/>
                  <w:vAlign w:val="center"/>
                </w:tcPr>
                <w:p w14:paraId="0A342F3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0.14~0.19</w:t>
                  </w:r>
                </w:p>
              </w:tc>
              <w:tc>
                <w:tcPr>
                  <w:tcW w:w="485" w:type="pct"/>
                  <w:noWrap w:val="0"/>
                  <w:vAlign w:val="center"/>
                </w:tcPr>
                <w:p w14:paraId="68E1B4A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0.17</w:t>
                  </w:r>
                </w:p>
              </w:tc>
              <w:tc>
                <w:tcPr>
                  <w:tcW w:w="556" w:type="pct"/>
                  <w:noWrap w:val="0"/>
                  <w:vAlign w:val="center"/>
                </w:tcPr>
                <w:p w14:paraId="24734CD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0.57</w:t>
                  </w:r>
                </w:p>
              </w:tc>
              <w:tc>
                <w:tcPr>
                  <w:tcW w:w="530" w:type="pct"/>
                  <w:noWrap w:val="0"/>
                  <w:vAlign w:val="center"/>
                </w:tcPr>
                <w:p w14:paraId="2F96E76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0.63</w:t>
                  </w:r>
                </w:p>
              </w:tc>
              <w:tc>
                <w:tcPr>
                  <w:tcW w:w="477" w:type="pct"/>
                  <w:noWrap w:val="0"/>
                  <w:vAlign w:val="center"/>
                </w:tcPr>
                <w:p w14:paraId="654262E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0.3</w:t>
                  </w:r>
                </w:p>
              </w:tc>
              <w:tc>
                <w:tcPr>
                  <w:tcW w:w="445" w:type="pct"/>
                  <w:noWrap w:val="0"/>
                  <w:vAlign w:val="center"/>
                </w:tcPr>
                <w:p w14:paraId="1184C30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1137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5E5D57F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2B31333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总氮/mg/L</w:t>
                  </w:r>
                </w:p>
              </w:tc>
              <w:tc>
                <w:tcPr>
                  <w:tcW w:w="628" w:type="pct"/>
                  <w:noWrap w:val="0"/>
                  <w:vAlign w:val="center"/>
                </w:tcPr>
                <w:p w14:paraId="4560A0E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3.53~4.74</w:t>
                  </w:r>
                </w:p>
              </w:tc>
              <w:tc>
                <w:tcPr>
                  <w:tcW w:w="485" w:type="pct"/>
                  <w:noWrap w:val="0"/>
                  <w:vAlign w:val="center"/>
                </w:tcPr>
                <w:p w14:paraId="1894BE5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4.3</w:t>
                  </w:r>
                </w:p>
              </w:tc>
              <w:tc>
                <w:tcPr>
                  <w:tcW w:w="556" w:type="pct"/>
                  <w:noWrap w:val="0"/>
                  <w:vAlign w:val="center"/>
                </w:tcPr>
                <w:p w14:paraId="384485D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2.86</w:t>
                  </w:r>
                </w:p>
              </w:tc>
              <w:tc>
                <w:tcPr>
                  <w:tcW w:w="530" w:type="pct"/>
                  <w:noWrap w:val="0"/>
                  <w:vAlign w:val="center"/>
                </w:tcPr>
                <w:p w14:paraId="59E4409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3.16</w:t>
                  </w:r>
                </w:p>
              </w:tc>
              <w:tc>
                <w:tcPr>
                  <w:tcW w:w="477" w:type="pct"/>
                  <w:noWrap w:val="0"/>
                  <w:vAlign w:val="center"/>
                </w:tcPr>
                <w:p w14:paraId="47955CB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1.5</w:t>
                  </w:r>
                </w:p>
              </w:tc>
              <w:tc>
                <w:tcPr>
                  <w:tcW w:w="445" w:type="pct"/>
                  <w:noWrap w:val="0"/>
                  <w:vAlign w:val="center"/>
                </w:tcPr>
                <w:p w14:paraId="5456BFA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超标</w:t>
                  </w:r>
                </w:p>
              </w:tc>
            </w:tr>
            <w:tr w14:paraId="3B67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168B3AD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18A0523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挥发酚/mg/L</w:t>
                  </w:r>
                </w:p>
              </w:tc>
              <w:tc>
                <w:tcPr>
                  <w:tcW w:w="628" w:type="pct"/>
                  <w:noWrap w:val="0"/>
                  <w:vAlign w:val="center"/>
                </w:tcPr>
                <w:p w14:paraId="5D8BD0E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2DF3F4E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1E304B6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6836BC5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172486B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0.01</w:t>
                  </w:r>
                </w:p>
              </w:tc>
              <w:tc>
                <w:tcPr>
                  <w:tcW w:w="445" w:type="pct"/>
                  <w:noWrap w:val="0"/>
                  <w:vAlign w:val="center"/>
                </w:tcPr>
                <w:p w14:paraId="4676076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4013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1C35C5F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408DF9C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氟化物/mg/L</w:t>
                  </w:r>
                </w:p>
              </w:tc>
              <w:tc>
                <w:tcPr>
                  <w:tcW w:w="628" w:type="pct"/>
                  <w:noWrap w:val="0"/>
                  <w:vAlign w:val="center"/>
                </w:tcPr>
                <w:p w14:paraId="2047608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0.96~1.05</w:t>
                  </w:r>
                </w:p>
              </w:tc>
              <w:tc>
                <w:tcPr>
                  <w:tcW w:w="485" w:type="pct"/>
                  <w:noWrap w:val="0"/>
                  <w:vAlign w:val="center"/>
                </w:tcPr>
                <w:p w14:paraId="7FA816E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1.0</w:t>
                  </w:r>
                </w:p>
              </w:tc>
              <w:tc>
                <w:tcPr>
                  <w:tcW w:w="556" w:type="pct"/>
                  <w:noWrap w:val="0"/>
                  <w:vAlign w:val="center"/>
                </w:tcPr>
                <w:p w14:paraId="73FBDC0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0.67</w:t>
                  </w:r>
                </w:p>
              </w:tc>
              <w:tc>
                <w:tcPr>
                  <w:tcW w:w="530" w:type="pct"/>
                  <w:noWrap w:val="0"/>
                  <w:vAlign w:val="center"/>
                </w:tcPr>
                <w:p w14:paraId="1B1A91F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0.7</w:t>
                  </w:r>
                </w:p>
              </w:tc>
              <w:tc>
                <w:tcPr>
                  <w:tcW w:w="477" w:type="pct"/>
                  <w:noWrap w:val="0"/>
                  <w:vAlign w:val="center"/>
                </w:tcPr>
                <w:p w14:paraId="4A31CFD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1.5</w:t>
                  </w:r>
                </w:p>
              </w:tc>
              <w:tc>
                <w:tcPr>
                  <w:tcW w:w="445" w:type="pct"/>
                  <w:noWrap w:val="0"/>
                  <w:vAlign w:val="center"/>
                </w:tcPr>
                <w:p w14:paraId="3F21BFA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5D8A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412CB75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3373273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氰化物/mg/L</w:t>
                  </w:r>
                </w:p>
              </w:tc>
              <w:tc>
                <w:tcPr>
                  <w:tcW w:w="628" w:type="pct"/>
                  <w:noWrap w:val="0"/>
                  <w:vAlign w:val="center"/>
                </w:tcPr>
                <w:p w14:paraId="665F575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2D89890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0368928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78BB4F8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150D91F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0.2</w:t>
                  </w:r>
                </w:p>
              </w:tc>
              <w:tc>
                <w:tcPr>
                  <w:tcW w:w="445" w:type="pct"/>
                  <w:noWrap w:val="0"/>
                  <w:vAlign w:val="center"/>
                </w:tcPr>
                <w:p w14:paraId="52D6022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7A51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2D09592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4832074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硫化物/mg/L</w:t>
                  </w:r>
                </w:p>
              </w:tc>
              <w:tc>
                <w:tcPr>
                  <w:tcW w:w="628" w:type="pct"/>
                  <w:noWrap w:val="0"/>
                  <w:vAlign w:val="center"/>
                </w:tcPr>
                <w:p w14:paraId="7BB2FFB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469DCC1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1DF9A3B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3503C41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1280D1D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0.5</w:t>
                  </w:r>
                </w:p>
              </w:tc>
              <w:tc>
                <w:tcPr>
                  <w:tcW w:w="445" w:type="pct"/>
                  <w:noWrap w:val="0"/>
                  <w:vAlign w:val="center"/>
                </w:tcPr>
                <w:p w14:paraId="6A2DA8A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6062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1CAABF0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35DF911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六价铬/mg/L</w:t>
                  </w:r>
                </w:p>
              </w:tc>
              <w:tc>
                <w:tcPr>
                  <w:tcW w:w="628" w:type="pct"/>
                  <w:noWrap w:val="0"/>
                  <w:vAlign w:val="center"/>
                </w:tcPr>
                <w:p w14:paraId="6FC91A1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0FB815A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7A013F4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5531238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3B570DB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0.05</w:t>
                  </w:r>
                </w:p>
              </w:tc>
              <w:tc>
                <w:tcPr>
                  <w:tcW w:w="445" w:type="pct"/>
                  <w:noWrap w:val="0"/>
                  <w:vAlign w:val="center"/>
                </w:tcPr>
                <w:p w14:paraId="259483B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3528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346C03A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24D1C29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阴离子表面活性剂/mg/L</w:t>
                  </w:r>
                </w:p>
              </w:tc>
              <w:tc>
                <w:tcPr>
                  <w:tcW w:w="628" w:type="pct"/>
                  <w:noWrap w:val="0"/>
                  <w:vAlign w:val="center"/>
                </w:tcPr>
                <w:p w14:paraId="48CEB39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3BF6BE8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565D456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04C8F80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4942F5A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0.3</w:t>
                  </w:r>
                </w:p>
              </w:tc>
              <w:tc>
                <w:tcPr>
                  <w:tcW w:w="445" w:type="pct"/>
                  <w:noWrap w:val="0"/>
                  <w:vAlign w:val="center"/>
                </w:tcPr>
                <w:p w14:paraId="4EEB811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0FDC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0816810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1D1B6CF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石油类/mg/L</w:t>
                  </w:r>
                </w:p>
              </w:tc>
              <w:tc>
                <w:tcPr>
                  <w:tcW w:w="628" w:type="pct"/>
                  <w:noWrap w:val="0"/>
                  <w:vAlign w:val="center"/>
                </w:tcPr>
                <w:p w14:paraId="18B10D6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0.07~0.1</w:t>
                  </w:r>
                </w:p>
              </w:tc>
              <w:tc>
                <w:tcPr>
                  <w:tcW w:w="485" w:type="pct"/>
                  <w:noWrap w:val="0"/>
                  <w:vAlign w:val="center"/>
                </w:tcPr>
                <w:p w14:paraId="0994AFD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0.1</w:t>
                  </w:r>
                </w:p>
              </w:tc>
              <w:tc>
                <w:tcPr>
                  <w:tcW w:w="556" w:type="pct"/>
                  <w:noWrap w:val="0"/>
                  <w:vAlign w:val="center"/>
                </w:tcPr>
                <w:p w14:paraId="1C68C5B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0.2</w:t>
                  </w:r>
                </w:p>
              </w:tc>
              <w:tc>
                <w:tcPr>
                  <w:tcW w:w="530" w:type="pct"/>
                  <w:noWrap w:val="0"/>
                  <w:vAlign w:val="center"/>
                </w:tcPr>
                <w:p w14:paraId="291FEA6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0.2</w:t>
                  </w:r>
                </w:p>
              </w:tc>
              <w:tc>
                <w:tcPr>
                  <w:tcW w:w="477" w:type="pct"/>
                  <w:noWrap w:val="0"/>
                  <w:vAlign w:val="center"/>
                </w:tcPr>
                <w:p w14:paraId="709DA68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0.5</w:t>
                  </w:r>
                </w:p>
              </w:tc>
              <w:tc>
                <w:tcPr>
                  <w:tcW w:w="445" w:type="pct"/>
                  <w:noWrap w:val="0"/>
                  <w:vAlign w:val="center"/>
                </w:tcPr>
                <w:p w14:paraId="36E3E40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45E1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restart"/>
                  <w:noWrap w:val="0"/>
                  <w:vAlign w:val="center"/>
                </w:tcPr>
                <w:p w14:paraId="5FFB114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W3潴泷河排污口下游1500m</w:t>
                  </w:r>
                </w:p>
              </w:tc>
              <w:tc>
                <w:tcPr>
                  <w:tcW w:w="1445" w:type="pct"/>
                  <w:shd w:val="clear" w:color="auto" w:fill="auto"/>
                  <w:noWrap w:val="0"/>
                  <w:vAlign w:val="center"/>
                </w:tcPr>
                <w:p w14:paraId="711C60B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pH/无量纲</w:t>
                  </w:r>
                </w:p>
              </w:tc>
              <w:tc>
                <w:tcPr>
                  <w:tcW w:w="628" w:type="pct"/>
                  <w:noWrap w:val="0"/>
                  <w:vAlign w:val="center"/>
                </w:tcPr>
                <w:p w14:paraId="46E2B87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7.8~8.1</w:t>
                  </w:r>
                </w:p>
              </w:tc>
              <w:tc>
                <w:tcPr>
                  <w:tcW w:w="485" w:type="pct"/>
                  <w:noWrap w:val="0"/>
                  <w:vAlign w:val="center"/>
                </w:tcPr>
                <w:p w14:paraId="369F8ED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7.9</w:t>
                  </w:r>
                </w:p>
              </w:tc>
              <w:tc>
                <w:tcPr>
                  <w:tcW w:w="556" w:type="pct"/>
                  <w:noWrap w:val="0"/>
                  <w:vAlign w:val="center"/>
                </w:tcPr>
                <w:p w14:paraId="034F178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0.45</w:t>
                  </w:r>
                </w:p>
              </w:tc>
              <w:tc>
                <w:tcPr>
                  <w:tcW w:w="530" w:type="pct"/>
                  <w:noWrap w:val="0"/>
                  <w:vAlign w:val="center"/>
                </w:tcPr>
                <w:p w14:paraId="64BDB24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0.55</w:t>
                  </w:r>
                </w:p>
              </w:tc>
              <w:tc>
                <w:tcPr>
                  <w:tcW w:w="477" w:type="pct"/>
                  <w:noWrap w:val="0"/>
                  <w:vAlign w:val="center"/>
                </w:tcPr>
                <w:p w14:paraId="0B56825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6-9</w:t>
                  </w:r>
                </w:p>
              </w:tc>
              <w:tc>
                <w:tcPr>
                  <w:tcW w:w="445" w:type="pct"/>
                  <w:noWrap w:val="0"/>
                  <w:vAlign w:val="center"/>
                </w:tcPr>
                <w:p w14:paraId="041B652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5AF6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65FA02E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50C246D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化学需氧量/mg/L</w:t>
                  </w:r>
                </w:p>
              </w:tc>
              <w:tc>
                <w:tcPr>
                  <w:tcW w:w="628" w:type="pct"/>
                  <w:noWrap w:val="0"/>
                  <w:vAlign w:val="center"/>
                </w:tcPr>
                <w:p w14:paraId="6B06C1A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12~15</w:t>
                  </w:r>
                </w:p>
              </w:tc>
              <w:tc>
                <w:tcPr>
                  <w:tcW w:w="485" w:type="pct"/>
                  <w:noWrap w:val="0"/>
                  <w:vAlign w:val="center"/>
                </w:tcPr>
                <w:p w14:paraId="72813EF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13</w:t>
                  </w:r>
                </w:p>
              </w:tc>
              <w:tc>
                <w:tcPr>
                  <w:tcW w:w="556" w:type="pct"/>
                  <w:noWrap w:val="0"/>
                  <w:vAlign w:val="center"/>
                </w:tcPr>
                <w:p w14:paraId="1F1A59E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0.43</w:t>
                  </w:r>
                </w:p>
              </w:tc>
              <w:tc>
                <w:tcPr>
                  <w:tcW w:w="530" w:type="pct"/>
                  <w:noWrap w:val="0"/>
                  <w:vAlign w:val="center"/>
                </w:tcPr>
                <w:p w14:paraId="6A6856C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0.5</w:t>
                  </w:r>
                </w:p>
              </w:tc>
              <w:tc>
                <w:tcPr>
                  <w:tcW w:w="477" w:type="pct"/>
                  <w:noWrap w:val="0"/>
                  <w:vAlign w:val="center"/>
                </w:tcPr>
                <w:p w14:paraId="2612BEF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30</w:t>
                  </w:r>
                </w:p>
              </w:tc>
              <w:tc>
                <w:tcPr>
                  <w:tcW w:w="445" w:type="pct"/>
                  <w:noWrap w:val="0"/>
                  <w:vAlign w:val="center"/>
                </w:tcPr>
                <w:p w14:paraId="718E9B2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20B6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028C31D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21C558A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五日生化需氧量/mg/L</w:t>
                  </w:r>
                </w:p>
              </w:tc>
              <w:tc>
                <w:tcPr>
                  <w:tcW w:w="628" w:type="pct"/>
                  <w:noWrap w:val="0"/>
                  <w:vAlign w:val="center"/>
                </w:tcPr>
                <w:p w14:paraId="7F7BB22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4.6~5.7</w:t>
                  </w:r>
                </w:p>
              </w:tc>
              <w:tc>
                <w:tcPr>
                  <w:tcW w:w="485" w:type="pct"/>
                  <w:noWrap w:val="0"/>
                  <w:vAlign w:val="center"/>
                </w:tcPr>
                <w:p w14:paraId="562DBB0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5</w:t>
                  </w:r>
                </w:p>
              </w:tc>
              <w:tc>
                <w:tcPr>
                  <w:tcW w:w="556" w:type="pct"/>
                  <w:noWrap w:val="0"/>
                  <w:vAlign w:val="center"/>
                </w:tcPr>
                <w:p w14:paraId="09029CB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0.83</w:t>
                  </w:r>
                </w:p>
              </w:tc>
              <w:tc>
                <w:tcPr>
                  <w:tcW w:w="530" w:type="pct"/>
                  <w:noWrap w:val="0"/>
                  <w:vAlign w:val="center"/>
                </w:tcPr>
                <w:p w14:paraId="6BBF285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0.95</w:t>
                  </w:r>
                </w:p>
              </w:tc>
              <w:tc>
                <w:tcPr>
                  <w:tcW w:w="477" w:type="pct"/>
                  <w:noWrap w:val="0"/>
                  <w:vAlign w:val="center"/>
                </w:tcPr>
                <w:p w14:paraId="4DFF15B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6</w:t>
                  </w:r>
                </w:p>
              </w:tc>
              <w:tc>
                <w:tcPr>
                  <w:tcW w:w="445" w:type="pct"/>
                  <w:noWrap w:val="0"/>
                  <w:vAlign w:val="center"/>
                </w:tcPr>
                <w:p w14:paraId="41EF5CD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4091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219704D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62422DB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悬浮物/mg/L</w:t>
                  </w:r>
                </w:p>
              </w:tc>
              <w:tc>
                <w:tcPr>
                  <w:tcW w:w="628" w:type="pct"/>
                  <w:noWrap w:val="0"/>
                  <w:vAlign w:val="center"/>
                </w:tcPr>
                <w:p w14:paraId="0937A49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70~91</w:t>
                  </w:r>
                </w:p>
              </w:tc>
              <w:tc>
                <w:tcPr>
                  <w:tcW w:w="485" w:type="pct"/>
                  <w:noWrap w:val="0"/>
                  <w:vAlign w:val="center"/>
                </w:tcPr>
                <w:p w14:paraId="6C71CD8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83.3</w:t>
                  </w:r>
                </w:p>
              </w:tc>
              <w:tc>
                <w:tcPr>
                  <w:tcW w:w="556" w:type="pct"/>
                  <w:noWrap w:val="0"/>
                  <w:vAlign w:val="center"/>
                </w:tcPr>
                <w:p w14:paraId="096EC45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1.39</w:t>
                  </w:r>
                </w:p>
              </w:tc>
              <w:tc>
                <w:tcPr>
                  <w:tcW w:w="530" w:type="pct"/>
                  <w:noWrap w:val="0"/>
                  <w:vAlign w:val="center"/>
                </w:tcPr>
                <w:p w14:paraId="4ED356C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1.52</w:t>
                  </w:r>
                </w:p>
              </w:tc>
              <w:tc>
                <w:tcPr>
                  <w:tcW w:w="477" w:type="pct"/>
                  <w:noWrap w:val="0"/>
                  <w:vAlign w:val="center"/>
                </w:tcPr>
                <w:p w14:paraId="1DEB0E6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60</w:t>
                  </w:r>
                </w:p>
              </w:tc>
              <w:tc>
                <w:tcPr>
                  <w:tcW w:w="445" w:type="pct"/>
                  <w:noWrap w:val="0"/>
                  <w:vAlign w:val="center"/>
                </w:tcPr>
                <w:p w14:paraId="71502EC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超标</w:t>
                  </w:r>
                </w:p>
              </w:tc>
            </w:tr>
            <w:tr w14:paraId="46E4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0DCCBE1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026B78B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氨氮/mg/L</w:t>
                  </w:r>
                </w:p>
              </w:tc>
              <w:tc>
                <w:tcPr>
                  <w:tcW w:w="628" w:type="pct"/>
                  <w:noWrap w:val="0"/>
                  <w:vAlign w:val="center"/>
                </w:tcPr>
                <w:p w14:paraId="0084629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0.06~1.03</w:t>
                  </w:r>
                </w:p>
              </w:tc>
              <w:tc>
                <w:tcPr>
                  <w:tcW w:w="485" w:type="pct"/>
                  <w:noWrap w:val="0"/>
                  <w:vAlign w:val="center"/>
                </w:tcPr>
                <w:p w14:paraId="32EBA68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0.4</w:t>
                  </w:r>
                </w:p>
              </w:tc>
              <w:tc>
                <w:tcPr>
                  <w:tcW w:w="556" w:type="pct"/>
                  <w:noWrap w:val="0"/>
                  <w:vAlign w:val="center"/>
                </w:tcPr>
                <w:p w14:paraId="7D4AA1F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0.27</w:t>
                  </w:r>
                </w:p>
              </w:tc>
              <w:tc>
                <w:tcPr>
                  <w:tcW w:w="530" w:type="pct"/>
                  <w:noWrap w:val="0"/>
                  <w:vAlign w:val="center"/>
                </w:tcPr>
                <w:p w14:paraId="658FBA9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0.69</w:t>
                  </w:r>
                </w:p>
              </w:tc>
              <w:tc>
                <w:tcPr>
                  <w:tcW w:w="477" w:type="pct"/>
                  <w:noWrap w:val="0"/>
                  <w:vAlign w:val="center"/>
                </w:tcPr>
                <w:p w14:paraId="5AF72FF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1.5</w:t>
                  </w:r>
                </w:p>
              </w:tc>
              <w:tc>
                <w:tcPr>
                  <w:tcW w:w="445" w:type="pct"/>
                  <w:noWrap w:val="0"/>
                  <w:vAlign w:val="center"/>
                </w:tcPr>
                <w:p w14:paraId="2F89848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74FE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38AF2D2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4104A11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总磷/mg/L</w:t>
                  </w:r>
                </w:p>
              </w:tc>
              <w:tc>
                <w:tcPr>
                  <w:tcW w:w="628" w:type="pct"/>
                  <w:noWrap w:val="0"/>
                  <w:vAlign w:val="center"/>
                </w:tcPr>
                <w:p w14:paraId="404DB71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0.13~0.28</w:t>
                  </w:r>
                </w:p>
              </w:tc>
              <w:tc>
                <w:tcPr>
                  <w:tcW w:w="485" w:type="pct"/>
                  <w:noWrap w:val="0"/>
                  <w:vAlign w:val="center"/>
                </w:tcPr>
                <w:p w14:paraId="70DB313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0.22</w:t>
                  </w:r>
                </w:p>
              </w:tc>
              <w:tc>
                <w:tcPr>
                  <w:tcW w:w="556" w:type="pct"/>
                  <w:noWrap w:val="0"/>
                  <w:vAlign w:val="center"/>
                </w:tcPr>
                <w:p w14:paraId="47D5B72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0.73</w:t>
                  </w:r>
                </w:p>
              </w:tc>
              <w:tc>
                <w:tcPr>
                  <w:tcW w:w="530" w:type="pct"/>
                  <w:noWrap w:val="0"/>
                  <w:vAlign w:val="center"/>
                </w:tcPr>
                <w:p w14:paraId="07B1184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0.93</w:t>
                  </w:r>
                </w:p>
              </w:tc>
              <w:tc>
                <w:tcPr>
                  <w:tcW w:w="477" w:type="pct"/>
                  <w:noWrap w:val="0"/>
                  <w:vAlign w:val="center"/>
                </w:tcPr>
                <w:p w14:paraId="5C487CB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0.3</w:t>
                  </w:r>
                </w:p>
              </w:tc>
              <w:tc>
                <w:tcPr>
                  <w:tcW w:w="445" w:type="pct"/>
                  <w:noWrap w:val="0"/>
                  <w:vAlign w:val="center"/>
                </w:tcPr>
                <w:p w14:paraId="3250E81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7A80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788482F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6775774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总氮/mg/L</w:t>
                  </w:r>
                </w:p>
              </w:tc>
              <w:tc>
                <w:tcPr>
                  <w:tcW w:w="628" w:type="pct"/>
                  <w:noWrap w:val="0"/>
                  <w:vAlign w:val="center"/>
                </w:tcPr>
                <w:p w14:paraId="1759057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3.57~4.91</w:t>
                  </w:r>
                </w:p>
              </w:tc>
              <w:tc>
                <w:tcPr>
                  <w:tcW w:w="485" w:type="pct"/>
                  <w:noWrap w:val="0"/>
                  <w:vAlign w:val="center"/>
                </w:tcPr>
                <w:p w14:paraId="344838E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4.39</w:t>
                  </w:r>
                </w:p>
              </w:tc>
              <w:tc>
                <w:tcPr>
                  <w:tcW w:w="556" w:type="pct"/>
                  <w:noWrap w:val="0"/>
                  <w:vAlign w:val="center"/>
                </w:tcPr>
                <w:p w14:paraId="07B91E6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2.93</w:t>
                  </w:r>
                </w:p>
              </w:tc>
              <w:tc>
                <w:tcPr>
                  <w:tcW w:w="530" w:type="pct"/>
                  <w:noWrap w:val="0"/>
                  <w:vAlign w:val="center"/>
                </w:tcPr>
                <w:p w14:paraId="14BBDBC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3.27</w:t>
                  </w:r>
                </w:p>
              </w:tc>
              <w:tc>
                <w:tcPr>
                  <w:tcW w:w="477" w:type="pct"/>
                  <w:noWrap w:val="0"/>
                  <w:vAlign w:val="center"/>
                </w:tcPr>
                <w:p w14:paraId="02B28B2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1.5</w:t>
                  </w:r>
                </w:p>
              </w:tc>
              <w:tc>
                <w:tcPr>
                  <w:tcW w:w="445" w:type="pct"/>
                  <w:noWrap w:val="0"/>
                  <w:vAlign w:val="center"/>
                </w:tcPr>
                <w:p w14:paraId="1DAC00B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超标</w:t>
                  </w:r>
                </w:p>
              </w:tc>
            </w:tr>
            <w:tr w14:paraId="59C8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2BAB67C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5929A63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挥发酚/mg/L</w:t>
                  </w:r>
                </w:p>
              </w:tc>
              <w:tc>
                <w:tcPr>
                  <w:tcW w:w="628" w:type="pct"/>
                  <w:noWrap w:val="0"/>
                  <w:vAlign w:val="center"/>
                </w:tcPr>
                <w:p w14:paraId="2EB6A19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7910E93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5DAEFCA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54B4994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3BF4CB7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0.01</w:t>
                  </w:r>
                </w:p>
              </w:tc>
              <w:tc>
                <w:tcPr>
                  <w:tcW w:w="445" w:type="pct"/>
                  <w:noWrap w:val="0"/>
                  <w:vAlign w:val="center"/>
                </w:tcPr>
                <w:p w14:paraId="39048D9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7A3E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7C786E0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6616502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氟化物/mg/L</w:t>
                  </w:r>
                </w:p>
              </w:tc>
              <w:tc>
                <w:tcPr>
                  <w:tcW w:w="628" w:type="pct"/>
                  <w:noWrap w:val="0"/>
                  <w:vAlign w:val="center"/>
                </w:tcPr>
                <w:p w14:paraId="31802DE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1.02~1.1</w:t>
                  </w:r>
                </w:p>
              </w:tc>
              <w:tc>
                <w:tcPr>
                  <w:tcW w:w="485" w:type="pct"/>
                  <w:noWrap w:val="0"/>
                  <w:vAlign w:val="center"/>
                </w:tcPr>
                <w:p w14:paraId="0F11B01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1.06</w:t>
                  </w:r>
                </w:p>
              </w:tc>
              <w:tc>
                <w:tcPr>
                  <w:tcW w:w="556" w:type="pct"/>
                  <w:noWrap w:val="0"/>
                  <w:vAlign w:val="center"/>
                </w:tcPr>
                <w:p w14:paraId="054A292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0.71</w:t>
                  </w:r>
                </w:p>
              </w:tc>
              <w:tc>
                <w:tcPr>
                  <w:tcW w:w="530" w:type="pct"/>
                  <w:noWrap w:val="0"/>
                  <w:vAlign w:val="center"/>
                </w:tcPr>
                <w:p w14:paraId="37C486A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0.73</w:t>
                  </w:r>
                </w:p>
              </w:tc>
              <w:tc>
                <w:tcPr>
                  <w:tcW w:w="477" w:type="pct"/>
                  <w:noWrap w:val="0"/>
                  <w:vAlign w:val="center"/>
                </w:tcPr>
                <w:p w14:paraId="3E7E26D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1.5</w:t>
                  </w:r>
                </w:p>
              </w:tc>
              <w:tc>
                <w:tcPr>
                  <w:tcW w:w="445" w:type="pct"/>
                  <w:noWrap w:val="0"/>
                  <w:vAlign w:val="center"/>
                </w:tcPr>
                <w:p w14:paraId="7E7B1FE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6A84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3E113D0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1DEB62A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氰化物/mg/L</w:t>
                  </w:r>
                </w:p>
              </w:tc>
              <w:tc>
                <w:tcPr>
                  <w:tcW w:w="628" w:type="pct"/>
                  <w:noWrap w:val="0"/>
                  <w:vAlign w:val="center"/>
                </w:tcPr>
                <w:p w14:paraId="42553CA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3FB2FE4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2CFD7B6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0183EDB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476B8A3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0.2</w:t>
                  </w:r>
                </w:p>
              </w:tc>
              <w:tc>
                <w:tcPr>
                  <w:tcW w:w="445" w:type="pct"/>
                  <w:noWrap w:val="0"/>
                  <w:vAlign w:val="center"/>
                </w:tcPr>
                <w:p w14:paraId="43E2287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5717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3B5DBF4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0EDC413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硫化物/mg/L</w:t>
                  </w:r>
                </w:p>
              </w:tc>
              <w:tc>
                <w:tcPr>
                  <w:tcW w:w="628" w:type="pct"/>
                  <w:noWrap w:val="0"/>
                  <w:vAlign w:val="center"/>
                </w:tcPr>
                <w:p w14:paraId="25CA801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4A1F019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7C329C6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1528837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2D70A65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0.5</w:t>
                  </w:r>
                </w:p>
              </w:tc>
              <w:tc>
                <w:tcPr>
                  <w:tcW w:w="445" w:type="pct"/>
                  <w:noWrap w:val="0"/>
                  <w:vAlign w:val="center"/>
                </w:tcPr>
                <w:p w14:paraId="2B7AB63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091D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7FEBADE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32B5B80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六价铬/mg/L</w:t>
                  </w:r>
                </w:p>
              </w:tc>
              <w:tc>
                <w:tcPr>
                  <w:tcW w:w="628" w:type="pct"/>
                  <w:noWrap w:val="0"/>
                  <w:vAlign w:val="center"/>
                </w:tcPr>
                <w:p w14:paraId="3637F39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0B76B31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43806D3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746B216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2318AB1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0.05</w:t>
                  </w:r>
                </w:p>
              </w:tc>
              <w:tc>
                <w:tcPr>
                  <w:tcW w:w="445" w:type="pct"/>
                  <w:noWrap w:val="0"/>
                  <w:vAlign w:val="center"/>
                </w:tcPr>
                <w:p w14:paraId="6E9D228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17ED2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1B726CC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4703057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阴离子表面活性剂/mg/L</w:t>
                  </w:r>
                </w:p>
              </w:tc>
              <w:tc>
                <w:tcPr>
                  <w:tcW w:w="628" w:type="pct"/>
                  <w:noWrap w:val="0"/>
                  <w:vAlign w:val="center"/>
                </w:tcPr>
                <w:p w14:paraId="2EC8098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ND</w:t>
                  </w:r>
                </w:p>
              </w:tc>
              <w:tc>
                <w:tcPr>
                  <w:tcW w:w="485" w:type="pct"/>
                  <w:noWrap w:val="0"/>
                  <w:vAlign w:val="center"/>
                </w:tcPr>
                <w:p w14:paraId="29540F8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56" w:type="pct"/>
                  <w:noWrap w:val="0"/>
                  <w:vAlign w:val="center"/>
                </w:tcPr>
                <w:p w14:paraId="2EC7A48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530" w:type="pct"/>
                  <w:noWrap w:val="0"/>
                  <w:vAlign w:val="center"/>
                </w:tcPr>
                <w:p w14:paraId="51B1F16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w:t>
                  </w:r>
                </w:p>
              </w:tc>
              <w:tc>
                <w:tcPr>
                  <w:tcW w:w="477" w:type="pct"/>
                  <w:noWrap w:val="0"/>
                  <w:vAlign w:val="center"/>
                </w:tcPr>
                <w:p w14:paraId="6BF732C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0.3</w:t>
                  </w:r>
                </w:p>
              </w:tc>
              <w:tc>
                <w:tcPr>
                  <w:tcW w:w="445" w:type="pct"/>
                  <w:noWrap w:val="0"/>
                  <w:vAlign w:val="center"/>
                </w:tcPr>
                <w:p w14:paraId="03FAE56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r w14:paraId="0B3A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noWrap w:val="0"/>
                  <w:vAlign w:val="center"/>
                </w:tcPr>
                <w:p w14:paraId="3573462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p>
              </w:tc>
              <w:tc>
                <w:tcPr>
                  <w:tcW w:w="1445" w:type="pct"/>
                  <w:shd w:val="clear" w:color="auto" w:fill="auto"/>
                  <w:noWrap w:val="0"/>
                  <w:vAlign w:val="center"/>
                </w:tcPr>
                <w:p w14:paraId="6A6229E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11"/>
                      <w:sz w:val="21"/>
                      <w:szCs w:val="21"/>
                      <w:highlight w:val="none"/>
                      <w:u w:val="none" w:color="auto"/>
                      <w:lang w:val="en-US" w:eastAsia="zh-CN"/>
                    </w:rPr>
                    <w:t>石油类/mg/L</w:t>
                  </w:r>
                </w:p>
              </w:tc>
              <w:tc>
                <w:tcPr>
                  <w:tcW w:w="628" w:type="pct"/>
                  <w:noWrap w:val="0"/>
                  <w:vAlign w:val="center"/>
                </w:tcPr>
                <w:p w14:paraId="4474D19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0.06~0.07</w:t>
                  </w:r>
                </w:p>
              </w:tc>
              <w:tc>
                <w:tcPr>
                  <w:tcW w:w="485" w:type="pct"/>
                  <w:noWrap w:val="0"/>
                  <w:vAlign w:val="center"/>
                </w:tcPr>
                <w:p w14:paraId="77E776E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0.07</w:t>
                  </w:r>
                </w:p>
              </w:tc>
              <w:tc>
                <w:tcPr>
                  <w:tcW w:w="556" w:type="pct"/>
                  <w:noWrap w:val="0"/>
                  <w:vAlign w:val="center"/>
                </w:tcPr>
                <w:p w14:paraId="33142A2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0.14</w:t>
                  </w:r>
                </w:p>
              </w:tc>
              <w:tc>
                <w:tcPr>
                  <w:tcW w:w="530" w:type="pct"/>
                  <w:noWrap w:val="0"/>
                  <w:vAlign w:val="center"/>
                </w:tcPr>
                <w:p w14:paraId="3D2F80D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0.14</w:t>
                  </w:r>
                </w:p>
              </w:tc>
              <w:tc>
                <w:tcPr>
                  <w:tcW w:w="477" w:type="pct"/>
                  <w:noWrap w:val="0"/>
                  <w:vAlign w:val="center"/>
                </w:tcPr>
                <w:p w14:paraId="2376238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0.5</w:t>
                  </w:r>
                </w:p>
              </w:tc>
              <w:tc>
                <w:tcPr>
                  <w:tcW w:w="445" w:type="pct"/>
                  <w:noWrap w:val="0"/>
                  <w:vAlign w:val="center"/>
                </w:tcPr>
                <w:p w14:paraId="63AA2C6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none" w:color="auto"/>
                      <w:lang w:val="en-US" w:eastAsia="zh-CN"/>
                    </w:rPr>
                  </w:pPr>
                  <w:r>
                    <w:rPr>
                      <w:rFonts w:hint="default" w:ascii="Times New Roman" w:hAnsi="Times New Roman" w:eastAsia="宋体" w:cs="Times New Roman"/>
                      <w:b w:val="0"/>
                      <w:bCs w:val="0"/>
                      <w:color w:val="auto"/>
                      <w:spacing w:val="-11"/>
                      <w:sz w:val="21"/>
                      <w:szCs w:val="21"/>
                      <w:highlight w:val="none"/>
                      <w:u w:val="none" w:color="auto"/>
                      <w:lang w:val="en-US" w:eastAsia="zh-CN"/>
                    </w:rPr>
                    <w:t>达标</w:t>
                  </w:r>
                </w:p>
              </w:tc>
            </w:tr>
          </w:tbl>
          <w:p w14:paraId="183CBAA0">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由上表可以看出W1潴泷河排污口上游500m断面五日生化需氧量、悬浮物、总磷、总氮超出《地表水环境质量标准》（GB3838-2002）Ⅳ类标准的要求，最大超标倍数分别为0.57、0.68、0.2、2.22；W2潴泷河排污口断面悬浮物、总氮超出《地表水环境质量标准》（GB3838-2002）Ⅳ类标准的要求，最大超标倍数分别为1.78、2.16；W3潴泷河排污口下游1500m断面悬浮物、总氮超出《地表水环境质量标准》（GB3838-2002）Ⅳ类标准的要求，最大超标倍数分别为0.52、2.27。</w:t>
            </w:r>
          </w:p>
          <w:p w14:paraId="017663D0">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超标原因是沿岸农业面源污染严重，上游及支流来水水质不稳定，内源污染呈 加重趋势，局部河段泥位较深，天然径流匮乏，污净比较高，因此水质情况较差。</w:t>
            </w:r>
          </w:p>
          <w:p w14:paraId="48C691BB">
            <w:pPr>
              <w:pStyle w:val="11"/>
              <w:keepNext w:val="0"/>
              <w:keepLines w:val="0"/>
              <w:pageBreakBefore w:val="0"/>
              <w:widowControl w:val="0"/>
              <w:kinsoku/>
              <w:wordWrap/>
              <w:overflowPunct/>
              <w:topLinePunct w:val="0"/>
              <w:autoSpaceDE w:val="0"/>
              <w:autoSpaceDN w:val="0"/>
              <w:bidi w:val="0"/>
              <w:adjustRightInd w:val="0"/>
              <w:snapToGrid w:val="0"/>
              <w:spacing w:before="0" w:line="520" w:lineRule="exact"/>
              <w:ind w:left="0" w:leftChars="0" w:firstLine="480" w:firstLineChars="200"/>
              <w:jc w:val="both"/>
              <w:textAlignment w:val="baseline"/>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根据《濮阳市2025年碧水保卫战实施方案》（濮环委办〔202</w:t>
            </w:r>
            <w:r>
              <w:rPr>
                <w:rFonts w:hint="default"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号）文件要求，“推动构建上下游贯通一体的生态环境治理体系；持续强化重点领域治理能力综合提升；不断提升环境监督管理能力水平。”通过一系列综合整治工程，将有效改善马颊河水质。</w:t>
            </w:r>
          </w:p>
          <w:p w14:paraId="22446454">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both"/>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声环境质量现状</w:t>
            </w:r>
          </w:p>
          <w:p w14:paraId="043D461B">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根据本项目所在区域环境特征，本项目所在区域为声环境3类功能区，声环境质量执行《声环境质量标准》（GB3096-2008）3类标准（昼间≤65dB（A））。根据《建设项目环境影响报告表编制技术指南》（污染影响类）要求，厂界外周边50米范围内存在声环境保护目标的建设项目，应监测保护目标声环境质量现状并评价达标情况。</w:t>
            </w:r>
          </w:p>
          <w:p w14:paraId="5F5087CF">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color w:val="auto"/>
                <w:sz w:val="24"/>
                <w:highlight w:val="none"/>
                <w:lang w:eastAsia="zh-CN"/>
              </w:rPr>
              <w:t>本项目厂界外周边50米范围内不存在声环境保护目标的建设项目，故无需监测。</w:t>
            </w:r>
          </w:p>
          <w:p w14:paraId="11F50E69">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both"/>
              <w:textAlignment w:val="auto"/>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szCs w:val="32"/>
                <w:highlight w:val="none"/>
                <w:lang w:val="en-US" w:eastAsia="zh-CN"/>
              </w:rPr>
              <w:t>4、</w:t>
            </w:r>
            <w:r>
              <w:rPr>
                <w:rFonts w:hint="default" w:ascii="Times New Roman" w:hAnsi="Times New Roman" w:eastAsia="宋体" w:cs="Times New Roman"/>
                <w:b/>
                <w:bCs/>
                <w:color w:val="auto"/>
                <w:sz w:val="24"/>
                <w:highlight w:val="none"/>
                <w:lang w:eastAsia="zh-CN"/>
              </w:rPr>
              <w:t>生态环境质量现状</w:t>
            </w:r>
          </w:p>
          <w:p w14:paraId="283E0D15">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根据《建设项目环境影响报告表编制技术指南》（污染影响类）（试行），产业园区外建设项目新增用地且用地范围内含有生态环境保护目标时，应进行生态现状调查。</w:t>
            </w:r>
          </w:p>
          <w:p w14:paraId="2AC92A64">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sz w:val="24"/>
                <w:highlight w:val="none"/>
                <w:lang w:eastAsia="zh-CN"/>
              </w:rPr>
              <w:t>本项目位于清丰县产业集聚区内，因此无需进行生态现状调查。</w:t>
            </w:r>
          </w:p>
          <w:p w14:paraId="2C4FE3C3">
            <w:pPr>
              <w:numPr>
                <w:ilvl w:val="0"/>
                <w:numId w:val="0"/>
              </w:numPr>
              <w:adjustRightInd w:val="0"/>
              <w:snapToGrid w:val="0"/>
              <w:spacing w:line="520" w:lineRule="exact"/>
              <w:jc w:val="both"/>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5、地下水</w:t>
            </w:r>
            <w:r>
              <w:rPr>
                <w:rFonts w:hint="default" w:ascii="Times New Roman" w:hAnsi="Times New Roman" w:cs="Times New Roman"/>
                <w:b/>
                <w:bCs/>
                <w:color w:val="auto"/>
                <w:sz w:val="24"/>
                <w:highlight w:val="none"/>
                <w:lang w:val="en-US" w:eastAsia="zh-CN"/>
              </w:rPr>
              <w:t>、土壤</w:t>
            </w:r>
            <w:r>
              <w:rPr>
                <w:rFonts w:hint="default" w:ascii="Times New Roman" w:hAnsi="Times New Roman" w:eastAsia="宋体" w:cs="Times New Roman"/>
                <w:b/>
                <w:bCs/>
                <w:color w:val="auto"/>
                <w:sz w:val="24"/>
                <w:highlight w:val="none"/>
                <w:lang w:val="en-US" w:eastAsia="zh-CN"/>
              </w:rPr>
              <w:t>环境质量现状</w:t>
            </w:r>
          </w:p>
          <w:p w14:paraId="2FD96C75">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sz w:val="24"/>
                <w:highlight w:val="none"/>
                <w:u w:val="single" w:color="auto"/>
                <w:lang w:eastAsia="zh-CN"/>
              </w:rPr>
            </w:pPr>
            <w:r>
              <w:rPr>
                <w:rFonts w:hint="default" w:ascii="Times New Roman" w:hAnsi="Times New Roman" w:eastAsia="宋体" w:cs="Times New Roman"/>
                <w:color w:val="auto"/>
                <w:sz w:val="24"/>
                <w:highlight w:val="none"/>
                <w:u w:val="single" w:color="auto"/>
                <w:lang w:eastAsia="zh-CN"/>
              </w:rPr>
              <w:t>根据《建设项目环境影响报告表编制技术指南》（污染影响类）（试行）可知“地下水、土壤环境原则上不开展环境质量现状调查。建设项目存在土壤、地下水环境污染途径的，应结合污染源、保护目标分布情况开展现状调查以留作背景值。”</w:t>
            </w:r>
          </w:p>
          <w:p w14:paraId="0B04A022">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sz w:val="24"/>
                <w:highlight w:val="none"/>
                <w:u w:val="single" w:color="auto"/>
                <w:lang w:eastAsia="zh-CN"/>
              </w:rPr>
            </w:pPr>
            <w:r>
              <w:rPr>
                <w:rFonts w:hint="default" w:ascii="Times New Roman" w:hAnsi="Times New Roman" w:eastAsia="宋体" w:cs="Times New Roman"/>
                <w:color w:val="auto"/>
                <w:sz w:val="24"/>
                <w:highlight w:val="none"/>
                <w:u w:val="single" w:color="auto"/>
                <w:lang w:eastAsia="zh-CN"/>
              </w:rPr>
              <w:t>本项目运营期废气主要为颗粒物、非甲烷总烃，废水主要为职工生活污水经化粪池处理后排入清丰中州水务有限公司第二污水处理厂（原清丰县姚庄污水处理厂），无持久性有机物和重金属。本项目建成后厂区地面进行硬化，且按照标准要求进行分区防渗，厂区内无裸露地面，正常工况下无泄漏风险、事故工况下风险可控，基本不存在土壤、地下水环境污染途径。按照指南本项目地下水、土壤环境无需开展环境监测。</w:t>
            </w:r>
          </w:p>
          <w:p w14:paraId="09FFD964">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sz w:val="24"/>
                <w:highlight w:val="none"/>
                <w:u w:val="single" w:color="auto"/>
                <w:lang w:eastAsia="zh-CN"/>
              </w:rPr>
            </w:pPr>
            <w:r>
              <w:rPr>
                <w:rFonts w:hint="default" w:ascii="Times New Roman" w:hAnsi="Times New Roman" w:eastAsia="宋体" w:cs="Times New Roman"/>
                <w:color w:val="auto"/>
                <w:sz w:val="24"/>
                <w:highlight w:val="none"/>
                <w:u w:val="single" w:color="auto"/>
                <w:lang w:eastAsia="zh-CN"/>
              </w:rPr>
              <w:t>为了了解区域地下水、土壤环境现状，本次对区域内地下水、土壤进行监测调查，留作背景值。</w:t>
            </w:r>
            <w:r>
              <w:rPr>
                <w:rFonts w:hint="eastAsia" w:cs="Times New Roman"/>
                <w:color w:val="auto"/>
                <w:sz w:val="24"/>
                <w:highlight w:val="none"/>
                <w:u w:val="single" w:color="auto"/>
                <w:lang w:val="en-US" w:eastAsia="zh-CN"/>
              </w:rPr>
              <w:t>本次评价引用</w:t>
            </w:r>
            <w:r>
              <w:rPr>
                <w:rFonts w:hint="default" w:ascii="Times New Roman" w:hAnsi="Times New Roman" w:eastAsia="宋体" w:cs="Times New Roman"/>
                <w:color w:val="auto"/>
                <w:sz w:val="24"/>
                <w:highlight w:val="none"/>
                <w:u w:val="single" w:color="auto"/>
                <w:lang w:eastAsia="zh-CN"/>
              </w:rPr>
              <w:t>河南中玖环保科技有限公司</w:t>
            </w:r>
            <w:r>
              <w:rPr>
                <w:rFonts w:hint="eastAsia" w:cs="Times New Roman"/>
                <w:color w:val="auto"/>
                <w:sz w:val="24"/>
                <w:highlight w:val="none"/>
                <w:u w:val="single" w:color="auto"/>
                <w:lang w:val="en-US" w:eastAsia="zh-CN"/>
              </w:rPr>
              <w:t>于</w:t>
            </w:r>
            <w:r>
              <w:rPr>
                <w:rFonts w:hint="default" w:ascii="Times New Roman" w:hAnsi="Times New Roman" w:eastAsia="宋体" w:cs="Times New Roman"/>
                <w:color w:val="auto"/>
                <w:sz w:val="24"/>
                <w:highlight w:val="none"/>
                <w:u w:val="single" w:color="auto"/>
                <w:lang w:eastAsia="zh-CN"/>
              </w:rPr>
              <w:t>2025年6月24日出具的河南腾龙装备科技有限公司厂区水井检测数据及河南瑞安特环境技术有限公司</w:t>
            </w:r>
            <w:r>
              <w:rPr>
                <w:rFonts w:hint="eastAsia" w:cs="Times New Roman"/>
                <w:color w:val="auto"/>
                <w:sz w:val="24"/>
                <w:highlight w:val="none"/>
                <w:u w:val="single" w:color="auto"/>
                <w:lang w:val="en-US" w:eastAsia="zh-CN"/>
              </w:rPr>
              <w:t>于</w:t>
            </w:r>
            <w:r>
              <w:rPr>
                <w:rFonts w:hint="default" w:ascii="Times New Roman" w:hAnsi="Times New Roman" w:eastAsia="宋体" w:cs="Times New Roman"/>
                <w:color w:val="auto"/>
                <w:sz w:val="24"/>
                <w:highlight w:val="none"/>
                <w:u w:val="single" w:color="auto"/>
                <w:lang w:eastAsia="zh-CN"/>
              </w:rPr>
              <w:t>2025年7月9日出具的河南腾龙装备科技有限公司厂区空地土壤检测数据分析区域地下水、土壤环境现状，详见下表。</w:t>
            </w:r>
          </w:p>
          <w:p w14:paraId="4FC42EC2">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jc w:val="center"/>
              <w:textAlignment w:val="auto"/>
              <w:outlineLvl w:val="9"/>
              <w:rPr>
                <w:rFonts w:hint="default" w:ascii="Times New Roman" w:hAnsi="Times New Roman" w:eastAsia="宋体" w:cs="Times New Roman"/>
                <w:b w:val="0"/>
                <w:bCs/>
                <w:color w:val="auto"/>
                <w:sz w:val="21"/>
                <w:szCs w:val="21"/>
                <w:highlight w:val="none"/>
                <w:u w:val="single" w:color="auto"/>
                <w:lang w:val="en-US" w:eastAsia="zh-CN"/>
              </w:rPr>
            </w:pPr>
            <w:r>
              <w:rPr>
                <w:rFonts w:hint="eastAsia" w:cs="Times New Roman"/>
                <w:b w:val="0"/>
                <w:bCs/>
                <w:color w:val="auto"/>
                <w:sz w:val="21"/>
                <w:szCs w:val="21"/>
                <w:highlight w:val="none"/>
                <w:u w:val="single" w:color="auto"/>
                <w:lang w:val="en-US" w:eastAsia="zh-CN"/>
              </w:rPr>
              <w:t xml:space="preserve">表3-7   </w:t>
            </w:r>
            <w:r>
              <w:rPr>
                <w:rFonts w:hint="eastAsia" w:ascii="Times New Roman" w:hAnsi="Times New Roman" w:eastAsia="宋体" w:cs="Times New Roman"/>
                <w:b w:val="0"/>
                <w:bCs/>
                <w:color w:val="auto"/>
                <w:sz w:val="21"/>
                <w:szCs w:val="21"/>
                <w:highlight w:val="none"/>
                <w:u w:val="single" w:color="auto"/>
                <w:lang w:val="en-US" w:eastAsia="zh-CN"/>
              </w:rPr>
              <w:t>地下水检测内容</w:t>
            </w:r>
            <w:r>
              <w:rPr>
                <w:rFonts w:hint="default" w:ascii="Times New Roman" w:hAnsi="Times New Roman" w:eastAsia="宋体" w:cs="Times New Roman"/>
                <w:b w:val="0"/>
                <w:bCs/>
                <w:color w:val="auto"/>
                <w:sz w:val="21"/>
                <w:szCs w:val="21"/>
                <w:highlight w:val="none"/>
                <w:u w:val="single" w:color="auto"/>
                <w:lang w:val="en-US" w:eastAsia="zh-CN"/>
              </w:rPr>
              <w:t>一览表</w:t>
            </w: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444"/>
              <w:gridCol w:w="2009"/>
              <w:gridCol w:w="1554"/>
              <w:gridCol w:w="1554"/>
            </w:tblGrid>
            <w:tr w14:paraId="515C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noWrap w:val="0"/>
                  <w:vAlign w:val="center"/>
                </w:tcPr>
                <w:p w14:paraId="4E7E48B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bookmarkStart w:id="20" w:name="OLE_LINK6" w:colFirst="0" w:colLast="4"/>
                  <w:r>
                    <w:rPr>
                      <w:rFonts w:hint="eastAsia" w:ascii="Times New Roman" w:hAnsi="Times New Roman" w:eastAsia="宋体" w:cs="Times New Roman"/>
                      <w:b w:val="0"/>
                      <w:bCs w:val="0"/>
                      <w:color w:val="auto"/>
                      <w:spacing w:val="-11"/>
                      <w:sz w:val="21"/>
                      <w:szCs w:val="21"/>
                      <w:highlight w:val="none"/>
                      <w:u w:val="single" w:color="auto"/>
                      <w:lang w:val="en-US" w:eastAsia="zh-CN"/>
                    </w:rPr>
                    <w:t>检测日期</w:t>
                  </w:r>
                </w:p>
              </w:tc>
              <w:tc>
                <w:tcPr>
                  <w:tcW w:w="929" w:type="pct"/>
                  <w:noWrap w:val="0"/>
                  <w:vAlign w:val="center"/>
                </w:tcPr>
                <w:p w14:paraId="4C0271B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检测点位</w:t>
                  </w:r>
                </w:p>
              </w:tc>
              <w:tc>
                <w:tcPr>
                  <w:tcW w:w="1293" w:type="pct"/>
                  <w:noWrap w:val="0"/>
                  <w:vAlign w:val="center"/>
                </w:tcPr>
                <w:p w14:paraId="1C387C4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检测因子</w:t>
                  </w:r>
                </w:p>
              </w:tc>
              <w:tc>
                <w:tcPr>
                  <w:tcW w:w="1000" w:type="pct"/>
                  <w:noWrap w:val="0"/>
                  <w:vAlign w:val="center"/>
                </w:tcPr>
                <w:p w14:paraId="3599D05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检测值</w:t>
                  </w:r>
                </w:p>
              </w:tc>
              <w:tc>
                <w:tcPr>
                  <w:tcW w:w="1000" w:type="pct"/>
                  <w:noWrap w:val="0"/>
                  <w:vAlign w:val="center"/>
                </w:tcPr>
                <w:p w14:paraId="0BBF704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标准值（III类水质标准）</w:t>
                  </w:r>
                </w:p>
              </w:tc>
            </w:tr>
            <w:bookmarkEnd w:id="20"/>
            <w:tr w14:paraId="284C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restart"/>
                  <w:noWrap w:val="0"/>
                  <w:vAlign w:val="center"/>
                </w:tcPr>
                <w:p w14:paraId="3F80095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2025.06.24</w:t>
                  </w:r>
                </w:p>
              </w:tc>
              <w:tc>
                <w:tcPr>
                  <w:tcW w:w="929" w:type="pct"/>
                  <w:vMerge w:val="restart"/>
                  <w:noWrap w:val="0"/>
                  <w:vAlign w:val="center"/>
                </w:tcPr>
                <w:p w14:paraId="2FE27F1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厂区水井</w:t>
                  </w:r>
                </w:p>
              </w:tc>
              <w:tc>
                <w:tcPr>
                  <w:tcW w:w="1293" w:type="pct"/>
                  <w:noWrap w:val="0"/>
                  <w:vAlign w:val="center"/>
                </w:tcPr>
                <w:p w14:paraId="3780642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pH</w:t>
                  </w:r>
                </w:p>
              </w:tc>
              <w:tc>
                <w:tcPr>
                  <w:tcW w:w="1000" w:type="pct"/>
                  <w:noWrap w:val="0"/>
                  <w:vAlign w:val="center"/>
                </w:tcPr>
                <w:p w14:paraId="5A33E87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7.3无量纲</w:t>
                  </w:r>
                </w:p>
              </w:tc>
              <w:tc>
                <w:tcPr>
                  <w:tcW w:w="1000" w:type="pct"/>
                  <w:noWrap w:val="0"/>
                  <w:vAlign w:val="center"/>
                </w:tcPr>
                <w:p w14:paraId="0DE36D7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6.5~8.5无量纲</w:t>
                  </w:r>
                </w:p>
              </w:tc>
            </w:tr>
            <w:tr w14:paraId="2F85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62C0992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0D7E47A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0B7F8D1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铅</w:t>
                  </w:r>
                </w:p>
              </w:tc>
              <w:tc>
                <w:tcPr>
                  <w:tcW w:w="1000" w:type="pct"/>
                  <w:noWrap w:val="0"/>
                  <w:vAlign w:val="center"/>
                </w:tcPr>
                <w:p w14:paraId="7E86BA4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未检出</w:t>
                  </w:r>
                </w:p>
              </w:tc>
              <w:tc>
                <w:tcPr>
                  <w:tcW w:w="1000" w:type="pct"/>
                  <w:noWrap w:val="0"/>
                  <w:vAlign w:val="center"/>
                </w:tcPr>
                <w:p w14:paraId="58B2CAD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0.01mg/L</w:t>
                  </w:r>
                </w:p>
              </w:tc>
            </w:tr>
            <w:tr w14:paraId="21425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3F31824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3B6DBE6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10AFDEE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镉</w:t>
                  </w:r>
                </w:p>
              </w:tc>
              <w:tc>
                <w:tcPr>
                  <w:tcW w:w="1000" w:type="pct"/>
                  <w:noWrap w:val="0"/>
                  <w:vAlign w:val="center"/>
                </w:tcPr>
                <w:p w14:paraId="6B7E9A1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未检出</w:t>
                  </w:r>
                </w:p>
              </w:tc>
              <w:tc>
                <w:tcPr>
                  <w:tcW w:w="1000" w:type="pct"/>
                  <w:noWrap w:val="0"/>
                  <w:vAlign w:val="center"/>
                </w:tcPr>
                <w:p w14:paraId="4944F8E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0.005mg/L</w:t>
                  </w:r>
                </w:p>
              </w:tc>
            </w:tr>
            <w:tr w14:paraId="3E55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46FF188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630DBCF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1A9145B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铁</w:t>
                  </w:r>
                </w:p>
              </w:tc>
              <w:tc>
                <w:tcPr>
                  <w:tcW w:w="1000" w:type="pct"/>
                  <w:noWrap w:val="0"/>
                  <w:vAlign w:val="center"/>
                </w:tcPr>
                <w:p w14:paraId="0BEF01D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未检出</w:t>
                  </w:r>
                </w:p>
              </w:tc>
              <w:tc>
                <w:tcPr>
                  <w:tcW w:w="1000" w:type="pct"/>
                  <w:noWrap w:val="0"/>
                  <w:vAlign w:val="center"/>
                </w:tcPr>
                <w:p w14:paraId="238EB6E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0.3mg/L</w:t>
                  </w:r>
                </w:p>
              </w:tc>
            </w:tr>
            <w:tr w14:paraId="6408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429A2C5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2ED3AF1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2C85B13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锰</w:t>
                  </w:r>
                </w:p>
              </w:tc>
              <w:tc>
                <w:tcPr>
                  <w:tcW w:w="1000" w:type="pct"/>
                  <w:noWrap w:val="0"/>
                  <w:vAlign w:val="center"/>
                </w:tcPr>
                <w:p w14:paraId="4A6B983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未检出</w:t>
                  </w:r>
                </w:p>
              </w:tc>
              <w:tc>
                <w:tcPr>
                  <w:tcW w:w="1000" w:type="pct"/>
                  <w:noWrap w:val="0"/>
                  <w:vAlign w:val="center"/>
                </w:tcPr>
                <w:p w14:paraId="0C016C4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0.1mg/L</w:t>
                  </w:r>
                </w:p>
              </w:tc>
            </w:tr>
            <w:tr w14:paraId="601F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7425905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0C2FDE1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73638B1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汞</w:t>
                  </w:r>
                </w:p>
              </w:tc>
              <w:tc>
                <w:tcPr>
                  <w:tcW w:w="1000" w:type="pct"/>
                  <w:noWrap w:val="0"/>
                  <w:vAlign w:val="center"/>
                </w:tcPr>
                <w:p w14:paraId="4A2D509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未检出</w:t>
                  </w:r>
                </w:p>
              </w:tc>
              <w:tc>
                <w:tcPr>
                  <w:tcW w:w="1000" w:type="pct"/>
                  <w:noWrap w:val="0"/>
                  <w:vAlign w:val="center"/>
                </w:tcPr>
                <w:p w14:paraId="6193D1B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0.001mg/L</w:t>
                  </w:r>
                </w:p>
              </w:tc>
            </w:tr>
            <w:tr w14:paraId="41CD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6DCBC60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711B0BE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62D93A3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砷</w:t>
                  </w:r>
                </w:p>
              </w:tc>
              <w:tc>
                <w:tcPr>
                  <w:tcW w:w="1000" w:type="pct"/>
                  <w:noWrap w:val="0"/>
                  <w:vAlign w:val="center"/>
                </w:tcPr>
                <w:p w14:paraId="36DD18D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未检出</w:t>
                  </w:r>
                </w:p>
              </w:tc>
              <w:tc>
                <w:tcPr>
                  <w:tcW w:w="1000" w:type="pct"/>
                  <w:noWrap w:val="0"/>
                  <w:vAlign w:val="center"/>
                </w:tcPr>
                <w:p w14:paraId="4C88AB7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0.01mg/L</w:t>
                  </w:r>
                </w:p>
              </w:tc>
            </w:tr>
            <w:tr w14:paraId="3096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59920EB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65ADC45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545D2A6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石油类</w:t>
                  </w:r>
                </w:p>
              </w:tc>
              <w:tc>
                <w:tcPr>
                  <w:tcW w:w="1000" w:type="pct"/>
                  <w:noWrap w:val="0"/>
                  <w:vAlign w:val="center"/>
                </w:tcPr>
                <w:p w14:paraId="62E00BC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未检出</w:t>
                  </w:r>
                </w:p>
              </w:tc>
              <w:tc>
                <w:tcPr>
                  <w:tcW w:w="1000" w:type="pct"/>
                  <w:noWrap w:val="0"/>
                  <w:vAlign w:val="center"/>
                </w:tcPr>
                <w:p w14:paraId="3F322DC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0.05mg/L</w:t>
                  </w:r>
                </w:p>
              </w:tc>
            </w:tr>
            <w:tr w14:paraId="5849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6" w:type="pct"/>
                  <w:vMerge w:val="continue"/>
                  <w:noWrap w:val="0"/>
                  <w:vAlign w:val="center"/>
                </w:tcPr>
                <w:p w14:paraId="2996049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4423F9A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7E9AAD4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亚硝酸盐</w:t>
                  </w:r>
                </w:p>
              </w:tc>
              <w:tc>
                <w:tcPr>
                  <w:tcW w:w="1000" w:type="pct"/>
                  <w:noWrap w:val="0"/>
                  <w:vAlign w:val="center"/>
                </w:tcPr>
                <w:p w14:paraId="2B4EEC0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未检出</w:t>
                  </w:r>
                </w:p>
              </w:tc>
              <w:tc>
                <w:tcPr>
                  <w:tcW w:w="1000" w:type="pct"/>
                  <w:noWrap w:val="0"/>
                  <w:vAlign w:val="center"/>
                </w:tcPr>
                <w:p w14:paraId="7BD9E74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1.0mg/L</w:t>
                  </w:r>
                </w:p>
              </w:tc>
            </w:tr>
            <w:tr w14:paraId="51F8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776" w:type="pct"/>
                  <w:vMerge w:val="continue"/>
                  <w:noWrap w:val="0"/>
                  <w:vAlign w:val="center"/>
                </w:tcPr>
                <w:p w14:paraId="1AD45DC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43EE03F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2739661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硝酸盐</w:t>
                  </w:r>
                </w:p>
              </w:tc>
              <w:tc>
                <w:tcPr>
                  <w:tcW w:w="1000" w:type="pct"/>
                  <w:noWrap w:val="0"/>
                  <w:vAlign w:val="center"/>
                </w:tcPr>
                <w:p w14:paraId="495FFDA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4.22mg/L</w:t>
                  </w:r>
                </w:p>
              </w:tc>
              <w:tc>
                <w:tcPr>
                  <w:tcW w:w="1000" w:type="pct"/>
                  <w:noWrap w:val="0"/>
                  <w:vAlign w:val="center"/>
                </w:tcPr>
                <w:p w14:paraId="7B215C9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20.0mg/L</w:t>
                  </w:r>
                </w:p>
              </w:tc>
            </w:tr>
            <w:tr w14:paraId="283D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38F9030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0E271C7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6BF3BCD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铬（六价）</w:t>
                  </w:r>
                </w:p>
              </w:tc>
              <w:tc>
                <w:tcPr>
                  <w:tcW w:w="1000" w:type="pct"/>
                  <w:noWrap w:val="0"/>
                  <w:vAlign w:val="center"/>
                </w:tcPr>
                <w:p w14:paraId="356ABF3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0.014</w:t>
                  </w:r>
                </w:p>
              </w:tc>
              <w:tc>
                <w:tcPr>
                  <w:tcW w:w="1000" w:type="pct"/>
                  <w:noWrap w:val="0"/>
                  <w:vAlign w:val="center"/>
                </w:tcPr>
                <w:p w14:paraId="13D2180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0.05mg/L</w:t>
                  </w:r>
                </w:p>
              </w:tc>
            </w:tr>
            <w:tr w14:paraId="6322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58C148E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50D4C3A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282272E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挥发酚</w:t>
                  </w:r>
                </w:p>
              </w:tc>
              <w:tc>
                <w:tcPr>
                  <w:tcW w:w="1000" w:type="pct"/>
                  <w:noWrap w:val="0"/>
                  <w:vAlign w:val="center"/>
                </w:tcPr>
                <w:p w14:paraId="333EF2B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0.0007</w:t>
                  </w:r>
                </w:p>
              </w:tc>
              <w:tc>
                <w:tcPr>
                  <w:tcW w:w="1000" w:type="pct"/>
                  <w:noWrap w:val="0"/>
                  <w:vAlign w:val="center"/>
                </w:tcPr>
                <w:p w14:paraId="1C0BC6C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0.002mg/L</w:t>
                  </w:r>
                </w:p>
              </w:tc>
            </w:tr>
            <w:tr w14:paraId="6721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050CB80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0D19838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44C1494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总大肠菌群数</w:t>
                  </w:r>
                </w:p>
              </w:tc>
              <w:tc>
                <w:tcPr>
                  <w:tcW w:w="1000" w:type="pct"/>
                  <w:noWrap w:val="0"/>
                  <w:vAlign w:val="center"/>
                </w:tcPr>
                <w:p w14:paraId="06B1C6C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未检出</w:t>
                  </w:r>
                </w:p>
              </w:tc>
              <w:tc>
                <w:tcPr>
                  <w:tcW w:w="1000" w:type="pct"/>
                  <w:tcBorders>
                    <w:bottom w:val="single" w:color="auto" w:sz="4" w:space="0"/>
                  </w:tcBorders>
                  <w:noWrap w:val="0"/>
                  <w:vAlign w:val="center"/>
                </w:tcPr>
                <w:p w14:paraId="4F12A40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3.0CFU/100mL</w:t>
                  </w:r>
                </w:p>
              </w:tc>
            </w:tr>
            <w:tr w14:paraId="7015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7C1C33F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36D1494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10D6F66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细菌总数</w:t>
                  </w:r>
                </w:p>
              </w:tc>
              <w:tc>
                <w:tcPr>
                  <w:tcW w:w="1000" w:type="pct"/>
                  <w:tcBorders>
                    <w:right w:val="single" w:color="auto" w:sz="4" w:space="0"/>
                  </w:tcBorders>
                  <w:noWrap w:val="0"/>
                  <w:vAlign w:val="center"/>
                </w:tcPr>
                <w:p w14:paraId="329D062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82CFU/mL</w:t>
                  </w:r>
                </w:p>
              </w:tc>
              <w:tc>
                <w:tcPr>
                  <w:tcW w:w="1000" w:type="pct"/>
                  <w:tcBorders>
                    <w:top w:val="single" w:color="auto" w:sz="4" w:space="0"/>
                    <w:left w:val="single" w:color="auto" w:sz="4" w:space="0"/>
                    <w:right w:val="single" w:color="auto" w:sz="4" w:space="0"/>
                  </w:tcBorders>
                  <w:noWrap w:val="0"/>
                  <w:vAlign w:val="center"/>
                </w:tcPr>
                <w:p w14:paraId="59DF9BF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100CFU/mL</w:t>
                  </w:r>
                </w:p>
              </w:tc>
            </w:tr>
            <w:tr w14:paraId="0A82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7715766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25A6A4E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3957159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氨氮</w:t>
                  </w:r>
                </w:p>
              </w:tc>
              <w:tc>
                <w:tcPr>
                  <w:tcW w:w="1000" w:type="pct"/>
                  <w:tcBorders>
                    <w:right w:val="single" w:color="auto" w:sz="4" w:space="0"/>
                  </w:tcBorders>
                  <w:noWrap w:val="0"/>
                  <w:vAlign w:val="center"/>
                </w:tcPr>
                <w:p w14:paraId="21DD047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0.375mg/L</w:t>
                  </w:r>
                </w:p>
              </w:tc>
              <w:tc>
                <w:tcPr>
                  <w:tcW w:w="1000" w:type="pct"/>
                  <w:tcBorders>
                    <w:left w:val="single" w:color="auto" w:sz="4" w:space="0"/>
                    <w:right w:val="single" w:color="auto" w:sz="4" w:space="0"/>
                  </w:tcBorders>
                  <w:noWrap w:val="0"/>
                  <w:vAlign w:val="center"/>
                </w:tcPr>
                <w:p w14:paraId="310E1E8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0.5mg/L</w:t>
                  </w:r>
                </w:p>
              </w:tc>
            </w:tr>
            <w:tr w14:paraId="4EB3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1A10E14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4E76CCF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77F9E6E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总硬度</w:t>
                  </w:r>
                </w:p>
              </w:tc>
              <w:tc>
                <w:tcPr>
                  <w:tcW w:w="1000" w:type="pct"/>
                  <w:tcBorders>
                    <w:right w:val="single" w:color="auto" w:sz="4" w:space="0"/>
                  </w:tcBorders>
                  <w:noWrap w:val="0"/>
                  <w:vAlign w:val="center"/>
                </w:tcPr>
                <w:p w14:paraId="43DB198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350mg/L</w:t>
                  </w:r>
                </w:p>
              </w:tc>
              <w:tc>
                <w:tcPr>
                  <w:tcW w:w="1000" w:type="pct"/>
                  <w:tcBorders>
                    <w:left w:val="single" w:color="auto" w:sz="4" w:space="0"/>
                    <w:right w:val="single" w:color="auto" w:sz="4" w:space="0"/>
                  </w:tcBorders>
                  <w:noWrap w:val="0"/>
                  <w:vAlign w:val="center"/>
                </w:tcPr>
                <w:p w14:paraId="1C55CA8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450mg/L</w:t>
                  </w:r>
                </w:p>
              </w:tc>
            </w:tr>
            <w:tr w14:paraId="75AD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7967B67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3D200BF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75C53B0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F</w:t>
                  </w:r>
                  <w:r>
                    <w:rPr>
                      <w:rFonts w:hint="eastAsia" w:ascii="Times New Roman" w:hAnsi="Times New Roman" w:eastAsia="宋体" w:cs="Times New Roman"/>
                      <w:b w:val="0"/>
                      <w:bCs w:val="0"/>
                      <w:color w:val="auto"/>
                      <w:spacing w:val="-11"/>
                      <w:sz w:val="21"/>
                      <w:szCs w:val="21"/>
                      <w:highlight w:val="none"/>
                      <w:u w:val="single" w:color="auto"/>
                      <w:vertAlign w:val="superscript"/>
                      <w:lang w:val="en-US" w:eastAsia="zh-CN"/>
                    </w:rPr>
                    <w:t>-</w:t>
                  </w:r>
                </w:p>
              </w:tc>
              <w:tc>
                <w:tcPr>
                  <w:tcW w:w="1000" w:type="pct"/>
                  <w:tcBorders>
                    <w:right w:val="single" w:color="auto" w:sz="4" w:space="0"/>
                  </w:tcBorders>
                  <w:noWrap w:val="0"/>
                  <w:vAlign w:val="center"/>
                </w:tcPr>
                <w:p w14:paraId="1B26E84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0.679mg/L</w:t>
                  </w:r>
                </w:p>
              </w:tc>
              <w:tc>
                <w:tcPr>
                  <w:tcW w:w="1000" w:type="pct"/>
                  <w:tcBorders>
                    <w:left w:val="single" w:color="auto" w:sz="4" w:space="0"/>
                    <w:right w:val="single" w:color="auto" w:sz="4" w:space="0"/>
                  </w:tcBorders>
                  <w:noWrap w:val="0"/>
                  <w:vAlign w:val="center"/>
                </w:tcPr>
                <w:p w14:paraId="35F553A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1.0mg/L</w:t>
                  </w:r>
                </w:p>
              </w:tc>
            </w:tr>
            <w:tr w14:paraId="4CE4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13DBB2A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52E4CE7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5BA73EA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Cl</w:t>
                  </w:r>
                  <w:r>
                    <w:rPr>
                      <w:rFonts w:hint="eastAsia" w:ascii="Times New Roman" w:hAnsi="Times New Roman" w:eastAsia="宋体" w:cs="Times New Roman"/>
                      <w:b w:val="0"/>
                      <w:bCs w:val="0"/>
                      <w:color w:val="auto"/>
                      <w:spacing w:val="-11"/>
                      <w:sz w:val="21"/>
                      <w:szCs w:val="21"/>
                      <w:highlight w:val="none"/>
                      <w:u w:val="single" w:color="auto"/>
                      <w:vertAlign w:val="superscript"/>
                      <w:lang w:val="en-US" w:eastAsia="zh-CN"/>
                    </w:rPr>
                    <w:t>-</w:t>
                  </w:r>
                </w:p>
              </w:tc>
              <w:tc>
                <w:tcPr>
                  <w:tcW w:w="1000" w:type="pct"/>
                  <w:tcBorders>
                    <w:right w:val="single" w:color="auto" w:sz="4" w:space="0"/>
                  </w:tcBorders>
                  <w:noWrap w:val="0"/>
                  <w:vAlign w:val="center"/>
                </w:tcPr>
                <w:p w14:paraId="0129414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70.2mg/L</w:t>
                  </w:r>
                </w:p>
              </w:tc>
              <w:tc>
                <w:tcPr>
                  <w:tcW w:w="1000" w:type="pct"/>
                  <w:tcBorders>
                    <w:left w:val="single" w:color="auto" w:sz="4" w:space="0"/>
                    <w:bottom w:val="single" w:color="auto" w:sz="4" w:space="0"/>
                    <w:right w:val="single" w:color="auto" w:sz="4" w:space="0"/>
                  </w:tcBorders>
                  <w:noWrap w:val="0"/>
                  <w:vAlign w:val="center"/>
                </w:tcPr>
                <w:p w14:paraId="65E1F1D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w:t>
                  </w:r>
                </w:p>
              </w:tc>
            </w:tr>
            <w:tr w14:paraId="0EF2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5502E0F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5D0F299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00B4909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SO</w:t>
                  </w:r>
                  <w:r>
                    <w:rPr>
                      <w:rFonts w:hint="eastAsia" w:ascii="Times New Roman" w:hAnsi="Times New Roman" w:eastAsia="宋体" w:cs="Times New Roman"/>
                      <w:b w:val="0"/>
                      <w:bCs w:val="0"/>
                      <w:color w:val="auto"/>
                      <w:spacing w:val="-11"/>
                      <w:sz w:val="21"/>
                      <w:szCs w:val="21"/>
                      <w:highlight w:val="none"/>
                      <w:u w:val="single" w:color="auto"/>
                      <w:vertAlign w:val="subscript"/>
                      <w:lang w:val="en-US" w:eastAsia="zh-CN"/>
                    </w:rPr>
                    <w:t>4</w:t>
                  </w:r>
                  <w:r>
                    <w:rPr>
                      <w:rFonts w:hint="eastAsia" w:ascii="Times New Roman" w:hAnsi="Times New Roman" w:eastAsia="宋体" w:cs="Times New Roman"/>
                      <w:b w:val="0"/>
                      <w:bCs w:val="0"/>
                      <w:color w:val="auto"/>
                      <w:spacing w:val="-11"/>
                      <w:sz w:val="21"/>
                      <w:szCs w:val="21"/>
                      <w:highlight w:val="none"/>
                      <w:u w:val="single" w:color="auto"/>
                      <w:vertAlign w:val="superscript"/>
                      <w:lang w:val="en-US" w:eastAsia="zh-CN"/>
                    </w:rPr>
                    <w:t>2-</w:t>
                  </w:r>
                </w:p>
              </w:tc>
              <w:tc>
                <w:tcPr>
                  <w:tcW w:w="1000" w:type="pct"/>
                  <w:noWrap w:val="0"/>
                  <w:vAlign w:val="center"/>
                </w:tcPr>
                <w:p w14:paraId="3B98835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54.1mg/L</w:t>
                  </w:r>
                </w:p>
              </w:tc>
              <w:tc>
                <w:tcPr>
                  <w:tcW w:w="1000" w:type="pct"/>
                  <w:tcBorders>
                    <w:top w:val="single" w:color="auto" w:sz="4" w:space="0"/>
                  </w:tcBorders>
                  <w:noWrap w:val="0"/>
                  <w:vAlign w:val="center"/>
                </w:tcPr>
                <w:p w14:paraId="2F9F063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w:t>
                  </w:r>
                </w:p>
              </w:tc>
            </w:tr>
            <w:tr w14:paraId="0074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54D8A0A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55117F0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304178D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硫酸盐</w:t>
                  </w:r>
                </w:p>
              </w:tc>
              <w:tc>
                <w:tcPr>
                  <w:tcW w:w="1000" w:type="pct"/>
                  <w:noWrap w:val="0"/>
                  <w:vAlign w:val="center"/>
                </w:tcPr>
                <w:p w14:paraId="0AF4F4B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56.0mg/L</w:t>
                  </w:r>
                </w:p>
              </w:tc>
              <w:tc>
                <w:tcPr>
                  <w:tcW w:w="1000" w:type="pct"/>
                  <w:noWrap w:val="0"/>
                  <w:vAlign w:val="center"/>
                </w:tcPr>
                <w:p w14:paraId="64E3C93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250mg/L</w:t>
                  </w:r>
                </w:p>
              </w:tc>
            </w:tr>
            <w:tr w14:paraId="6E40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0AAD4C9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317BE02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391E51F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CO</w:t>
                  </w:r>
                  <w:r>
                    <w:rPr>
                      <w:rFonts w:hint="eastAsia" w:ascii="Times New Roman" w:hAnsi="Times New Roman" w:eastAsia="宋体" w:cs="Times New Roman"/>
                      <w:b w:val="0"/>
                      <w:bCs w:val="0"/>
                      <w:color w:val="auto"/>
                      <w:spacing w:val="-11"/>
                      <w:sz w:val="21"/>
                      <w:szCs w:val="21"/>
                      <w:highlight w:val="none"/>
                      <w:u w:val="single" w:color="auto"/>
                      <w:vertAlign w:val="subscript"/>
                      <w:lang w:val="en-US" w:eastAsia="zh-CN"/>
                    </w:rPr>
                    <w:t>3</w:t>
                  </w:r>
                  <w:r>
                    <w:rPr>
                      <w:rFonts w:hint="eastAsia" w:ascii="Times New Roman" w:hAnsi="Times New Roman" w:eastAsia="宋体" w:cs="Times New Roman"/>
                      <w:b w:val="0"/>
                      <w:bCs w:val="0"/>
                      <w:color w:val="auto"/>
                      <w:spacing w:val="-11"/>
                      <w:sz w:val="21"/>
                      <w:szCs w:val="21"/>
                      <w:highlight w:val="none"/>
                      <w:u w:val="single" w:color="auto"/>
                      <w:vertAlign w:val="superscript"/>
                      <w:lang w:val="en-US" w:eastAsia="zh-CN"/>
                    </w:rPr>
                    <w:t>2-</w:t>
                  </w:r>
                </w:p>
              </w:tc>
              <w:tc>
                <w:tcPr>
                  <w:tcW w:w="1000" w:type="pct"/>
                  <w:noWrap w:val="0"/>
                  <w:vAlign w:val="center"/>
                </w:tcPr>
                <w:p w14:paraId="0A6CD3F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70.2mg/L</w:t>
                  </w:r>
                </w:p>
              </w:tc>
              <w:tc>
                <w:tcPr>
                  <w:tcW w:w="1000" w:type="pct"/>
                  <w:noWrap w:val="0"/>
                  <w:vAlign w:val="center"/>
                </w:tcPr>
                <w:p w14:paraId="561FB99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w:t>
                  </w:r>
                </w:p>
              </w:tc>
            </w:tr>
            <w:tr w14:paraId="7945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5B3B4C9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1A74FEB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1F3407C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HCO</w:t>
                  </w:r>
                  <w:r>
                    <w:rPr>
                      <w:rFonts w:hint="eastAsia" w:ascii="Times New Roman" w:hAnsi="Times New Roman" w:eastAsia="宋体" w:cs="Times New Roman"/>
                      <w:b w:val="0"/>
                      <w:bCs w:val="0"/>
                      <w:color w:val="auto"/>
                      <w:spacing w:val="-11"/>
                      <w:sz w:val="21"/>
                      <w:szCs w:val="21"/>
                      <w:highlight w:val="none"/>
                      <w:u w:val="single" w:color="auto"/>
                      <w:vertAlign w:val="subscript"/>
                      <w:lang w:val="en-US" w:eastAsia="zh-CN"/>
                    </w:rPr>
                    <w:t>3</w:t>
                  </w:r>
                  <w:r>
                    <w:rPr>
                      <w:rFonts w:hint="eastAsia" w:ascii="Times New Roman" w:hAnsi="Times New Roman" w:eastAsia="宋体" w:cs="Times New Roman"/>
                      <w:b w:val="0"/>
                      <w:bCs w:val="0"/>
                      <w:color w:val="auto"/>
                      <w:spacing w:val="-11"/>
                      <w:sz w:val="21"/>
                      <w:szCs w:val="21"/>
                      <w:highlight w:val="none"/>
                      <w:u w:val="single" w:color="auto"/>
                      <w:vertAlign w:val="superscript"/>
                      <w:lang w:val="en-US" w:eastAsia="zh-CN"/>
                    </w:rPr>
                    <w:t>-</w:t>
                  </w:r>
                </w:p>
              </w:tc>
              <w:tc>
                <w:tcPr>
                  <w:tcW w:w="1000" w:type="pct"/>
                  <w:noWrap w:val="0"/>
                  <w:vAlign w:val="center"/>
                </w:tcPr>
                <w:p w14:paraId="3323A4E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486mg/L</w:t>
                  </w:r>
                </w:p>
              </w:tc>
              <w:tc>
                <w:tcPr>
                  <w:tcW w:w="1000" w:type="pct"/>
                  <w:noWrap w:val="0"/>
                  <w:vAlign w:val="center"/>
                </w:tcPr>
                <w:p w14:paraId="51F4AC0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w:t>
                  </w:r>
                </w:p>
              </w:tc>
            </w:tr>
            <w:tr w14:paraId="57DA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724D882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3052FFA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3B0A9FD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氰化物</w:t>
                  </w:r>
                </w:p>
              </w:tc>
              <w:tc>
                <w:tcPr>
                  <w:tcW w:w="1000" w:type="pct"/>
                  <w:noWrap w:val="0"/>
                  <w:vAlign w:val="center"/>
                </w:tcPr>
                <w:p w14:paraId="2EC18A4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未检出</w:t>
                  </w:r>
                </w:p>
              </w:tc>
              <w:tc>
                <w:tcPr>
                  <w:tcW w:w="1000" w:type="pct"/>
                  <w:noWrap w:val="0"/>
                  <w:vAlign w:val="center"/>
                </w:tcPr>
                <w:p w14:paraId="08D470D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0.05mg/L</w:t>
                  </w:r>
                </w:p>
              </w:tc>
            </w:tr>
            <w:tr w14:paraId="0CC0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0BA4674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662F1FE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65C766E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氯化物</w:t>
                  </w:r>
                </w:p>
              </w:tc>
              <w:tc>
                <w:tcPr>
                  <w:tcW w:w="1000" w:type="pct"/>
                  <w:noWrap w:val="0"/>
                  <w:vAlign w:val="center"/>
                </w:tcPr>
                <w:p w14:paraId="475255F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72mg/L</w:t>
                  </w:r>
                </w:p>
              </w:tc>
              <w:tc>
                <w:tcPr>
                  <w:tcW w:w="1000" w:type="pct"/>
                  <w:noWrap w:val="0"/>
                  <w:vAlign w:val="center"/>
                </w:tcPr>
                <w:p w14:paraId="72D67E0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250mg/L</w:t>
                  </w:r>
                </w:p>
              </w:tc>
            </w:tr>
            <w:tr w14:paraId="72A9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35EC500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2E57BD2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20DF3B3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Na</w:t>
                  </w:r>
                  <w:r>
                    <w:rPr>
                      <w:rFonts w:hint="eastAsia" w:ascii="Times New Roman" w:hAnsi="Times New Roman" w:eastAsia="宋体" w:cs="Times New Roman"/>
                      <w:b w:val="0"/>
                      <w:bCs w:val="0"/>
                      <w:color w:val="auto"/>
                      <w:spacing w:val="-11"/>
                      <w:sz w:val="21"/>
                      <w:szCs w:val="21"/>
                      <w:highlight w:val="none"/>
                      <w:u w:val="single" w:color="auto"/>
                      <w:vertAlign w:val="superscript"/>
                      <w:lang w:val="en-US" w:eastAsia="zh-CN"/>
                    </w:rPr>
                    <w:t>+</w:t>
                  </w:r>
                </w:p>
              </w:tc>
              <w:tc>
                <w:tcPr>
                  <w:tcW w:w="1000" w:type="pct"/>
                  <w:noWrap w:val="0"/>
                  <w:vAlign w:val="center"/>
                </w:tcPr>
                <w:p w14:paraId="5550B28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94.8mg/L</w:t>
                  </w:r>
                </w:p>
              </w:tc>
              <w:tc>
                <w:tcPr>
                  <w:tcW w:w="1000" w:type="pct"/>
                  <w:noWrap w:val="0"/>
                  <w:vAlign w:val="center"/>
                </w:tcPr>
                <w:p w14:paraId="40A4D22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200mg/L</w:t>
                  </w:r>
                </w:p>
              </w:tc>
            </w:tr>
            <w:tr w14:paraId="64F4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0C61447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40BC83E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3C58D3E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K</w:t>
                  </w:r>
                  <w:r>
                    <w:rPr>
                      <w:rFonts w:hint="eastAsia" w:ascii="Times New Roman" w:hAnsi="Times New Roman" w:eastAsia="宋体" w:cs="Times New Roman"/>
                      <w:b w:val="0"/>
                      <w:bCs w:val="0"/>
                      <w:color w:val="auto"/>
                      <w:spacing w:val="-11"/>
                      <w:sz w:val="21"/>
                      <w:szCs w:val="21"/>
                      <w:highlight w:val="none"/>
                      <w:u w:val="single" w:color="auto"/>
                      <w:vertAlign w:val="superscript"/>
                      <w:lang w:val="en-US" w:eastAsia="zh-CN"/>
                    </w:rPr>
                    <w:t>+</w:t>
                  </w:r>
                </w:p>
              </w:tc>
              <w:tc>
                <w:tcPr>
                  <w:tcW w:w="1000" w:type="pct"/>
                  <w:noWrap w:val="0"/>
                  <w:vAlign w:val="center"/>
                </w:tcPr>
                <w:p w14:paraId="0B95817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0.760mg/L</w:t>
                  </w:r>
                </w:p>
              </w:tc>
              <w:tc>
                <w:tcPr>
                  <w:tcW w:w="1000" w:type="pct"/>
                  <w:noWrap w:val="0"/>
                  <w:vAlign w:val="center"/>
                </w:tcPr>
                <w:p w14:paraId="10B07E5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w:t>
                  </w:r>
                </w:p>
              </w:tc>
            </w:tr>
            <w:tr w14:paraId="77C0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473915B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476FDC1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29334B7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Mg</w:t>
                  </w:r>
                  <w:r>
                    <w:rPr>
                      <w:rFonts w:hint="eastAsia" w:ascii="Times New Roman" w:hAnsi="Times New Roman" w:eastAsia="宋体" w:cs="Times New Roman"/>
                      <w:b w:val="0"/>
                      <w:bCs w:val="0"/>
                      <w:color w:val="auto"/>
                      <w:spacing w:val="-11"/>
                      <w:sz w:val="21"/>
                      <w:szCs w:val="21"/>
                      <w:highlight w:val="none"/>
                      <w:u w:val="single" w:color="auto"/>
                      <w:vertAlign w:val="superscript"/>
                      <w:lang w:val="en-US" w:eastAsia="zh-CN"/>
                    </w:rPr>
                    <w:t>2+</w:t>
                  </w:r>
                </w:p>
              </w:tc>
              <w:tc>
                <w:tcPr>
                  <w:tcW w:w="1000" w:type="pct"/>
                  <w:noWrap w:val="0"/>
                  <w:vAlign w:val="center"/>
                </w:tcPr>
                <w:p w14:paraId="7491027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31.5mg/L</w:t>
                  </w:r>
                </w:p>
              </w:tc>
              <w:tc>
                <w:tcPr>
                  <w:tcW w:w="1000" w:type="pct"/>
                  <w:noWrap w:val="0"/>
                  <w:vAlign w:val="center"/>
                </w:tcPr>
                <w:p w14:paraId="4289B0F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w:t>
                  </w:r>
                </w:p>
              </w:tc>
            </w:tr>
            <w:tr w14:paraId="70CA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7F04F4A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66EC75F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0D1D997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Ca</w:t>
                  </w:r>
                  <w:r>
                    <w:rPr>
                      <w:rFonts w:hint="eastAsia" w:ascii="Times New Roman" w:hAnsi="Times New Roman" w:eastAsia="宋体" w:cs="Times New Roman"/>
                      <w:b w:val="0"/>
                      <w:bCs w:val="0"/>
                      <w:color w:val="auto"/>
                      <w:spacing w:val="-11"/>
                      <w:sz w:val="21"/>
                      <w:szCs w:val="21"/>
                      <w:highlight w:val="none"/>
                      <w:u w:val="single" w:color="auto"/>
                      <w:vertAlign w:val="superscript"/>
                      <w:lang w:val="en-US" w:eastAsia="zh-CN"/>
                    </w:rPr>
                    <w:t>2+</w:t>
                  </w:r>
                </w:p>
              </w:tc>
              <w:tc>
                <w:tcPr>
                  <w:tcW w:w="1000" w:type="pct"/>
                  <w:noWrap w:val="0"/>
                  <w:vAlign w:val="center"/>
                </w:tcPr>
                <w:p w14:paraId="64280AE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119mg/L</w:t>
                  </w:r>
                </w:p>
              </w:tc>
              <w:tc>
                <w:tcPr>
                  <w:tcW w:w="1000" w:type="pct"/>
                  <w:noWrap w:val="0"/>
                  <w:vAlign w:val="center"/>
                </w:tcPr>
                <w:p w14:paraId="42F1900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w:t>
                  </w:r>
                </w:p>
              </w:tc>
            </w:tr>
            <w:tr w14:paraId="6BE7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449C159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01CE145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259042E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阴离子表面活性剂</w:t>
                  </w:r>
                </w:p>
              </w:tc>
              <w:tc>
                <w:tcPr>
                  <w:tcW w:w="1000" w:type="pct"/>
                  <w:noWrap w:val="0"/>
                  <w:vAlign w:val="center"/>
                </w:tcPr>
                <w:p w14:paraId="63EBF61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未检出</w:t>
                  </w:r>
                </w:p>
              </w:tc>
              <w:tc>
                <w:tcPr>
                  <w:tcW w:w="1000" w:type="pct"/>
                  <w:noWrap w:val="0"/>
                  <w:vAlign w:val="center"/>
                </w:tcPr>
                <w:p w14:paraId="3A058DC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0.3mg/L</w:t>
                  </w:r>
                </w:p>
              </w:tc>
            </w:tr>
            <w:tr w14:paraId="3D65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2DDD064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2A7A4B8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26579D8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耗氧量</w:t>
                  </w:r>
                </w:p>
              </w:tc>
              <w:tc>
                <w:tcPr>
                  <w:tcW w:w="1000" w:type="pct"/>
                  <w:noWrap w:val="0"/>
                  <w:vAlign w:val="center"/>
                </w:tcPr>
                <w:p w14:paraId="3DC9F17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1.9mg/L</w:t>
                  </w:r>
                </w:p>
              </w:tc>
              <w:tc>
                <w:tcPr>
                  <w:tcW w:w="1000" w:type="pct"/>
                  <w:noWrap w:val="0"/>
                  <w:vAlign w:val="center"/>
                </w:tcPr>
                <w:p w14:paraId="3E7F3F5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3.0mg/L</w:t>
                  </w:r>
                </w:p>
              </w:tc>
            </w:tr>
            <w:tr w14:paraId="7DDF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center"/>
                </w:tcPr>
                <w:p w14:paraId="6751224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929" w:type="pct"/>
                  <w:vMerge w:val="continue"/>
                  <w:noWrap w:val="0"/>
                  <w:vAlign w:val="center"/>
                </w:tcPr>
                <w:p w14:paraId="198FC39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eastAsia" w:ascii="Times New Roman" w:hAnsi="Times New Roman" w:eastAsia="宋体" w:cs="Times New Roman"/>
                      <w:b w:val="0"/>
                      <w:bCs w:val="0"/>
                      <w:color w:val="auto"/>
                      <w:spacing w:val="-11"/>
                      <w:sz w:val="21"/>
                      <w:szCs w:val="21"/>
                      <w:highlight w:val="none"/>
                      <w:u w:val="single" w:color="auto"/>
                      <w:lang w:val="en-US" w:eastAsia="zh-CN"/>
                    </w:rPr>
                  </w:pPr>
                </w:p>
              </w:tc>
              <w:tc>
                <w:tcPr>
                  <w:tcW w:w="1293" w:type="pct"/>
                  <w:noWrap w:val="0"/>
                  <w:vAlign w:val="center"/>
                </w:tcPr>
                <w:p w14:paraId="339C3F5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溶解性总固体</w:t>
                  </w:r>
                </w:p>
              </w:tc>
              <w:tc>
                <w:tcPr>
                  <w:tcW w:w="1000" w:type="pct"/>
                  <w:noWrap w:val="0"/>
                  <w:vAlign w:val="center"/>
                </w:tcPr>
                <w:p w14:paraId="5307B99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250mg/L</w:t>
                  </w:r>
                </w:p>
              </w:tc>
              <w:tc>
                <w:tcPr>
                  <w:tcW w:w="1000" w:type="pct"/>
                  <w:noWrap w:val="0"/>
                  <w:vAlign w:val="center"/>
                </w:tcPr>
                <w:p w14:paraId="180F8EC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eastAsia" w:ascii="Times New Roman" w:hAnsi="Times New Roman" w:eastAsia="宋体" w:cs="Times New Roman"/>
                      <w:b w:val="0"/>
                      <w:bCs w:val="0"/>
                      <w:color w:val="auto"/>
                      <w:spacing w:val="-11"/>
                      <w:sz w:val="21"/>
                      <w:szCs w:val="21"/>
                      <w:highlight w:val="none"/>
                      <w:u w:val="single" w:color="auto"/>
                      <w:lang w:val="en-US" w:eastAsia="zh-CN"/>
                    </w:rPr>
                    <w:t>1000mg/L</w:t>
                  </w:r>
                </w:p>
              </w:tc>
            </w:tr>
          </w:tbl>
          <w:p w14:paraId="122E247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kern w:val="0"/>
                <w:sz w:val="21"/>
                <w:szCs w:val="21"/>
                <w:u w:val="single" w:color="auto"/>
                <w:lang w:val="en-US" w:eastAsia="zh-CN"/>
              </w:rPr>
            </w:pPr>
            <w:r>
              <w:rPr>
                <w:rFonts w:hint="eastAsia" w:ascii="Times New Roman" w:hAnsi="Times New Roman" w:eastAsia="宋体" w:cs="Times New Roman"/>
                <w:b w:val="0"/>
                <w:bCs w:val="0"/>
                <w:color w:val="auto"/>
                <w:kern w:val="0"/>
                <w:sz w:val="21"/>
                <w:szCs w:val="21"/>
                <w:u w:val="single" w:color="auto"/>
                <w:lang w:val="en-US" w:eastAsia="zh-CN"/>
              </w:rPr>
              <w:t>注：根据《环境影响评价技术导则地下水环境》（HJ610-2016）要求，对于不属于GB/T 14848水质指标的评价因子，可参照国家（行业、地方）相关标准（如GB 3838、GB 5749、DZ/T 0290等）进行评价。石油类标准限值引用《地表水环境质量标准》（GB3838-2002）中III类标准限值要求。</w:t>
            </w:r>
          </w:p>
          <w:p w14:paraId="785A7F0C">
            <w:pPr>
              <w:numPr>
                <w:ilvl w:val="0"/>
                <w:numId w:val="0"/>
              </w:numPr>
              <w:adjustRightInd w:val="0"/>
              <w:snapToGrid w:val="0"/>
              <w:spacing w:line="520" w:lineRule="exact"/>
              <w:ind w:leftChars="0" w:firstLine="480" w:firstLineChars="200"/>
              <w:jc w:val="both"/>
              <w:rPr>
                <w:rFonts w:hint="eastAsia" w:ascii="Times New Roman" w:hAnsi="Times New Roman" w:eastAsia="宋体" w:cs="Times New Roman"/>
                <w:color w:val="auto"/>
                <w:sz w:val="24"/>
                <w:highlight w:val="none"/>
                <w:u w:val="single" w:color="auto"/>
                <w:lang w:eastAsia="zh-CN"/>
              </w:rPr>
            </w:pPr>
            <w:r>
              <w:rPr>
                <w:rFonts w:hint="eastAsia" w:ascii="Times New Roman" w:hAnsi="Times New Roman" w:eastAsia="宋体" w:cs="Times New Roman"/>
                <w:color w:val="auto"/>
                <w:sz w:val="24"/>
                <w:highlight w:val="none"/>
                <w:u w:val="single" w:color="auto"/>
                <w:lang w:eastAsia="zh-CN"/>
              </w:rPr>
              <w:t>由上表分析可知，本项目区域地下水各监测点位监测因子均满足《地下水质量标准》（GB/T14848-2017）Ⅲ类标准要求，石油类能够满足《地表水环境质量标准》（GB3838-2002）中III类标准限值要求。</w:t>
            </w:r>
          </w:p>
          <w:p w14:paraId="6BFB4F05">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jc w:val="center"/>
              <w:textAlignment w:val="auto"/>
              <w:outlineLvl w:val="9"/>
              <w:rPr>
                <w:rFonts w:hint="eastAsia" w:cs="Times New Roman"/>
                <w:b w:val="0"/>
                <w:bCs/>
                <w:color w:val="auto"/>
                <w:sz w:val="21"/>
                <w:szCs w:val="21"/>
                <w:highlight w:val="none"/>
                <w:u w:val="single" w:color="auto"/>
                <w:lang w:val="en-US" w:eastAsia="zh-CN"/>
              </w:rPr>
            </w:pPr>
          </w:p>
          <w:p w14:paraId="0529D6F3">
            <w:pPr>
              <w:keepNext w:val="0"/>
              <w:keepLines w:val="0"/>
              <w:pageBreakBefore w:val="0"/>
              <w:widowControl w:val="0"/>
              <w:kinsoku/>
              <w:wordWrap/>
              <w:overflowPunct/>
              <w:topLinePunct w:val="0"/>
              <w:autoSpaceDE/>
              <w:autoSpaceDN/>
              <w:bidi w:val="0"/>
              <w:adjustRightInd/>
              <w:snapToGrid w:val="0"/>
              <w:spacing w:line="520" w:lineRule="exact"/>
              <w:ind w:left="0" w:leftChars="0" w:right="0" w:rightChars="0"/>
              <w:jc w:val="center"/>
              <w:textAlignment w:val="auto"/>
              <w:outlineLvl w:val="9"/>
              <w:rPr>
                <w:rFonts w:hint="default" w:cs="Times New Roman"/>
                <w:b w:val="0"/>
                <w:bCs/>
                <w:color w:val="auto"/>
                <w:sz w:val="21"/>
                <w:szCs w:val="21"/>
                <w:highlight w:val="none"/>
                <w:u w:val="single" w:color="auto"/>
                <w:lang w:val="en-US" w:eastAsia="zh-CN"/>
              </w:rPr>
            </w:pPr>
            <w:r>
              <w:rPr>
                <w:rFonts w:hint="eastAsia" w:cs="Times New Roman"/>
                <w:b w:val="0"/>
                <w:bCs/>
                <w:color w:val="auto"/>
                <w:sz w:val="21"/>
                <w:szCs w:val="21"/>
                <w:highlight w:val="none"/>
                <w:u w:val="single" w:color="auto"/>
                <w:lang w:val="en-US" w:eastAsia="zh-CN"/>
              </w:rPr>
              <w:t>表3-8   土壤检测内容</w:t>
            </w:r>
            <w:r>
              <w:rPr>
                <w:rFonts w:hint="default" w:cs="Times New Roman"/>
                <w:b w:val="0"/>
                <w:bCs/>
                <w:color w:val="auto"/>
                <w:sz w:val="21"/>
                <w:szCs w:val="21"/>
                <w:highlight w:val="none"/>
                <w:u w:val="single" w:color="auto"/>
                <w:lang w:val="en-US" w:eastAsia="zh-CN"/>
              </w:rPr>
              <w:t>一览表</w:t>
            </w:r>
            <w:r>
              <w:rPr>
                <w:rFonts w:hint="eastAsia" w:cs="Times New Roman"/>
                <w:b w:val="0"/>
                <w:bCs/>
                <w:color w:val="auto"/>
                <w:sz w:val="21"/>
                <w:szCs w:val="21"/>
                <w:highlight w:val="none"/>
                <w:u w:val="single" w:color="auto"/>
                <w:lang w:val="en-US" w:eastAsia="zh-CN"/>
              </w:rPr>
              <w:t xml:space="preserve"> </w:t>
            </w:r>
            <w:r>
              <w:rPr>
                <w:rFonts w:hint="default" w:cs="Times New Roman"/>
                <w:b w:val="0"/>
                <w:bCs/>
                <w:color w:val="auto"/>
                <w:sz w:val="21"/>
                <w:szCs w:val="21"/>
                <w:highlight w:val="none"/>
                <w:u w:val="single" w:color="auto"/>
                <w:lang w:val="en-US" w:eastAsia="zh-CN"/>
              </w:rPr>
              <w:t>单位：mg/kg（pH值无量纲）</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1420"/>
              <w:gridCol w:w="2009"/>
              <w:gridCol w:w="1546"/>
              <w:gridCol w:w="1549"/>
            </w:tblGrid>
            <w:tr w14:paraId="1389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noWrap w:val="0"/>
                  <w:vAlign w:val="center"/>
                </w:tcPr>
                <w:p w14:paraId="35FC76D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检测日期</w:t>
                  </w:r>
                </w:p>
              </w:tc>
              <w:tc>
                <w:tcPr>
                  <w:tcW w:w="913" w:type="pct"/>
                  <w:noWrap w:val="0"/>
                  <w:vAlign w:val="center"/>
                </w:tcPr>
                <w:p w14:paraId="4374F77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检测点位</w:t>
                  </w:r>
                </w:p>
              </w:tc>
              <w:tc>
                <w:tcPr>
                  <w:tcW w:w="1292" w:type="pct"/>
                  <w:noWrap w:val="0"/>
                  <w:vAlign w:val="center"/>
                </w:tcPr>
                <w:p w14:paraId="3B5A0C3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检测因子</w:t>
                  </w:r>
                </w:p>
              </w:tc>
              <w:tc>
                <w:tcPr>
                  <w:tcW w:w="994" w:type="pct"/>
                  <w:noWrap w:val="0"/>
                  <w:vAlign w:val="center"/>
                </w:tcPr>
                <w:p w14:paraId="0559C37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检测值</w:t>
                  </w:r>
                </w:p>
              </w:tc>
              <w:tc>
                <w:tcPr>
                  <w:tcW w:w="996" w:type="pct"/>
                  <w:noWrap w:val="0"/>
                  <w:vAlign w:val="center"/>
                </w:tcPr>
                <w:p w14:paraId="0F732CB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标准值（筛选值）</w:t>
                  </w:r>
                </w:p>
              </w:tc>
            </w:tr>
            <w:tr w14:paraId="2227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restart"/>
                  <w:noWrap w:val="0"/>
                  <w:vAlign w:val="center"/>
                </w:tcPr>
                <w:p w14:paraId="57683DE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2025.06.19</w:t>
                  </w:r>
                </w:p>
              </w:tc>
              <w:tc>
                <w:tcPr>
                  <w:tcW w:w="913" w:type="pct"/>
                  <w:vMerge w:val="restart"/>
                  <w:noWrap w:val="0"/>
                  <w:vAlign w:val="center"/>
                </w:tcPr>
                <w:p w14:paraId="680682A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厂区空地</w:t>
                  </w:r>
                </w:p>
              </w:tc>
              <w:tc>
                <w:tcPr>
                  <w:tcW w:w="1292" w:type="pct"/>
                  <w:noWrap w:val="0"/>
                  <w:vAlign w:val="center"/>
                </w:tcPr>
                <w:p w14:paraId="447528E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pH</w:t>
                  </w:r>
                </w:p>
              </w:tc>
              <w:tc>
                <w:tcPr>
                  <w:tcW w:w="994" w:type="pct"/>
                  <w:noWrap w:val="0"/>
                  <w:vAlign w:val="center"/>
                </w:tcPr>
                <w:p w14:paraId="030AAAF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8.49</w:t>
                  </w:r>
                </w:p>
              </w:tc>
              <w:tc>
                <w:tcPr>
                  <w:tcW w:w="996" w:type="pct"/>
                  <w:noWrap w:val="0"/>
                  <w:vAlign w:val="center"/>
                </w:tcPr>
                <w:p w14:paraId="7264934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w:t>
                  </w:r>
                </w:p>
              </w:tc>
            </w:tr>
            <w:tr w14:paraId="7B8B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28A1AFA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651AB6B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3FBEE9D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砷</w:t>
                  </w:r>
                </w:p>
              </w:tc>
              <w:tc>
                <w:tcPr>
                  <w:tcW w:w="994" w:type="pct"/>
                  <w:noWrap w:val="0"/>
                  <w:vAlign w:val="center"/>
                </w:tcPr>
                <w:p w14:paraId="5992C5E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14.0</w:t>
                  </w:r>
                </w:p>
              </w:tc>
              <w:tc>
                <w:tcPr>
                  <w:tcW w:w="996" w:type="pct"/>
                  <w:noWrap w:val="0"/>
                  <w:vAlign w:val="center"/>
                </w:tcPr>
                <w:p w14:paraId="459F8E6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60</w:t>
                  </w:r>
                </w:p>
              </w:tc>
            </w:tr>
            <w:tr w14:paraId="034D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3F8C915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2A2D8D0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75FF2F7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镉</w:t>
                  </w:r>
                </w:p>
              </w:tc>
              <w:tc>
                <w:tcPr>
                  <w:tcW w:w="994" w:type="pct"/>
                  <w:noWrap w:val="0"/>
                  <w:vAlign w:val="center"/>
                </w:tcPr>
                <w:p w14:paraId="5DF8791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0.27</w:t>
                  </w:r>
                </w:p>
              </w:tc>
              <w:tc>
                <w:tcPr>
                  <w:tcW w:w="996" w:type="pct"/>
                  <w:noWrap w:val="0"/>
                  <w:vAlign w:val="center"/>
                </w:tcPr>
                <w:p w14:paraId="5DA56D2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65</w:t>
                  </w:r>
                </w:p>
              </w:tc>
            </w:tr>
            <w:tr w14:paraId="31EA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5FFAA0C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1CEE1F3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5BA8D1F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六价铬</w:t>
                  </w:r>
                </w:p>
              </w:tc>
              <w:tc>
                <w:tcPr>
                  <w:tcW w:w="994" w:type="pct"/>
                  <w:noWrap w:val="0"/>
                  <w:vAlign w:val="center"/>
                </w:tcPr>
                <w:p w14:paraId="3FF757E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4295EF4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5.7</w:t>
                  </w:r>
                </w:p>
              </w:tc>
            </w:tr>
            <w:tr w14:paraId="7635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43797E4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59E2BB7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5E90D91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铜</w:t>
                  </w:r>
                </w:p>
              </w:tc>
              <w:tc>
                <w:tcPr>
                  <w:tcW w:w="994" w:type="pct"/>
                  <w:noWrap w:val="0"/>
                  <w:vAlign w:val="center"/>
                </w:tcPr>
                <w:p w14:paraId="31225E3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19</w:t>
                  </w:r>
                </w:p>
              </w:tc>
              <w:tc>
                <w:tcPr>
                  <w:tcW w:w="996" w:type="pct"/>
                  <w:noWrap w:val="0"/>
                  <w:vAlign w:val="center"/>
                </w:tcPr>
                <w:p w14:paraId="3A923CD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18000</w:t>
                  </w:r>
                </w:p>
              </w:tc>
            </w:tr>
            <w:tr w14:paraId="48E6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60F214D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76CF0EE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51E35DF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铅</w:t>
                  </w:r>
                </w:p>
              </w:tc>
              <w:tc>
                <w:tcPr>
                  <w:tcW w:w="994" w:type="pct"/>
                  <w:noWrap w:val="0"/>
                  <w:vAlign w:val="center"/>
                </w:tcPr>
                <w:p w14:paraId="64524A0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27</w:t>
                  </w:r>
                </w:p>
              </w:tc>
              <w:tc>
                <w:tcPr>
                  <w:tcW w:w="996" w:type="pct"/>
                  <w:noWrap w:val="0"/>
                  <w:vAlign w:val="center"/>
                </w:tcPr>
                <w:p w14:paraId="40BB73B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800</w:t>
                  </w:r>
                </w:p>
              </w:tc>
            </w:tr>
            <w:tr w14:paraId="3961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3B91EB0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306E35E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6604AF4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汞</w:t>
                  </w:r>
                </w:p>
              </w:tc>
              <w:tc>
                <w:tcPr>
                  <w:tcW w:w="994" w:type="pct"/>
                  <w:noWrap w:val="0"/>
                  <w:vAlign w:val="center"/>
                </w:tcPr>
                <w:p w14:paraId="280DCE8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0.108</w:t>
                  </w:r>
                </w:p>
              </w:tc>
              <w:tc>
                <w:tcPr>
                  <w:tcW w:w="996" w:type="pct"/>
                  <w:noWrap w:val="0"/>
                  <w:vAlign w:val="center"/>
                </w:tcPr>
                <w:p w14:paraId="6CA9E76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38</w:t>
                  </w:r>
                </w:p>
              </w:tc>
            </w:tr>
            <w:tr w14:paraId="100C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589722D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42724CB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7446565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镍</w:t>
                  </w:r>
                </w:p>
              </w:tc>
              <w:tc>
                <w:tcPr>
                  <w:tcW w:w="994" w:type="pct"/>
                  <w:noWrap w:val="0"/>
                  <w:vAlign w:val="center"/>
                </w:tcPr>
                <w:p w14:paraId="3D769F5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31</w:t>
                  </w:r>
                </w:p>
              </w:tc>
              <w:tc>
                <w:tcPr>
                  <w:tcW w:w="996" w:type="pct"/>
                  <w:noWrap w:val="0"/>
                  <w:vAlign w:val="center"/>
                </w:tcPr>
                <w:p w14:paraId="29B629F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900</w:t>
                  </w:r>
                </w:p>
              </w:tc>
            </w:tr>
            <w:tr w14:paraId="40F9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3BE30B4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5805167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5D22DAA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四氯化碳</w:t>
                  </w:r>
                </w:p>
              </w:tc>
              <w:tc>
                <w:tcPr>
                  <w:tcW w:w="994" w:type="pct"/>
                  <w:noWrap w:val="0"/>
                  <w:vAlign w:val="center"/>
                </w:tcPr>
                <w:p w14:paraId="34CE248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11B10B7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2.8</w:t>
                  </w:r>
                </w:p>
              </w:tc>
            </w:tr>
            <w:tr w14:paraId="09FF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0295F5D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4ADEA85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738B725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氯仿</w:t>
                  </w:r>
                </w:p>
              </w:tc>
              <w:tc>
                <w:tcPr>
                  <w:tcW w:w="994" w:type="pct"/>
                  <w:noWrap w:val="0"/>
                  <w:vAlign w:val="center"/>
                </w:tcPr>
                <w:p w14:paraId="26DACA4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63C0BDC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0.9</w:t>
                  </w:r>
                </w:p>
              </w:tc>
            </w:tr>
            <w:tr w14:paraId="3F8A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2D0CE71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7ADF2C3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53BF55C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氯甲烷</w:t>
                  </w:r>
                </w:p>
              </w:tc>
              <w:tc>
                <w:tcPr>
                  <w:tcW w:w="994" w:type="pct"/>
                  <w:noWrap w:val="0"/>
                  <w:vAlign w:val="center"/>
                </w:tcPr>
                <w:p w14:paraId="7809689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4AB974A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37</w:t>
                  </w:r>
                </w:p>
              </w:tc>
            </w:tr>
            <w:tr w14:paraId="66FB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35A9CFD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7884124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730802F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1,1-二氯乙烷</w:t>
                  </w:r>
                </w:p>
              </w:tc>
              <w:tc>
                <w:tcPr>
                  <w:tcW w:w="994" w:type="pct"/>
                  <w:noWrap w:val="0"/>
                  <w:vAlign w:val="center"/>
                </w:tcPr>
                <w:p w14:paraId="44CB749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6861990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9</w:t>
                  </w:r>
                </w:p>
              </w:tc>
            </w:tr>
            <w:tr w14:paraId="3227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6C72511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5102C27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123B691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1,2-二氯乙烷</w:t>
                  </w:r>
                </w:p>
              </w:tc>
              <w:tc>
                <w:tcPr>
                  <w:tcW w:w="994" w:type="pct"/>
                  <w:noWrap w:val="0"/>
                  <w:vAlign w:val="center"/>
                </w:tcPr>
                <w:p w14:paraId="572D1EB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0E41FA5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5</w:t>
                  </w:r>
                </w:p>
              </w:tc>
            </w:tr>
            <w:tr w14:paraId="2A3B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7A3C39D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1CBF6AC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71A9DEE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1,1-二氯乙烯</w:t>
                  </w:r>
                </w:p>
              </w:tc>
              <w:tc>
                <w:tcPr>
                  <w:tcW w:w="994" w:type="pct"/>
                  <w:noWrap w:val="0"/>
                  <w:vAlign w:val="center"/>
                </w:tcPr>
                <w:p w14:paraId="1E973E7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074E8DA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66</w:t>
                  </w:r>
                </w:p>
              </w:tc>
            </w:tr>
            <w:tr w14:paraId="2810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57F7360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68C745A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06F7628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顺-1,2-二氯乙烯</w:t>
                  </w:r>
                </w:p>
              </w:tc>
              <w:tc>
                <w:tcPr>
                  <w:tcW w:w="994" w:type="pct"/>
                  <w:noWrap w:val="0"/>
                  <w:vAlign w:val="center"/>
                </w:tcPr>
                <w:p w14:paraId="0B0E690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44E7179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596</w:t>
                  </w:r>
                </w:p>
              </w:tc>
            </w:tr>
            <w:tr w14:paraId="2797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0BD0AE4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5AB2BBB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265A788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反-1,2-二氯乙烯</w:t>
                  </w:r>
                </w:p>
              </w:tc>
              <w:tc>
                <w:tcPr>
                  <w:tcW w:w="994" w:type="pct"/>
                  <w:noWrap w:val="0"/>
                  <w:vAlign w:val="center"/>
                </w:tcPr>
                <w:p w14:paraId="42DA086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196A28C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54</w:t>
                  </w:r>
                </w:p>
              </w:tc>
            </w:tr>
            <w:tr w14:paraId="3AD6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737756E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23B2FAC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3C6F9CD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二氯甲烷</w:t>
                  </w:r>
                </w:p>
              </w:tc>
              <w:tc>
                <w:tcPr>
                  <w:tcW w:w="994" w:type="pct"/>
                  <w:noWrap w:val="0"/>
                  <w:vAlign w:val="center"/>
                </w:tcPr>
                <w:p w14:paraId="301087E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4060F61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616</w:t>
                  </w:r>
                </w:p>
              </w:tc>
            </w:tr>
            <w:tr w14:paraId="1ED4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2F14B17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35C8A89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6549381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1,2-二氯丙烷</w:t>
                  </w:r>
                </w:p>
              </w:tc>
              <w:tc>
                <w:tcPr>
                  <w:tcW w:w="994" w:type="pct"/>
                  <w:noWrap w:val="0"/>
                  <w:vAlign w:val="center"/>
                </w:tcPr>
                <w:p w14:paraId="7A4F25C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13CBC14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5</w:t>
                  </w:r>
                </w:p>
              </w:tc>
            </w:tr>
            <w:tr w14:paraId="6A30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180748F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10E1ABE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1BBE536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1,1,1,2-四氯乙烷</w:t>
                  </w:r>
                </w:p>
              </w:tc>
              <w:tc>
                <w:tcPr>
                  <w:tcW w:w="994" w:type="pct"/>
                  <w:noWrap w:val="0"/>
                  <w:vAlign w:val="center"/>
                </w:tcPr>
                <w:p w14:paraId="0140C04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12FC679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10</w:t>
                  </w:r>
                </w:p>
              </w:tc>
            </w:tr>
            <w:tr w14:paraId="26D9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3A06225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0D3AE88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196077B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1,1,2,2-四氯乙烷</w:t>
                  </w:r>
                </w:p>
              </w:tc>
              <w:tc>
                <w:tcPr>
                  <w:tcW w:w="994" w:type="pct"/>
                  <w:noWrap w:val="0"/>
                  <w:vAlign w:val="center"/>
                </w:tcPr>
                <w:p w14:paraId="405B5B6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2F7D39E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6.8</w:t>
                  </w:r>
                </w:p>
              </w:tc>
            </w:tr>
            <w:tr w14:paraId="6684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0629799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5DC0AF1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4C6DCFD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四氯乙烯</w:t>
                  </w:r>
                </w:p>
              </w:tc>
              <w:tc>
                <w:tcPr>
                  <w:tcW w:w="994" w:type="pct"/>
                  <w:noWrap w:val="0"/>
                  <w:vAlign w:val="center"/>
                </w:tcPr>
                <w:p w14:paraId="73694EE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36DC3DF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53</w:t>
                  </w:r>
                </w:p>
              </w:tc>
            </w:tr>
            <w:tr w14:paraId="20C0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3091FB4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5EFEA0A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763531A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1,1,1-三氯乙烷</w:t>
                  </w:r>
                </w:p>
              </w:tc>
              <w:tc>
                <w:tcPr>
                  <w:tcW w:w="994" w:type="pct"/>
                  <w:noWrap w:val="0"/>
                  <w:vAlign w:val="center"/>
                </w:tcPr>
                <w:p w14:paraId="2EA3029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67C7335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840</w:t>
                  </w:r>
                </w:p>
              </w:tc>
            </w:tr>
            <w:tr w14:paraId="40F9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5C6DDDD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68E3F7C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77B88DC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1,1,2-三氯乙烷</w:t>
                  </w:r>
                </w:p>
              </w:tc>
              <w:tc>
                <w:tcPr>
                  <w:tcW w:w="994" w:type="pct"/>
                  <w:noWrap w:val="0"/>
                  <w:vAlign w:val="center"/>
                </w:tcPr>
                <w:p w14:paraId="77C272A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0DF9BBF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2.8</w:t>
                  </w:r>
                </w:p>
              </w:tc>
            </w:tr>
            <w:tr w14:paraId="5291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2665772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1214FF0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07F1015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三氯乙烯</w:t>
                  </w:r>
                </w:p>
              </w:tc>
              <w:tc>
                <w:tcPr>
                  <w:tcW w:w="994" w:type="pct"/>
                  <w:noWrap w:val="0"/>
                  <w:vAlign w:val="center"/>
                </w:tcPr>
                <w:p w14:paraId="256C7D2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1EEE4B0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2.8</w:t>
                  </w:r>
                </w:p>
              </w:tc>
            </w:tr>
            <w:tr w14:paraId="48A7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228195B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71E7AFB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24D4DC6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1,2,3-三氯丙烷</w:t>
                  </w:r>
                </w:p>
              </w:tc>
              <w:tc>
                <w:tcPr>
                  <w:tcW w:w="994" w:type="pct"/>
                  <w:noWrap w:val="0"/>
                  <w:vAlign w:val="center"/>
                </w:tcPr>
                <w:p w14:paraId="5BA89B7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708216A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0.5</w:t>
                  </w:r>
                </w:p>
              </w:tc>
            </w:tr>
            <w:tr w14:paraId="4498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013D9DE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0170117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0CFD308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氯乙烯</w:t>
                  </w:r>
                </w:p>
              </w:tc>
              <w:tc>
                <w:tcPr>
                  <w:tcW w:w="994" w:type="pct"/>
                  <w:noWrap w:val="0"/>
                  <w:vAlign w:val="center"/>
                </w:tcPr>
                <w:p w14:paraId="440A78B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65DC06E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0.43</w:t>
                  </w:r>
                </w:p>
              </w:tc>
            </w:tr>
            <w:tr w14:paraId="0AD8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6FDB3DB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7B019C0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09D3408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苯</w:t>
                  </w:r>
                </w:p>
              </w:tc>
              <w:tc>
                <w:tcPr>
                  <w:tcW w:w="994" w:type="pct"/>
                  <w:noWrap w:val="0"/>
                  <w:vAlign w:val="center"/>
                </w:tcPr>
                <w:p w14:paraId="4A84870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496F4D2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4</w:t>
                  </w:r>
                </w:p>
              </w:tc>
            </w:tr>
            <w:tr w14:paraId="4C27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564630C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509A3D1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3250A43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氯苯</w:t>
                  </w:r>
                </w:p>
              </w:tc>
              <w:tc>
                <w:tcPr>
                  <w:tcW w:w="994" w:type="pct"/>
                  <w:noWrap w:val="0"/>
                  <w:vAlign w:val="center"/>
                </w:tcPr>
                <w:p w14:paraId="12E385E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678C497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270</w:t>
                  </w:r>
                </w:p>
              </w:tc>
            </w:tr>
            <w:tr w14:paraId="0E7D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162A6D3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684BA9B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1BB2130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1，2-二氯苯</w:t>
                  </w:r>
                </w:p>
              </w:tc>
              <w:tc>
                <w:tcPr>
                  <w:tcW w:w="994" w:type="pct"/>
                  <w:noWrap w:val="0"/>
                  <w:vAlign w:val="center"/>
                </w:tcPr>
                <w:p w14:paraId="3EB4DC8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5329412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560</w:t>
                  </w:r>
                </w:p>
              </w:tc>
            </w:tr>
            <w:tr w14:paraId="78D5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6507E26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2D8B346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6F8691A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1,4-二氯苯</w:t>
                  </w:r>
                </w:p>
              </w:tc>
              <w:tc>
                <w:tcPr>
                  <w:tcW w:w="994" w:type="pct"/>
                  <w:noWrap w:val="0"/>
                  <w:vAlign w:val="center"/>
                </w:tcPr>
                <w:p w14:paraId="0EC072C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02480C7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20</w:t>
                  </w:r>
                </w:p>
              </w:tc>
            </w:tr>
            <w:tr w14:paraId="6E7D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1A665E6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24BD8D6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7BC65E0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乙苯</w:t>
                  </w:r>
                </w:p>
              </w:tc>
              <w:tc>
                <w:tcPr>
                  <w:tcW w:w="994" w:type="pct"/>
                  <w:noWrap w:val="0"/>
                  <w:vAlign w:val="center"/>
                </w:tcPr>
                <w:p w14:paraId="1BC041F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16E7DB3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28</w:t>
                  </w:r>
                </w:p>
              </w:tc>
            </w:tr>
            <w:tr w14:paraId="6B7B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43AB935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49E4F14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043BF70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苯乙烯</w:t>
                  </w:r>
                </w:p>
              </w:tc>
              <w:tc>
                <w:tcPr>
                  <w:tcW w:w="994" w:type="pct"/>
                  <w:noWrap w:val="0"/>
                  <w:vAlign w:val="center"/>
                </w:tcPr>
                <w:p w14:paraId="04E00DB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6139A82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1290</w:t>
                  </w:r>
                </w:p>
              </w:tc>
            </w:tr>
            <w:tr w14:paraId="28A0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6C476EA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3D7C175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2D3DD15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甲苯</w:t>
                  </w:r>
                </w:p>
              </w:tc>
              <w:tc>
                <w:tcPr>
                  <w:tcW w:w="994" w:type="pct"/>
                  <w:noWrap w:val="0"/>
                  <w:vAlign w:val="center"/>
                </w:tcPr>
                <w:p w14:paraId="73F271A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5D58EBD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1200</w:t>
                  </w:r>
                </w:p>
              </w:tc>
            </w:tr>
            <w:tr w14:paraId="7150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037A163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2C640FB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4BC92A4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邻二甲苯</w:t>
                  </w:r>
                </w:p>
              </w:tc>
              <w:tc>
                <w:tcPr>
                  <w:tcW w:w="994" w:type="pct"/>
                  <w:noWrap w:val="0"/>
                  <w:vAlign w:val="center"/>
                </w:tcPr>
                <w:p w14:paraId="43A92C8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03A96E0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640</w:t>
                  </w:r>
                </w:p>
              </w:tc>
            </w:tr>
            <w:tr w14:paraId="103B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207C072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2A2387F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3CBE637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间二甲苯+对二甲苯</w:t>
                  </w:r>
                </w:p>
              </w:tc>
              <w:tc>
                <w:tcPr>
                  <w:tcW w:w="994" w:type="pct"/>
                  <w:noWrap w:val="0"/>
                  <w:vAlign w:val="center"/>
                </w:tcPr>
                <w:p w14:paraId="59722BB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129D8A8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570</w:t>
                  </w:r>
                </w:p>
              </w:tc>
            </w:tr>
            <w:tr w14:paraId="24ED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797C313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103B2DF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474EB15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硝基苯</w:t>
                  </w:r>
                </w:p>
              </w:tc>
              <w:tc>
                <w:tcPr>
                  <w:tcW w:w="994" w:type="pct"/>
                  <w:noWrap w:val="0"/>
                  <w:vAlign w:val="center"/>
                </w:tcPr>
                <w:p w14:paraId="6CA7A4B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0BFD190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76</w:t>
                  </w:r>
                </w:p>
              </w:tc>
            </w:tr>
            <w:tr w14:paraId="5AB9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666C3D0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5B9D8FE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34C8682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苯胺</w:t>
                  </w:r>
                </w:p>
              </w:tc>
              <w:tc>
                <w:tcPr>
                  <w:tcW w:w="994" w:type="pct"/>
                  <w:noWrap w:val="0"/>
                  <w:vAlign w:val="center"/>
                </w:tcPr>
                <w:p w14:paraId="00F25A3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34FC627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260</w:t>
                  </w:r>
                </w:p>
              </w:tc>
            </w:tr>
            <w:tr w14:paraId="57DF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6C7B513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3790C5D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051A957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2-氯酚</w:t>
                  </w:r>
                </w:p>
              </w:tc>
              <w:tc>
                <w:tcPr>
                  <w:tcW w:w="994" w:type="pct"/>
                  <w:noWrap w:val="0"/>
                  <w:vAlign w:val="center"/>
                </w:tcPr>
                <w:p w14:paraId="2A0F84B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0027260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2256</w:t>
                  </w:r>
                </w:p>
              </w:tc>
            </w:tr>
            <w:tr w14:paraId="4417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1AFB3E8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139092C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671CD28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苯并[a]蒽</w:t>
                  </w:r>
                </w:p>
              </w:tc>
              <w:tc>
                <w:tcPr>
                  <w:tcW w:w="994" w:type="pct"/>
                  <w:noWrap w:val="0"/>
                  <w:vAlign w:val="center"/>
                </w:tcPr>
                <w:p w14:paraId="13F425F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7CD4B98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15</w:t>
                  </w:r>
                </w:p>
              </w:tc>
            </w:tr>
            <w:tr w14:paraId="038E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47083DD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7118A24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4F88756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苯并[a]芘</w:t>
                  </w:r>
                </w:p>
              </w:tc>
              <w:tc>
                <w:tcPr>
                  <w:tcW w:w="994" w:type="pct"/>
                  <w:noWrap w:val="0"/>
                  <w:vAlign w:val="center"/>
                </w:tcPr>
                <w:p w14:paraId="46417AA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14B3DDE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1.5</w:t>
                  </w:r>
                </w:p>
              </w:tc>
            </w:tr>
            <w:tr w14:paraId="54A2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2E233AD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791EED0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3E11C4E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苯并[b]荧蒽</w:t>
                  </w:r>
                </w:p>
              </w:tc>
              <w:tc>
                <w:tcPr>
                  <w:tcW w:w="994" w:type="pct"/>
                  <w:noWrap w:val="0"/>
                  <w:vAlign w:val="center"/>
                </w:tcPr>
                <w:p w14:paraId="4131BD2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7820144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15</w:t>
                  </w:r>
                </w:p>
              </w:tc>
            </w:tr>
            <w:tr w14:paraId="3E5D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3070E89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1B7B8AE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41B2047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苯并[k]荧蒽</w:t>
                  </w:r>
                </w:p>
              </w:tc>
              <w:tc>
                <w:tcPr>
                  <w:tcW w:w="994" w:type="pct"/>
                  <w:noWrap w:val="0"/>
                  <w:vAlign w:val="center"/>
                </w:tcPr>
                <w:p w14:paraId="2C115F7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28938F5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151</w:t>
                  </w:r>
                </w:p>
              </w:tc>
            </w:tr>
            <w:tr w14:paraId="2564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1733F26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1C87A41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5945D34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䓛</w:t>
                  </w:r>
                </w:p>
              </w:tc>
              <w:tc>
                <w:tcPr>
                  <w:tcW w:w="994" w:type="pct"/>
                  <w:noWrap w:val="0"/>
                  <w:vAlign w:val="center"/>
                </w:tcPr>
                <w:p w14:paraId="06ABFD8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3751B56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1293</w:t>
                  </w:r>
                </w:p>
              </w:tc>
            </w:tr>
            <w:tr w14:paraId="54D9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2D53F00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3660039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246B419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二苯并[a,h]蒽</w:t>
                  </w:r>
                </w:p>
              </w:tc>
              <w:tc>
                <w:tcPr>
                  <w:tcW w:w="994" w:type="pct"/>
                  <w:noWrap w:val="0"/>
                  <w:vAlign w:val="center"/>
                </w:tcPr>
                <w:p w14:paraId="6572B13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589A597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1.5</w:t>
                  </w:r>
                </w:p>
              </w:tc>
            </w:tr>
            <w:tr w14:paraId="3865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24E10FC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2D46461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2ECEAF6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茚并[1,2,3-cd]芘</w:t>
                  </w:r>
                </w:p>
              </w:tc>
              <w:tc>
                <w:tcPr>
                  <w:tcW w:w="994" w:type="pct"/>
                  <w:noWrap w:val="0"/>
                  <w:vAlign w:val="center"/>
                </w:tcPr>
                <w:p w14:paraId="65E89CA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2DAD93F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15</w:t>
                  </w:r>
                </w:p>
              </w:tc>
            </w:tr>
            <w:tr w14:paraId="60D0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19D9182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73F5C63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40E50AA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萘</w:t>
                  </w:r>
                </w:p>
              </w:tc>
              <w:tc>
                <w:tcPr>
                  <w:tcW w:w="994" w:type="pct"/>
                  <w:noWrap w:val="0"/>
                  <w:vAlign w:val="center"/>
                </w:tcPr>
                <w:p w14:paraId="12CB163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25F0A3E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70</w:t>
                  </w:r>
                </w:p>
              </w:tc>
            </w:tr>
            <w:tr w14:paraId="2367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7360707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0116D22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409EBB8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石油烃</w:t>
                  </w:r>
                </w:p>
              </w:tc>
              <w:tc>
                <w:tcPr>
                  <w:tcW w:w="994" w:type="pct"/>
                  <w:noWrap w:val="0"/>
                  <w:vAlign w:val="center"/>
                </w:tcPr>
                <w:p w14:paraId="0230AB0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699C0CB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4500</w:t>
                  </w:r>
                </w:p>
              </w:tc>
            </w:tr>
            <w:tr w14:paraId="3C8E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noWrap w:val="0"/>
                  <w:vAlign w:val="center"/>
                </w:tcPr>
                <w:p w14:paraId="1B7F3BB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913" w:type="pct"/>
                  <w:vMerge w:val="continue"/>
                  <w:noWrap w:val="0"/>
                  <w:vAlign w:val="center"/>
                </w:tcPr>
                <w:p w14:paraId="6B5C9F7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p>
              </w:tc>
              <w:tc>
                <w:tcPr>
                  <w:tcW w:w="1292" w:type="pct"/>
                  <w:noWrap w:val="0"/>
                  <w:vAlign w:val="center"/>
                </w:tcPr>
                <w:p w14:paraId="69F751E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甲醛</w:t>
                  </w:r>
                </w:p>
              </w:tc>
              <w:tc>
                <w:tcPr>
                  <w:tcW w:w="994" w:type="pct"/>
                  <w:noWrap w:val="0"/>
                  <w:vAlign w:val="center"/>
                </w:tcPr>
                <w:p w14:paraId="29161FE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未检出</w:t>
                  </w:r>
                </w:p>
              </w:tc>
              <w:tc>
                <w:tcPr>
                  <w:tcW w:w="996" w:type="pct"/>
                  <w:noWrap w:val="0"/>
                  <w:vAlign w:val="center"/>
                </w:tcPr>
                <w:p w14:paraId="0C186E6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pacing w:val="-11"/>
                      <w:sz w:val="21"/>
                      <w:szCs w:val="21"/>
                      <w:highlight w:val="none"/>
                      <w:u w:val="single" w:color="auto"/>
                      <w:lang w:val="en-US" w:eastAsia="zh-CN"/>
                    </w:rPr>
                  </w:pPr>
                  <w:r>
                    <w:rPr>
                      <w:rFonts w:hint="default" w:ascii="Times New Roman" w:hAnsi="Times New Roman" w:eastAsia="宋体" w:cs="Times New Roman"/>
                      <w:b w:val="0"/>
                      <w:bCs w:val="0"/>
                      <w:color w:val="auto"/>
                      <w:spacing w:val="-11"/>
                      <w:sz w:val="21"/>
                      <w:szCs w:val="21"/>
                      <w:highlight w:val="none"/>
                      <w:u w:val="single" w:color="auto"/>
                      <w:lang w:val="en-US" w:eastAsia="zh-CN"/>
                    </w:rPr>
                    <w:t>36</w:t>
                  </w:r>
                </w:p>
              </w:tc>
            </w:tr>
          </w:tbl>
          <w:p w14:paraId="7DE1B825">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sz w:val="24"/>
                <w:highlight w:val="none"/>
                <w:u w:val="single" w:color="auto"/>
                <w:lang w:eastAsia="zh-CN"/>
              </w:rPr>
            </w:pPr>
            <w:r>
              <w:rPr>
                <w:rFonts w:hint="default" w:ascii="Times New Roman" w:hAnsi="Times New Roman" w:eastAsia="宋体" w:cs="Times New Roman"/>
                <w:color w:val="auto"/>
                <w:sz w:val="24"/>
                <w:highlight w:val="none"/>
                <w:u w:val="single" w:color="auto"/>
                <w:lang w:eastAsia="zh-CN"/>
              </w:rPr>
              <w:t>项目</w:t>
            </w:r>
            <w:r>
              <w:rPr>
                <w:rFonts w:hint="eastAsia" w:ascii="Times New Roman" w:hAnsi="Times New Roman" w:eastAsia="宋体" w:cs="Times New Roman"/>
                <w:color w:val="auto"/>
                <w:sz w:val="24"/>
                <w:highlight w:val="none"/>
                <w:u w:val="single" w:color="auto"/>
                <w:lang w:val="en-US" w:eastAsia="zh-CN"/>
              </w:rPr>
              <w:t>区域</w:t>
            </w:r>
            <w:r>
              <w:rPr>
                <w:rFonts w:hint="default" w:ascii="Times New Roman" w:hAnsi="Times New Roman" w:eastAsia="宋体" w:cs="Times New Roman"/>
                <w:color w:val="auto"/>
                <w:sz w:val="24"/>
                <w:highlight w:val="none"/>
                <w:u w:val="single" w:color="auto"/>
                <w:lang w:eastAsia="zh-CN"/>
              </w:rPr>
              <w:t>内</w:t>
            </w:r>
            <w:r>
              <w:rPr>
                <w:rFonts w:hint="eastAsia" w:ascii="Times New Roman" w:hAnsi="Times New Roman" w:eastAsia="宋体" w:cs="Times New Roman"/>
                <w:color w:val="auto"/>
                <w:sz w:val="24"/>
                <w:highlight w:val="none"/>
                <w:u w:val="single" w:color="auto"/>
                <w:lang w:val="en-US" w:eastAsia="zh-CN"/>
              </w:rPr>
              <w:t>监测</w:t>
            </w:r>
            <w:r>
              <w:rPr>
                <w:rFonts w:hint="default" w:ascii="Times New Roman" w:hAnsi="Times New Roman" w:eastAsia="宋体" w:cs="Times New Roman"/>
                <w:color w:val="auto"/>
                <w:sz w:val="24"/>
                <w:highlight w:val="none"/>
                <w:u w:val="single" w:color="auto"/>
                <w:lang w:val="en-US" w:eastAsia="zh-CN"/>
              </w:rPr>
              <w:t>点位</w:t>
            </w:r>
            <w:r>
              <w:rPr>
                <w:rFonts w:hint="default" w:ascii="Times New Roman" w:hAnsi="Times New Roman" w:eastAsia="宋体" w:cs="Times New Roman"/>
                <w:color w:val="auto"/>
                <w:sz w:val="24"/>
                <w:highlight w:val="none"/>
                <w:u w:val="single" w:color="auto"/>
                <w:lang w:eastAsia="zh-CN"/>
              </w:rPr>
              <w:t>45项监测因子及石油烃监测含量低于《土壤环境质量建设用地土壤污染风险管控标准（试行）》（GB36600-2018）建设用地</w:t>
            </w:r>
            <w:r>
              <w:rPr>
                <w:rFonts w:hint="eastAsia" w:ascii="Times New Roman" w:hAnsi="Times New Roman" w:eastAsia="宋体" w:cs="Times New Roman"/>
                <w:color w:val="auto"/>
                <w:sz w:val="24"/>
                <w:highlight w:val="none"/>
                <w:u w:val="single" w:color="auto"/>
                <w:lang w:val="en-US" w:eastAsia="zh-CN"/>
              </w:rPr>
              <w:t>第二类</w:t>
            </w:r>
            <w:r>
              <w:rPr>
                <w:rFonts w:hint="default" w:ascii="Times New Roman" w:hAnsi="Times New Roman" w:eastAsia="宋体" w:cs="Times New Roman"/>
                <w:color w:val="auto"/>
                <w:sz w:val="24"/>
                <w:highlight w:val="none"/>
                <w:u w:val="single" w:color="auto"/>
                <w:lang w:eastAsia="zh-CN"/>
              </w:rPr>
              <w:t>用地风险筛选值，</w:t>
            </w:r>
            <w:r>
              <w:rPr>
                <w:rFonts w:hint="eastAsia" w:ascii="Times New Roman" w:hAnsi="Times New Roman" w:eastAsia="宋体" w:cs="Times New Roman"/>
                <w:color w:val="auto"/>
                <w:sz w:val="24"/>
                <w:highlight w:val="none"/>
                <w:u w:val="single" w:color="auto"/>
                <w:lang w:val="en-US" w:eastAsia="zh-CN"/>
              </w:rPr>
              <w:t>甲</w:t>
            </w:r>
            <w:r>
              <w:rPr>
                <w:rFonts w:hint="default" w:ascii="Times New Roman" w:hAnsi="Times New Roman" w:eastAsia="宋体" w:cs="Times New Roman"/>
                <w:color w:val="auto"/>
                <w:sz w:val="24"/>
                <w:highlight w:val="none"/>
                <w:u w:val="single" w:color="auto"/>
                <w:lang w:eastAsia="zh-CN"/>
              </w:rPr>
              <w:t>监测含量低于《建设用地土壤污染风险筛选值》（</w:t>
            </w:r>
            <w:r>
              <w:rPr>
                <w:rFonts w:hint="eastAsia" w:ascii="Times New Roman" w:hAnsi="Times New Roman" w:eastAsia="宋体" w:cs="Times New Roman"/>
                <w:color w:val="auto"/>
                <w:sz w:val="24"/>
                <w:highlight w:val="none"/>
                <w:u w:val="single" w:color="auto"/>
                <w:lang w:val="en-US" w:eastAsia="zh-CN"/>
              </w:rPr>
              <w:t>DB41/T2527-2023</w:t>
            </w:r>
            <w:r>
              <w:rPr>
                <w:rFonts w:hint="default" w:ascii="Times New Roman" w:hAnsi="Times New Roman" w:eastAsia="宋体" w:cs="Times New Roman"/>
                <w:color w:val="auto"/>
                <w:sz w:val="24"/>
                <w:highlight w:val="none"/>
                <w:u w:val="single" w:color="auto"/>
                <w:lang w:eastAsia="zh-CN"/>
              </w:rPr>
              <w:t>）</w:t>
            </w:r>
            <w:r>
              <w:rPr>
                <w:rFonts w:hint="eastAsia" w:ascii="Times New Roman" w:hAnsi="Times New Roman" w:eastAsia="宋体" w:cs="Times New Roman"/>
                <w:color w:val="auto"/>
                <w:sz w:val="24"/>
                <w:highlight w:val="none"/>
                <w:u w:val="single" w:color="auto"/>
                <w:lang w:val="en-US" w:eastAsia="zh-CN"/>
              </w:rPr>
              <w:t>第二类用地</w:t>
            </w:r>
            <w:r>
              <w:rPr>
                <w:rFonts w:hint="default" w:ascii="Times New Roman" w:hAnsi="Times New Roman" w:eastAsia="宋体" w:cs="Times New Roman"/>
                <w:color w:val="auto"/>
                <w:sz w:val="24"/>
                <w:highlight w:val="none"/>
                <w:u w:val="single" w:color="auto"/>
                <w:lang w:eastAsia="zh-CN"/>
              </w:rPr>
              <w:t>风险筛选值</w:t>
            </w:r>
            <w:r>
              <w:rPr>
                <w:rFonts w:hint="eastAsia" w:ascii="Times New Roman" w:hAnsi="Times New Roman" w:eastAsia="宋体" w:cs="Times New Roman"/>
                <w:color w:val="auto"/>
                <w:sz w:val="24"/>
                <w:highlight w:val="none"/>
                <w:u w:val="single" w:color="auto"/>
                <w:lang w:eastAsia="zh-CN"/>
              </w:rPr>
              <w:t>。</w:t>
            </w:r>
          </w:p>
          <w:p w14:paraId="3B1D631B">
            <w:pPr>
              <w:numPr>
                <w:ilvl w:val="0"/>
                <w:numId w:val="0"/>
              </w:numPr>
              <w:adjustRightInd w:val="0"/>
              <w:snapToGrid w:val="0"/>
              <w:spacing w:line="520" w:lineRule="exact"/>
              <w:ind w:leftChars="0" w:firstLine="420" w:firstLineChars="200"/>
              <w:jc w:val="both"/>
              <w:rPr>
                <w:rFonts w:hint="default" w:ascii="Times New Roman" w:hAnsi="Times New Roman" w:cs="Times New Roman"/>
                <w:color w:val="auto"/>
                <w:highlight w:val="none"/>
                <w:lang w:val="en-US"/>
              </w:rPr>
            </w:pPr>
          </w:p>
        </w:tc>
      </w:tr>
      <w:tr w14:paraId="0CFC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8" w:hRule="atLeast"/>
          <w:jc w:val="center"/>
        </w:trPr>
        <w:tc>
          <w:tcPr>
            <w:tcW w:w="316" w:type="pct"/>
            <w:noWrap w:val="0"/>
            <w:vAlign w:val="center"/>
          </w:tcPr>
          <w:p w14:paraId="17640673">
            <w:pPr>
              <w:adjustRightInd w:val="0"/>
              <w:snapToGrid w:val="0"/>
              <w:jc w:val="center"/>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环境</w:t>
            </w:r>
          </w:p>
          <w:p w14:paraId="0C06A5F5">
            <w:pPr>
              <w:adjustRightInd w:val="0"/>
              <w:snapToGrid w:val="0"/>
              <w:jc w:val="center"/>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保护</w:t>
            </w:r>
          </w:p>
          <w:p w14:paraId="4453B61B">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val="0"/>
                <w:bCs w:val="0"/>
                <w:color w:val="auto"/>
                <w:kern w:val="0"/>
                <w:sz w:val="24"/>
                <w:szCs w:val="24"/>
                <w:highlight w:val="none"/>
              </w:rPr>
              <w:t>目标</w:t>
            </w:r>
          </w:p>
        </w:tc>
        <w:tc>
          <w:tcPr>
            <w:tcW w:w="4683" w:type="pct"/>
            <w:noWrap w:val="0"/>
            <w:vAlign w:val="top"/>
          </w:tcPr>
          <w:p w14:paraId="25C39EA9">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根据调查，厂界外</w:t>
            </w:r>
            <w:r>
              <w:rPr>
                <w:rFonts w:hint="default" w:ascii="Times New Roman" w:hAnsi="Times New Roman" w:cs="Times New Roman"/>
                <w:color w:val="auto"/>
                <w:kern w:val="0"/>
                <w:sz w:val="24"/>
                <w:szCs w:val="24"/>
                <w:highlight w:val="none"/>
                <w:lang w:val="en-US" w:eastAsia="zh-CN"/>
              </w:rPr>
              <w:t>50米范围内不存在声环境敏感保护目标；</w:t>
            </w:r>
            <w:r>
              <w:rPr>
                <w:rFonts w:hint="default" w:ascii="Times New Roman" w:hAnsi="Times New Roman" w:eastAsia="宋体" w:cs="Times New Roman"/>
                <w:color w:val="auto"/>
                <w:kern w:val="0"/>
                <w:sz w:val="24"/>
                <w:szCs w:val="24"/>
                <w:highlight w:val="none"/>
              </w:rPr>
              <w:t>厂界外500米范围内不存在地下水集中式饮用水水源和热水、矿泉水、温泉等特殊地下水资源；项目所在地区域处于人类开发活动范围内，并无原始植被生长和珍贵野生动物活动，不属于生态环境保护区，用地范围内无生态环境保护目标。</w:t>
            </w:r>
          </w:p>
          <w:p w14:paraId="4464F358">
            <w:pPr>
              <w:numPr>
                <w:ilvl w:val="0"/>
                <w:numId w:val="0"/>
              </w:numPr>
              <w:adjustRightInd w:val="0"/>
              <w:snapToGrid w:val="0"/>
              <w:spacing w:line="5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 xml:space="preserve">   环境保护目标一览表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566"/>
              <w:gridCol w:w="1566"/>
              <w:gridCol w:w="1569"/>
              <w:gridCol w:w="2307"/>
            </w:tblGrid>
            <w:tr w14:paraId="1E85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88" w:type="pct"/>
                  <w:tcBorders>
                    <w:tl2br w:val="nil"/>
                    <w:tr2bl w:val="nil"/>
                  </w:tcBorders>
                  <w:noWrap w:val="0"/>
                  <w:vAlign w:val="center"/>
                </w:tcPr>
                <w:p w14:paraId="05E392D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008" w:type="pct"/>
                  <w:tcBorders>
                    <w:tl2br w:val="nil"/>
                    <w:tr2bl w:val="nil"/>
                  </w:tcBorders>
                  <w:noWrap w:val="0"/>
                  <w:vAlign w:val="center"/>
                </w:tcPr>
                <w:p w14:paraId="5200A0C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保护对象</w:t>
                  </w:r>
                </w:p>
              </w:tc>
              <w:tc>
                <w:tcPr>
                  <w:tcW w:w="1008" w:type="pct"/>
                  <w:tcBorders>
                    <w:tl2br w:val="nil"/>
                    <w:tr2bl w:val="nil"/>
                  </w:tcBorders>
                  <w:noWrap w:val="0"/>
                  <w:vAlign w:val="center"/>
                </w:tcPr>
                <w:p w14:paraId="0157B59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相对厂址方位</w:t>
                  </w:r>
                </w:p>
              </w:tc>
              <w:tc>
                <w:tcPr>
                  <w:tcW w:w="1010" w:type="pct"/>
                  <w:tcBorders>
                    <w:tl2br w:val="nil"/>
                    <w:tr2bl w:val="nil"/>
                  </w:tcBorders>
                  <w:noWrap w:val="0"/>
                  <w:vAlign w:val="center"/>
                </w:tcPr>
                <w:p w14:paraId="236B7E1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相对厂址距离</w:t>
                  </w:r>
                </w:p>
              </w:tc>
              <w:tc>
                <w:tcPr>
                  <w:tcW w:w="1485" w:type="pct"/>
                  <w:tcBorders>
                    <w:tl2br w:val="nil"/>
                    <w:tr2bl w:val="nil"/>
                  </w:tcBorders>
                  <w:noWrap w:val="0"/>
                  <w:vAlign w:val="center"/>
                </w:tcPr>
                <w:p w14:paraId="285FC9D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环境功能区</w:t>
                  </w:r>
                </w:p>
              </w:tc>
            </w:tr>
            <w:tr w14:paraId="5073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88" w:type="pct"/>
                  <w:vMerge w:val="restart"/>
                  <w:tcBorders>
                    <w:tl2br w:val="nil"/>
                    <w:tr2bl w:val="nil"/>
                  </w:tcBorders>
                  <w:noWrap w:val="0"/>
                  <w:vAlign w:val="center"/>
                </w:tcPr>
                <w:p w14:paraId="14750EA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w:t>
                  </w:r>
                </w:p>
              </w:tc>
              <w:tc>
                <w:tcPr>
                  <w:tcW w:w="1008" w:type="pct"/>
                  <w:tcBorders>
                    <w:tl2br w:val="nil"/>
                    <w:tr2bl w:val="nil"/>
                  </w:tcBorders>
                  <w:noWrap w:val="0"/>
                  <w:vAlign w:val="center"/>
                </w:tcPr>
                <w:p w14:paraId="6916F3C8">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cs="Times New Roman"/>
                      <w:b w:val="0"/>
                      <w:bCs w:val="0"/>
                      <w:color w:val="auto"/>
                      <w:sz w:val="21"/>
                      <w:szCs w:val="21"/>
                      <w:highlight w:val="none"/>
                      <w:u w:val="none"/>
                      <w:lang w:val="en-US" w:eastAsia="zh-CN"/>
                    </w:rPr>
                    <w:t>袁家村</w:t>
                  </w:r>
                </w:p>
              </w:tc>
              <w:tc>
                <w:tcPr>
                  <w:tcW w:w="1008" w:type="pct"/>
                  <w:tcBorders>
                    <w:tl2br w:val="nil"/>
                    <w:tr2bl w:val="nil"/>
                  </w:tcBorders>
                  <w:noWrap w:val="0"/>
                  <w:vAlign w:val="center"/>
                </w:tcPr>
                <w:p w14:paraId="1D70B987">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cs="Times New Roman"/>
                      <w:b w:val="0"/>
                      <w:bCs w:val="0"/>
                      <w:color w:val="auto"/>
                      <w:sz w:val="21"/>
                      <w:szCs w:val="21"/>
                      <w:highlight w:val="none"/>
                      <w:u w:val="none"/>
                      <w:lang w:val="en-US" w:eastAsia="zh-CN"/>
                    </w:rPr>
                    <w:t>S</w:t>
                  </w:r>
                </w:p>
              </w:tc>
              <w:tc>
                <w:tcPr>
                  <w:tcW w:w="1010" w:type="pct"/>
                  <w:tcBorders>
                    <w:tl2br w:val="nil"/>
                    <w:tr2bl w:val="nil"/>
                  </w:tcBorders>
                  <w:noWrap w:val="0"/>
                  <w:vAlign w:val="center"/>
                </w:tcPr>
                <w:p w14:paraId="204E9609">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cs="Times New Roman"/>
                      <w:b w:val="0"/>
                      <w:bCs w:val="0"/>
                      <w:color w:val="auto"/>
                      <w:sz w:val="21"/>
                      <w:szCs w:val="21"/>
                      <w:highlight w:val="none"/>
                      <w:u w:val="none"/>
                      <w:lang w:val="en-US" w:eastAsia="zh-CN"/>
                    </w:rPr>
                    <w:t>220</w:t>
                  </w:r>
                  <w:r>
                    <w:rPr>
                      <w:rFonts w:hint="default" w:ascii="Times New Roman" w:hAnsi="Times New Roman" w:eastAsia="宋体" w:cs="Times New Roman"/>
                      <w:b w:val="0"/>
                      <w:bCs w:val="0"/>
                      <w:color w:val="auto"/>
                      <w:sz w:val="21"/>
                      <w:szCs w:val="21"/>
                      <w:highlight w:val="none"/>
                      <w:u w:val="none"/>
                      <w:lang w:val="en-US" w:eastAsia="zh-CN"/>
                    </w:rPr>
                    <w:t>m</w:t>
                  </w:r>
                </w:p>
              </w:tc>
              <w:tc>
                <w:tcPr>
                  <w:tcW w:w="1485" w:type="pct"/>
                  <w:vMerge w:val="restart"/>
                  <w:tcBorders>
                    <w:tl2br w:val="nil"/>
                    <w:tr2bl w:val="nil"/>
                  </w:tcBorders>
                  <w:noWrap w:val="0"/>
                  <w:vAlign w:val="center"/>
                </w:tcPr>
                <w:p w14:paraId="77C08D2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《环境空气质量标准》（GB3095-2012）及修改单</w:t>
                  </w:r>
                  <w:r>
                    <w:rPr>
                      <w:rFonts w:hint="default" w:ascii="Times New Roman" w:hAnsi="Times New Roman" w:eastAsia="宋体" w:cs="Times New Roman"/>
                      <w:color w:val="auto"/>
                      <w:sz w:val="21"/>
                      <w:szCs w:val="21"/>
                      <w:highlight w:val="none"/>
                    </w:rPr>
                    <w:t>二级标准</w:t>
                  </w:r>
                </w:p>
              </w:tc>
            </w:tr>
            <w:tr w14:paraId="6AE2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88" w:type="pct"/>
                  <w:vMerge w:val="continue"/>
                  <w:tcBorders>
                    <w:tl2br w:val="nil"/>
                    <w:tr2bl w:val="nil"/>
                  </w:tcBorders>
                  <w:noWrap w:val="0"/>
                  <w:vAlign w:val="center"/>
                </w:tcPr>
                <w:p w14:paraId="249F89C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08" w:type="pct"/>
                  <w:tcBorders>
                    <w:tl2br w:val="nil"/>
                    <w:tr2bl w:val="nil"/>
                  </w:tcBorders>
                  <w:noWrap w:val="0"/>
                  <w:vAlign w:val="center"/>
                </w:tcPr>
                <w:p w14:paraId="2597082A">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cs="Times New Roman"/>
                      <w:b w:val="0"/>
                      <w:bCs w:val="0"/>
                      <w:color w:val="auto"/>
                      <w:sz w:val="21"/>
                      <w:szCs w:val="21"/>
                      <w:highlight w:val="none"/>
                      <w:u w:val="none"/>
                      <w:lang w:val="en-US" w:eastAsia="zh-CN"/>
                    </w:rPr>
                  </w:pPr>
                  <w:r>
                    <w:rPr>
                      <w:rFonts w:hint="default" w:ascii="Times New Roman" w:hAnsi="Times New Roman" w:cs="Times New Roman"/>
                      <w:b w:val="0"/>
                      <w:bCs w:val="0"/>
                      <w:color w:val="auto"/>
                      <w:sz w:val="21"/>
                      <w:szCs w:val="21"/>
                      <w:highlight w:val="none"/>
                      <w:u w:val="none"/>
                      <w:lang w:val="en-US" w:eastAsia="zh-CN"/>
                    </w:rPr>
                    <w:t>杨菜园村</w:t>
                  </w:r>
                </w:p>
              </w:tc>
              <w:tc>
                <w:tcPr>
                  <w:tcW w:w="1008" w:type="pct"/>
                  <w:tcBorders>
                    <w:tl2br w:val="nil"/>
                    <w:tr2bl w:val="nil"/>
                  </w:tcBorders>
                  <w:noWrap w:val="0"/>
                  <w:vAlign w:val="center"/>
                </w:tcPr>
                <w:p w14:paraId="5EE85390">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cs="Times New Roman"/>
                      <w:b w:val="0"/>
                      <w:bCs w:val="0"/>
                      <w:color w:val="auto"/>
                      <w:sz w:val="21"/>
                      <w:szCs w:val="21"/>
                      <w:highlight w:val="none"/>
                      <w:u w:val="none"/>
                      <w:lang w:val="en-US" w:eastAsia="zh-CN"/>
                    </w:rPr>
                  </w:pPr>
                  <w:r>
                    <w:rPr>
                      <w:rFonts w:hint="default" w:ascii="Times New Roman" w:hAnsi="Times New Roman" w:cs="Times New Roman"/>
                      <w:b w:val="0"/>
                      <w:bCs w:val="0"/>
                      <w:color w:val="auto"/>
                      <w:sz w:val="21"/>
                      <w:szCs w:val="21"/>
                      <w:highlight w:val="none"/>
                      <w:u w:val="none"/>
                      <w:lang w:val="en-US" w:eastAsia="zh-CN"/>
                    </w:rPr>
                    <w:t>WS</w:t>
                  </w:r>
                </w:p>
              </w:tc>
              <w:tc>
                <w:tcPr>
                  <w:tcW w:w="1010" w:type="pct"/>
                  <w:tcBorders>
                    <w:tl2br w:val="nil"/>
                    <w:tr2bl w:val="nil"/>
                  </w:tcBorders>
                  <w:noWrap w:val="0"/>
                  <w:vAlign w:val="center"/>
                </w:tcPr>
                <w:p w14:paraId="3C8B70F8">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cs="Times New Roman"/>
                      <w:b w:val="0"/>
                      <w:bCs w:val="0"/>
                      <w:color w:val="auto"/>
                      <w:sz w:val="21"/>
                      <w:szCs w:val="21"/>
                      <w:highlight w:val="none"/>
                      <w:u w:val="none"/>
                      <w:lang w:val="en-US" w:eastAsia="zh-CN"/>
                    </w:rPr>
                  </w:pPr>
                  <w:r>
                    <w:rPr>
                      <w:rFonts w:hint="default" w:ascii="Times New Roman" w:hAnsi="Times New Roman" w:cs="Times New Roman"/>
                      <w:b w:val="0"/>
                      <w:bCs w:val="0"/>
                      <w:color w:val="auto"/>
                      <w:sz w:val="21"/>
                      <w:szCs w:val="21"/>
                      <w:highlight w:val="none"/>
                      <w:u w:val="none"/>
                      <w:lang w:val="en-US" w:eastAsia="zh-CN"/>
                    </w:rPr>
                    <w:t>250m</w:t>
                  </w:r>
                </w:p>
              </w:tc>
              <w:tc>
                <w:tcPr>
                  <w:tcW w:w="1485" w:type="pct"/>
                  <w:vMerge w:val="continue"/>
                  <w:tcBorders>
                    <w:tl2br w:val="nil"/>
                    <w:tr2bl w:val="nil"/>
                  </w:tcBorders>
                  <w:noWrap w:val="0"/>
                  <w:vAlign w:val="center"/>
                </w:tcPr>
                <w:p w14:paraId="077F7FC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color w:val="auto"/>
                      <w:sz w:val="21"/>
                      <w:szCs w:val="21"/>
                      <w:highlight w:val="none"/>
                      <w:lang w:eastAsia="zh-CN"/>
                    </w:rPr>
                  </w:pPr>
                </w:p>
              </w:tc>
            </w:tr>
            <w:tr w14:paraId="0A5D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88" w:type="pct"/>
                  <w:vMerge w:val="continue"/>
                  <w:tcBorders>
                    <w:tl2br w:val="nil"/>
                    <w:tr2bl w:val="nil"/>
                  </w:tcBorders>
                  <w:noWrap w:val="0"/>
                  <w:vAlign w:val="center"/>
                </w:tcPr>
                <w:p w14:paraId="326514F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08" w:type="pct"/>
                  <w:tcBorders>
                    <w:tl2br w:val="nil"/>
                    <w:tr2bl w:val="nil"/>
                  </w:tcBorders>
                  <w:noWrap w:val="0"/>
                  <w:vAlign w:val="center"/>
                </w:tcPr>
                <w:p w14:paraId="247A5977">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cs="Times New Roman"/>
                      <w:b w:val="0"/>
                      <w:bCs w:val="0"/>
                      <w:color w:val="auto"/>
                      <w:sz w:val="21"/>
                      <w:szCs w:val="21"/>
                      <w:highlight w:val="none"/>
                      <w:u w:val="none"/>
                      <w:lang w:val="en-US" w:eastAsia="zh-CN"/>
                    </w:rPr>
                  </w:pPr>
                  <w:r>
                    <w:rPr>
                      <w:rFonts w:hint="default" w:ascii="Times New Roman" w:hAnsi="Times New Roman" w:cs="Times New Roman"/>
                      <w:b w:val="0"/>
                      <w:bCs w:val="0"/>
                      <w:color w:val="auto"/>
                      <w:sz w:val="21"/>
                      <w:szCs w:val="21"/>
                      <w:highlight w:val="none"/>
                      <w:u w:val="none"/>
                      <w:lang w:val="en-US" w:eastAsia="zh-CN"/>
                    </w:rPr>
                    <w:t>前张家村</w:t>
                  </w:r>
                </w:p>
              </w:tc>
              <w:tc>
                <w:tcPr>
                  <w:tcW w:w="1008" w:type="pct"/>
                  <w:tcBorders>
                    <w:tl2br w:val="nil"/>
                    <w:tr2bl w:val="nil"/>
                  </w:tcBorders>
                  <w:noWrap w:val="0"/>
                  <w:vAlign w:val="center"/>
                </w:tcPr>
                <w:p w14:paraId="7E5B1089">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cs="Times New Roman"/>
                      <w:b w:val="0"/>
                      <w:bCs w:val="0"/>
                      <w:color w:val="auto"/>
                      <w:sz w:val="21"/>
                      <w:szCs w:val="21"/>
                      <w:highlight w:val="none"/>
                      <w:u w:val="none"/>
                      <w:lang w:val="en-US" w:eastAsia="zh-CN"/>
                    </w:rPr>
                  </w:pPr>
                  <w:r>
                    <w:rPr>
                      <w:rFonts w:hint="default" w:ascii="Times New Roman" w:hAnsi="Times New Roman" w:cs="Times New Roman"/>
                      <w:b w:val="0"/>
                      <w:bCs w:val="0"/>
                      <w:color w:val="auto"/>
                      <w:sz w:val="21"/>
                      <w:szCs w:val="21"/>
                      <w:highlight w:val="none"/>
                      <w:u w:val="none"/>
                      <w:lang w:val="en-US" w:eastAsia="zh-CN"/>
                    </w:rPr>
                    <w:t>NE</w:t>
                  </w:r>
                </w:p>
              </w:tc>
              <w:tc>
                <w:tcPr>
                  <w:tcW w:w="1010" w:type="pct"/>
                  <w:tcBorders>
                    <w:tl2br w:val="nil"/>
                    <w:tr2bl w:val="nil"/>
                  </w:tcBorders>
                  <w:noWrap w:val="0"/>
                  <w:vAlign w:val="center"/>
                </w:tcPr>
                <w:p w14:paraId="4F75D24C">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cs="Times New Roman"/>
                      <w:b w:val="0"/>
                      <w:bCs w:val="0"/>
                      <w:color w:val="auto"/>
                      <w:sz w:val="21"/>
                      <w:szCs w:val="21"/>
                      <w:highlight w:val="none"/>
                      <w:u w:val="none"/>
                      <w:lang w:val="en-US" w:eastAsia="zh-CN"/>
                    </w:rPr>
                  </w:pPr>
                  <w:r>
                    <w:rPr>
                      <w:rFonts w:hint="default" w:ascii="Times New Roman" w:hAnsi="Times New Roman" w:cs="Times New Roman"/>
                      <w:b w:val="0"/>
                      <w:bCs w:val="0"/>
                      <w:color w:val="auto"/>
                      <w:sz w:val="21"/>
                      <w:szCs w:val="21"/>
                      <w:highlight w:val="none"/>
                      <w:u w:val="none"/>
                      <w:lang w:val="en-US" w:eastAsia="zh-CN"/>
                    </w:rPr>
                    <w:t>460m</w:t>
                  </w:r>
                </w:p>
              </w:tc>
              <w:tc>
                <w:tcPr>
                  <w:tcW w:w="1485" w:type="pct"/>
                  <w:vMerge w:val="continue"/>
                  <w:tcBorders>
                    <w:tl2br w:val="nil"/>
                    <w:tr2bl w:val="nil"/>
                  </w:tcBorders>
                  <w:noWrap w:val="0"/>
                  <w:vAlign w:val="center"/>
                </w:tcPr>
                <w:p w14:paraId="679E11B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color w:val="auto"/>
                      <w:sz w:val="21"/>
                      <w:szCs w:val="21"/>
                      <w:highlight w:val="none"/>
                      <w:lang w:eastAsia="zh-CN"/>
                    </w:rPr>
                  </w:pPr>
                </w:p>
              </w:tc>
            </w:tr>
          </w:tbl>
          <w:p w14:paraId="5F2443E1">
            <w:pPr>
              <w:numPr>
                <w:ilvl w:val="0"/>
                <w:numId w:val="0"/>
              </w:numPr>
              <w:adjustRightInd w:val="0"/>
              <w:snapToGrid w:val="0"/>
              <w:spacing w:line="520" w:lineRule="exact"/>
              <w:jc w:val="both"/>
              <w:rPr>
                <w:rFonts w:hint="default" w:ascii="Times New Roman" w:hAnsi="Times New Roman" w:eastAsia="宋体" w:cs="Times New Roman"/>
                <w:color w:val="auto"/>
                <w:kern w:val="0"/>
                <w:szCs w:val="21"/>
                <w:highlight w:val="none"/>
              </w:rPr>
            </w:pPr>
          </w:p>
        </w:tc>
      </w:tr>
      <w:tr w14:paraId="6D89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7" w:hRule="atLeast"/>
          <w:jc w:val="center"/>
        </w:trPr>
        <w:tc>
          <w:tcPr>
            <w:tcW w:w="316" w:type="pct"/>
            <w:noWrap w:val="0"/>
            <w:tcMar>
              <w:left w:w="28" w:type="dxa"/>
              <w:right w:w="28" w:type="dxa"/>
            </w:tcMar>
            <w:vAlign w:val="center"/>
          </w:tcPr>
          <w:p w14:paraId="7E557378">
            <w:pPr>
              <w:adjustRightInd w:val="0"/>
              <w:snapToGrid w:val="0"/>
              <w:jc w:val="center"/>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污染</w:t>
            </w:r>
          </w:p>
          <w:p w14:paraId="5DB5DFFD">
            <w:pPr>
              <w:adjustRightInd w:val="0"/>
              <w:snapToGrid w:val="0"/>
              <w:jc w:val="center"/>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物排</w:t>
            </w:r>
          </w:p>
          <w:p w14:paraId="72481B96">
            <w:pPr>
              <w:adjustRightInd w:val="0"/>
              <w:snapToGrid w:val="0"/>
              <w:jc w:val="center"/>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放控</w:t>
            </w:r>
          </w:p>
          <w:p w14:paraId="248EF092">
            <w:pPr>
              <w:adjustRightInd w:val="0"/>
              <w:snapToGrid w:val="0"/>
              <w:jc w:val="center"/>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制标</w:t>
            </w:r>
          </w:p>
          <w:p w14:paraId="443A496A">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val="0"/>
                <w:bCs w:val="0"/>
                <w:color w:val="auto"/>
                <w:kern w:val="0"/>
                <w:sz w:val="24"/>
                <w:szCs w:val="24"/>
                <w:highlight w:val="none"/>
              </w:rPr>
              <w:t>准</w:t>
            </w:r>
          </w:p>
        </w:tc>
        <w:tc>
          <w:tcPr>
            <w:tcW w:w="4683" w:type="pct"/>
            <w:noWrap w:val="0"/>
            <w:vAlign w:val="top"/>
          </w:tcPr>
          <w:p w14:paraId="437C734F">
            <w:pPr>
              <w:numPr>
                <w:ilvl w:val="0"/>
                <w:numId w:val="0"/>
              </w:numPr>
              <w:adjustRightInd w:val="0"/>
              <w:snapToGrid w:val="0"/>
              <w:spacing w:line="520" w:lineRule="exact"/>
              <w:jc w:val="both"/>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1、废气</w:t>
            </w:r>
          </w:p>
          <w:p w14:paraId="3B3EBED2">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颗粒物</w:t>
            </w:r>
            <w:r>
              <w:rPr>
                <w:rFonts w:hint="default" w:ascii="Times New Roman" w:hAnsi="Times New Roman" w:cs="Times New Roman"/>
                <w:color w:val="auto"/>
                <w:kern w:val="0"/>
                <w:sz w:val="24"/>
                <w:szCs w:val="24"/>
                <w:highlight w:val="none"/>
                <w:lang w:val="en-US" w:eastAsia="zh-CN"/>
              </w:rPr>
              <w:t>、非甲烷总烃</w:t>
            </w:r>
            <w:r>
              <w:rPr>
                <w:rFonts w:hint="default" w:ascii="Times New Roman" w:hAnsi="Times New Roman" w:eastAsia="宋体" w:cs="Times New Roman"/>
                <w:color w:val="auto"/>
                <w:kern w:val="0"/>
                <w:sz w:val="24"/>
                <w:szCs w:val="24"/>
                <w:highlight w:val="none"/>
                <w:lang w:val="en-US" w:eastAsia="zh-CN"/>
              </w:rPr>
              <w:t>满足《大气污染物综合排放标准》（GB16297-1996）表2二级标准排放要求</w:t>
            </w:r>
            <w:r>
              <w:rPr>
                <w:rFonts w:hint="default" w:ascii="Times New Roman" w:hAnsi="Times New Roman" w:cs="Times New Roman"/>
                <w:color w:val="auto"/>
                <w:kern w:val="0"/>
                <w:sz w:val="24"/>
                <w:szCs w:val="24"/>
                <w:highlight w:val="none"/>
                <w:lang w:val="en-US" w:eastAsia="zh-CN"/>
              </w:rPr>
              <w:t>；无组织非甲烷总烃同时满足《挥发性有机物无组织排放控制标准》（GB37822-2019）表1要求。</w:t>
            </w:r>
          </w:p>
          <w:p w14:paraId="152D0BFB">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项目颗粒物、非甲烷总烃同时满足《关于全省开展工业企业挥发性有机物专项治理工作中排放建议值的通知》（豫环攻坚办〔2017〕162号）、河南省重污染天气通用行业应急减排措施制定技术指南（2024年修订版）》通用企业绩效引领性指标要求。</w:t>
            </w:r>
          </w:p>
          <w:p w14:paraId="76D99887">
            <w:pPr>
              <w:numPr>
                <w:ilvl w:val="0"/>
                <w:numId w:val="0"/>
              </w:numPr>
              <w:adjustRightInd w:val="0"/>
              <w:snapToGrid w:val="0"/>
              <w:spacing w:line="5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表3-</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eastAsia="zh-CN"/>
              </w:rPr>
              <w:t>排放控制标准一览表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4"/>
              <w:gridCol w:w="954"/>
              <w:gridCol w:w="3808"/>
            </w:tblGrid>
            <w:tr w14:paraId="684F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4" w:type="pct"/>
                  <w:tcBorders>
                    <w:tl2br w:val="nil"/>
                    <w:tr2bl w:val="nil"/>
                  </w:tcBorders>
                  <w:noWrap w:val="0"/>
                  <w:vAlign w:val="center"/>
                </w:tcPr>
                <w:p w14:paraId="45B4C0A6">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标准名称</w:t>
                  </w:r>
                </w:p>
              </w:tc>
              <w:tc>
                <w:tcPr>
                  <w:tcW w:w="614" w:type="pct"/>
                  <w:tcBorders>
                    <w:tl2br w:val="nil"/>
                    <w:tr2bl w:val="nil"/>
                  </w:tcBorders>
                  <w:noWrap w:val="0"/>
                  <w:vAlign w:val="center"/>
                </w:tcPr>
                <w:p w14:paraId="55CE1DE0">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污染物</w:t>
                  </w:r>
                </w:p>
              </w:tc>
              <w:tc>
                <w:tcPr>
                  <w:tcW w:w="2451" w:type="pct"/>
                  <w:tcBorders>
                    <w:tl2br w:val="nil"/>
                    <w:tr2bl w:val="nil"/>
                  </w:tcBorders>
                  <w:noWrap w:val="0"/>
                  <w:vAlign w:val="center"/>
                </w:tcPr>
                <w:p w14:paraId="4E32877E">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主要标准要求</w:t>
                  </w:r>
                </w:p>
              </w:tc>
            </w:tr>
            <w:tr w14:paraId="734B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4" w:type="pct"/>
                  <w:vMerge w:val="restart"/>
                  <w:tcBorders>
                    <w:tl2br w:val="nil"/>
                    <w:tr2bl w:val="nil"/>
                  </w:tcBorders>
                  <w:noWrap w:val="0"/>
                  <w:vAlign w:val="center"/>
                </w:tcPr>
                <w:p w14:paraId="67509919">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《大气污染物综合排放标准》（GB16297-1996）</w:t>
                  </w:r>
                </w:p>
              </w:tc>
              <w:tc>
                <w:tcPr>
                  <w:tcW w:w="614" w:type="pct"/>
                  <w:vMerge w:val="restart"/>
                  <w:tcBorders>
                    <w:right w:val="single" w:color="000000" w:sz="4" w:space="0"/>
                    <w:tl2br w:val="nil"/>
                    <w:tr2bl w:val="nil"/>
                  </w:tcBorders>
                  <w:shd w:val="clear" w:color="auto" w:fill="auto"/>
                  <w:noWrap w:val="0"/>
                  <w:vAlign w:val="center"/>
                </w:tcPr>
                <w:p w14:paraId="19D08AA3">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kern w:val="0"/>
                      <w:sz w:val="21"/>
                      <w:szCs w:val="21"/>
                      <w:highlight w:val="none"/>
                      <w:lang w:val="en-US" w:eastAsia="zh-CN"/>
                    </w:rPr>
                    <w:t>颗粒物</w:t>
                  </w:r>
                </w:p>
              </w:tc>
              <w:tc>
                <w:tcPr>
                  <w:tcW w:w="2451" w:type="pct"/>
                  <w:tcBorders>
                    <w:left w:val="single" w:color="000000" w:sz="4" w:space="0"/>
                    <w:bottom w:val="single" w:color="auto" w:sz="4" w:space="0"/>
                    <w:tl2br w:val="nil"/>
                    <w:tr2bl w:val="nil"/>
                  </w:tcBorders>
                  <w:shd w:val="clear" w:color="auto" w:fill="auto"/>
                  <w:noWrap w:val="0"/>
                  <w:vAlign w:val="center"/>
                </w:tcPr>
                <w:p w14:paraId="28A84D8E">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有组织：120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r>
                    <w:rPr>
                      <w:rFonts w:hint="default" w:ascii="Times New Roman" w:hAnsi="Times New Roman" w:cs="Times New Roman"/>
                      <w:color w:val="auto"/>
                      <w:kern w:val="2"/>
                      <w:sz w:val="21"/>
                      <w:szCs w:val="21"/>
                      <w:highlight w:val="none"/>
                      <w:lang w:val="en-US" w:eastAsia="zh-CN" w:bidi="ar-SA"/>
                    </w:rPr>
                    <w:t>，1.75kg/h-15m</w:t>
                  </w:r>
                  <w:r>
                    <w:rPr>
                      <w:rFonts w:hint="default" w:ascii="Times New Roman" w:hAnsi="Times New Roman" w:cs="Times New Roman"/>
                      <w:color w:val="auto"/>
                      <w:kern w:val="2"/>
                      <w:sz w:val="21"/>
                      <w:szCs w:val="21"/>
                      <w:highlight w:val="none"/>
                      <w:vertAlign w:val="superscript"/>
                      <w:lang w:val="en-US" w:eastAsia="zh-CN" w:bidi="ar-SA"/>
                    </w:rPr>
                    <w:t>①</w:t>
                  </w:r>
                </w:p>
              </w:tc>
            </w:tr>
            <w:tr w14:paraId="4FA1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934" w:type="pct"/>
                  <w:vMerge w:val="continue"/>
                  <w:tcBorders>
                    <w:tl2br w:val="nil"/>
                    <w:tr2bl w:val="nil"/>
                  </w:tcBorders>
                  <w:noWrap w:val="0"/>
                  <w:vAlign w:val="center"/>
                </w:tcPr>
                <w:p w14:paraId="003CFD7B">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614" w:type="pct"/>
                  <w:vMerge w:val="continue"/>
                  <w:tcBorders>
                    <w:right w:val="single" w:color="000000" w:sz="4" w:space="0"/>
                    <w:tl2br w:val="nil"/>
                    <w:tr2bl w:val="nil"/>
                  </w:tcBorders>
                  <w:noWrap w:val="0"/>
                  <w:vAlign w:val="center"/>
                </w:tcPr>
                <w:p w14:paraId="2CFE9593">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rPr>
                  </w:pPr>
                </w:p>
              </w:tc>
              <w:tc>
                <w:tcPr>
                  <w:tcW w:w="2451" w:type="pct"/>
                  <w:tcBorders>
                    <w:left w:val="single" w:color="000000" w:sz="4" w:space="0"/>
                    <w:bottom w:val="single" w:color="auto" w:sz="4" w:space="0"/>
                    <w:tl2br w:val="nil"/>
                    <w:tr2bl w:val="nil"/>
                  </w:tcBorders>
                  <w:shd w:val="clear" w:color="auto" w:fill="auto"/>
                  <w:noWrap w:val="0"/>
                  <w:vAlign w:val="center"/>
                </w:tcPr>
                <w:p w14:paraId="59B7B927">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无组织：1.0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p>
              </w:tc>
            </w:tr>
            <w:tr w14:paraId="34E0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934" w:type="pct"/>
                  <w:vMerge w:val="continue"/>
                  <w:tcBorders>
                    <w:tl2br w:val="nil"/>
                    <w:tr2bl w:val="nil"/>
                  </w:tcBorders>
                  <w:noWrap w:val="0"/>
                  <w:vAlign w:val="center"/>
                </w:tcPr>
                <w:p w14:paraId="75B6462A">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614" w:type="pct"/>
                  <w:vMerge w:val="restart"/>
                  <w:tcBorders>
                    <w:right w:val="single" w:color="000000" w:sz="4" w:space="0"/>
                    <w:tl2br w:val="nil"/>
                    <w:tr2bl w:val="nil"/>
                  </w:tcBorders>
                  <w:shd w:val="clear" w:color="auto" w:fill="auto"/>
                  <w:noWrap w:val="0"/>
                  <w:vAlign w:val="center"/>
                </w:tcPr>
                <w:p w14:paraId="2C405397">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非甲烷总烃</w:t>
                  </w:r>
                </w:p>
              </w:tc>
              <w:tc>
                <w:tcPr>
                  <w:tcW w:w="2451" w:type="pct"/>
                  <w:tcBorders>
                    <w:left w:val="single" w:color="000000" w:sz="4" w:space="0"/>
                    <w:bottom w:val="single" w:color="auto" w:sz="4" w:space="0"/>
                    <w:tl2br w:val="nil"/>
                    <w:tr2bl w:val="nil"/>
                  </w:tcBorders>
                  <w:shd w:val="clear" w:color="auto" w:fill="auto"/>
                  <w:noWrap w:val="0"/>
                  <w:vAlign w:val="center"/>
                </w:tcPr>
                <w:p w14:paraId="6EBB0962">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有组织：120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r>
                    <w:rPr>
                      <w:rFonts w:hint="default" w:ascii="Times New Roman" w:hAnsi="Times New Roman" w:cs="Times New Roman"/>
                      <w:color w:val="auto"/>
                      <w:kern w:val="2"/>
                      <w:sz w:val="21"/>
                      <w:szCs w:val="21"/>
                      <w:highlight w:val="none"/>
                      <w:lang w:val="en-US" w:eastAsia="zh-CN" w:bidi="ar-SA"/>
                    </w:rPr>
                    <w:t>，5kg/h-15m</w:t>
                  </w:r>
                  <w:r>
                    <w:rPr>
                      <w:rFonts w:hint="default" w:ascii="Times New Roman" w:hAnsi="Times New Roman" w:cs="Times New Roman"/>
                      <w:color w:val="auto"/>
                      <w:kern w:val="2"/>
                      <w:sz w:val="21"/>
                      <w:szCs w:val="21"/>
                      <w:highlight w:val="none"/>
                      <w:vertAlign w:val="superscript"/>
                      <w:lang w:val="en-US" w:eastAsia="zh-CN" w:bidi="ar-SA"/>
                    </w:rPr>
                    <w:t>①</w:t>
                  </w:r>
                </w:p>
              </w:tc>
            </w:tr>
            <w:tr w14:paraId="3C39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4" w:type="pct"/>
                  <w:vMerge w:val="continue"/>
                  <w:tcBorders>
                    <w:tl2br w:val="nil"/>
                    <w:tr2bl w:val="nil"/>
                  </w:tcBorders>
                  <w:noWrap w:val="0"/>
                  <w:vAlign w:val="center"/>
                </w:tcPr>
                <w:p w14:paraId="10643046">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614" w:type="pct"/>
                  <w:vMerge w:val="continue"/>
                  <w:tcBorders>
                    <w:right w:val="single" w:color="000000" w:sz="4" w:space="0"/>
                    <w:tl2br w:val="nil"/>
                    <w:tr2bl w:val="nil"/>
                  </w:tcBorders>
                  <w:noWrap w:val="0"/>
                  <w:vAlign w:val="center"/>
                </w:tcPr>
                <w:p w14:paraId="3FA2D9D9">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rPr>
                  </w:pPr>
                </w:p>
              </w:tc>
              <w:tc>
                <w:tcPr>
                  <w:tcW w:w="2451" w:type="pct"/>
                  <w:tcBorders>
                    <w:left w:val="single" w:color="000000" w:sz="4" w:space="0"/>
                    <w:bottom w:val="single" w:color="auto" w:sz="4" w:space="0"/>
                    <w:tl2br w:val="nil"/>
                    <w:tr2bl w:val="nil"/>
                  </w:tcBorders>
                  <w:shd w:val="clear" w:color="auto" w:fill="auto"/>
                  <w:noWrap w:val="0"/>
                  <w:vAlign w:val="center"/>
                </w:tcPr>
                <w:p w14:paraId="4B0F1FBE">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无组织：4.0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p>
              </w:tc>
            </w:tr>
            <w:tr w14:paraId="73D0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934" w:type="pct"/>
                  <w:tcBorders>
                    <w:tl2br w:val="nil"/>
                    <w:tr2bl w:val="nil"/>
                  </w:tcBorders>
                  <w:noWrap w:val="0"/>
                  <w:vAlign w:val="center"/>
                </w:tcPr>
                <w:p w14:paraId="3455A7A6">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《挥发性有机物无组织排放控制标准》（GB37822-2019）表1</w:t>
                  </w:r>
                </w:p>
              </w:tc>
              <w:tc>
                <w:tcPr>
                  <w:tcW w:w="614" w:type="pct"/>
                  <w:tcBorders>
                    <w:right w:val="single" w:color="000000" w:sz="4" w:space="0"/>
                    <w:tl2br w:val="nil"/>
                    <w:tr2bl w:val="nil"/>
                  </w:tcBorders>
                  <w:noWrap w:val="0"/>
                  <w:vAlign w:val="center"/>
                </w:tcPr>
                <w:p w14:paraId="2B31F966">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非甲烷总烃</w:t>
                  </w:r>
                </w:p>
              </w:tc>
              <w:tc>
                <w:tcPr>
                  <w:tcW w:w="2451" w:type="pct"/>
                  <w:tcBorders>
                    <w:left w:val="single" w:color="000000" w:sz="4" w:space="0"/>
                    <w:bottom w:val="single" w:color="auto" w:sz="4" w:space="0"/>
                    <w:tl2br w:val="nil"/>
                    <w:tr2bl w:val="nil"/>
                  </w:tcBorders>
                  <w:shd w:val="clear" w:color="auto" w:fill="auto"/>
                  <w:noWrap w:val="0"/>
                  <w:vAlign w:val="center"/>
                </w:tcPr>
                <w:p w14:paraId="51562C3C">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在厂房外设置监控点</w:t>
                  </w:r>
                  <w:r>
                    <w:rPr>
                      <w:rFonts w:hint="default" w:ascii="Times New Roman" w:hAnsi="Times New Roman"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监控点处1h平均浓度值6mg/m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、监控点处任意一次浓度值20mg/m</w:t>
                  </w:r>
                  <w:r>
                    <w:rPr>
                      <w:rFonts w:hint="default" w:ascii="Times New Roman" w:hAnsi="Times New Roman" w:eastAsia="宋体" w:cs="Times New Roman"/>
                      <w:b w:val="0"/>
                      <w:bCs w:val="0"/>
                      <w:color w:val="auto"/>
                      <w:sz w:val="21"/>
                      <w:szCs w:val="21"/>
                      <w:highlight w:val="none"/>
                      <w:vertAlign w:val="superscript"/>
                      <w:lang w:val="en-US" w:eastAsia="zh-CN"/>
                    </w:rPr>
                    <w:t>3</w:t>
                  </w:r>
                </w:p>
              </w:tc>
            </w:tr>
            <w:tr w14:paraId="05E3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4" w:type="pct"/>
                  <w:vMerge w:val="restart"/>
                  <w:tcBorders>
                    <w:tl2br w:val="nil"/>
                    <w:tr2bl w:val="nil"/>
                  </w:tcBorders>
                  <w:noWrap w:val="0"/>
                  <w:vAlign w:val="center"/>
                </w:tcPr>
                <w:p w14:paraId="7F187CC9">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《关于全省开展工业企业挥发性有机物专项治理工作中排放建议值的通知》（豫环攻坚办〔2017〕162号）</w:t>
                  </w:r>
                </w:p>
              </w:tc>
              <w:tc>
                <w:tcPr>
                  <w:tcW w:w="614" w:type="pct"/>
                  <w:vMerge w:val="restart"/>
                  <w:tcBorders>
                    <w:right w:val="single" w:color="000000" w:sz="4" w:space="0"/>
                    <w:tl2br w:val="nil"/>
                    <w:tr2bl w:val="nil"/>
                  </w:tcBorders>
                  <w:noWrap w:val="0"/>
                  <w:vAlign w:val="center"/>
                </w:tcPr>
                <w:p w14:paraId="43F39CDE">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非甲烷总烃</w:t>
                  </w:r>
                </w:p>
              </w:tc>
              <w:tc>
                <w:tcPr>
                  <w:tcW w:w="2451" w:type="pct"/>
                  <w:tcBorders>
                    <w:left w:val="single" w:color="000000" w:sz="4" w:space="0"/>
                    <w:bottom w:val="single" w:color="auto" w:sz="4" w:space="0"/>
                    <w:tl2br w:val="nil"/>
                    <w:tr2bl w:val="nil"/>
                  </w:tcBorders>
                  <w:shd w:val="clear" w:color="auto" w:fill="auto"/>
                  <w:noWrap w:val="0"/>
                  <w:vAlign w:val="center"/>
                </w:tcPr>
                <w:p w14:paraId="52EA1CB7">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kern w:val="2"/>
                      <w:sz w:val="21"/>
                      <w:szCs w:val="21"/>
                      <w:highlight w:val="none"/>
                      <w:lang w:val="en-US" w:eastAsia="zh-CN" w:bidi="ar-SA"/>
                    </w:rPr>
                    <w:t>有组织：</w:t>
                  </w:r>
                  <w:r>
                    <w:rPr>
                      <w:rFonts w:hint="default" w:ascii="Times New Roman" w:hAnsi="Times New Roman" w:cs="Times New Roman"/>
                      <w:color w:val="auto"/>
                      <w:kern w:val="0"/>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r>
                    <w:rPr>
                      <w:rFonts w:hint="default" w:ascii="Times New Roman" w:hAnsi="Times New Roman" w:cs="Times New Roman"/>
                      <w:color w:val="auto"/>
                      <w:sz w:val="21"/>
                      <w:szCs w:val="21"/>
                      <w:highlight w:val="none"/>
                      <w:vertAlign w:val="baseline"/>
                      <w:lang w:val="en-US" w:eastAsia="zh-CN" w:bidi="ar-SA"/>
                    </w:rPr>
                    <w:t>，建议去除效率70%</w:t>
                  </w:r>
                </w:p>
              </w:tc>
            </w:tr>
            <w:tr w14:paraId="5200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934" w:type="pct"/>
                  <w:vMerge w:val="continue"/>
                  <w:tcBorders>
                    <w:tl2br w:val="nil"/>
                    <w:tr2bl w:val="nil"/>
                  </w:tcBorders>
                  <w:noWrap w:val="0"/>
                  <w:vAlign w:val="center"/>
                </w:tcPr>
                <w:p w14:paraId="5FB7A2AA">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614" w:type="pct"/>
                  <w:vMerge w:val="continue"/>
                  <w:tcBorders>
                    <w:right w:val="single" w:color="000000" w:sz="4" w:space="0"/>
                    <w:tl2br w:val="nil"/>
                    <w:tr2bl w:val="nil"/>
                  </w:tcBorders>
                  <w:noWrap w:val="0"/>
                  <w:vAlign w:val="center"/>
                </w:tcPr>
                <w:p w14:paraId="292BCECC">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rPr>
                  </w:pPr>
                </w:p>
              </w:tc>
              <w:tc>
                <w:tcPr>
                  <w:tcW w:w="2451" w:type="pct"/>
                  <w:tcBorders>
                    <w:left w:val="single" w:color="000000" w:sz="4" w:space="0"/>
                    <w:bottom w:val="single" w:color="auto" w:sz="4" w:space="0"/>
                    <w:tl2br w:val="nil"/>
                    <w:tr2bl w:val="nil"/>
                  </w:tcBorders>
                  <w:shd w:val="clear" w:color="auto" w:fill="auto"/>
                  <w:noWrap w:val="0"/>
                  <w:vAlign w:val="center"/>
                </w:tcPr>
                <w:p w14:paraId="3CA9C5FC">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无组织：</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r>
                    <w:rPr>
                      <w:rFonts w:hint="default" w:ascii="Times New Roman" w:hAnsi="Times New Roman" w:eastAsia="宋体" w:cs="Times New Roman"/>
                      <w:color w:val="auto"/>
                      <w:sz w:val="21"/>
                      <w:szCs w:val="21"/>
                      <w:highlight w:val="none"/>
                      <w:vertAlign w:val="baseline"/>
                      <w:lang w:val="en-US" w:eastAsia="zh-CN" w:bidi="ar-SA"/>
                    </w:rPr>
                    <w:t>（</w:t>
                  </w:r>
                  <w:r>
                    <w:rPr>
                      <w:rFonts w:hint="default" w:ascii="Times New Roman" w:hAnsi="Times New Roman" w:cs="Times New Roman"/>
                      <w:color w:val="auto"/>
                      <w:sz w:val="21"/>
                      <w:szCs w:val="21"/>
                      <w:highlight w:val="none"/>
                      <w:vertAlign w:val="baseline"/>
                      <w:lang w:val="en-US" w:eastAsia="zh-CN" w:bidi="ar-SA"/>
                    </w:rPr>
                    <w:t>生产车间或生产设备边界</w:t>
                  </w:r>
                  <w:r>
                    <w:rPr>
                      <w:rFonts w:hint="default" w:ascii="Times New Roman" w:hAnsi="Times New Roman" w:eastAsia="宋体" w:cs="Times New Roman"/>
                      <w:color w:val="auto"/>
                      <w:sz w:val="21"/>
                      <w:szCs w:val="21"/>
                      <w:highlight w:val="none"/>
                      <w:vertAlign w:val="baseline"/>
                      <w:lang w:val="en-US" w:eastAsia="zh-CN" w:bidi="ar-SA"/>
                    </w:rPr>
                    <w:t>）</w:t>
                  </w:r>
                  <w:r>
                    <w:rPr>
                      <w:rFonts w:hint="default" w:ascii="Times New Roman" w:hAnsi="Times New Roman" w:cs="Times New Roman"/>
                      <w:color w:val="auto"/>
                      <w:sz w:val="21"/>
                      <w:szCs w:val="21"/>
                      <w:highlight w:val="none"/>
                      <w:vertAlign w:val="baseline"/>
                      <w:lang w:val="en-US" w:eastAsia="zh-CN" w:bidi="ar-SA"/>
                    </w:rPr>
                    <w:t>；2.0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r>
                    <w:rPr>
                      <w:rFonts w:hint="default" w:ascii="Times New Roman" w:hAnsi="Times New Roman" w:eastAsia="宋体" w:cs="Times New Roman"/>
                      <w:color w:val="auto"/>
                      <w:sz w:val="21"/>
                      <w:szCs w:val="21"/>
                      <w:highlight w:val="none"/>
                      <w:vertAlign w:val="baseline"/>
                      <w:lang w:val="en-US" w:eastAsia="zh-CN" w:bidi="ar-SA"/>
                    </w:rPr>
                    <w:t>（</w:t>
                  </w:r>
                  <w:r>
                    <w:rPr>
                      <w:rFonts w:hint="default" w:ascii="Times New Roman" w:hAnsi="Times New Roman" w:cs="Times New Roman"/>
                      <w:color w:val="auto"/>
                      <w:sz w:val="21"/>
                      <w:szCs w:val="21"/>
                      <w:highlight w:val="none"/>
                      <w:vertAlign w:val="baseline"/>
                      <w:lang w:val="en-US" w:eastAsia="zh-CN" w:bidi="ar-SA"/>
                    </w:rPr>
                    <w:t>工业企业边界</w:t>
                  </w:r>
                  <w:r>
                    <w:rPr>
                      <w:rFonts w:hint="default" w:ascii="Times New Roman" w:hAnsi="Times New Roman" w:eastAsia="宋体" w:cs="Times New Roman"/>
                      <w:color w:val="auto"/>
                      <w:sz w:val="21"/>
                      <w:szCs w:val="21"/>
                      <w:highlight w:val="none"/>
                      <w:vertAlign w:val="baseline"/>
                      <w:lang w:val="en-US" w:eastAsia="zh-CN" w:bidi="ar-SA"/>
                    </w:rPr>
                    <w:t>）</w:t>
                  </w:r>
                </w:p>
              </w:tc>
            </w:tr>
            <w:tr w14:paraId="42E2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34" w:type="pct"/>
                  <w:vMerge w:val="restart"/>
                  <w:tcBorders>
                    <w:tl2br w:val="nil"/>
                    <w:tr2bl w:val="nil"/>
                  </w:tcBorders>
                  <w:noWrap w:val="0"/>
                  <w:vAlign w:val="center"/>
                </w:tcPr>
                <w:p w14:paraId="61574B59">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《河南省重污染天气通用行业应急减排措施制定技术指南（2024年修订版）》通用企业绩效引领性指标</w:t>
                  </w:r>
                </w:p>
              </w:tc>
              <w:tc>
                <w:tcPr>
                  <w:tcW w:w="614" w:type="pct"/>
                  <w:tcBorders>
                    <w:right w:val="single" w:color="000000" w:sz="4" w:space="0"/>
                    <w:tl2br w:val="nil"/>
                    <w:tr2bl w:val="nil"/>
                  </w:tcBorders>
                  <w:shd w:val="clear" w:color="auto" w:fill="auto"/>
                  <w:noWrap w:val="0"/>
                  <w:vAlign w:val="center"/>
                </w:tcPr>
                <w:p w14:paraId="5B138A7B">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lang w:val="en-US" w:eastAsia="zh-CN"/>
                    </w:rPr>
                    <w:t>颗粒物</w:t>
                  </w:r>
                </w:p>
              </w:tc>
              <w:tc>
                <w:tcPr>
                  <w:tcW w:w="2451" w:type="pct"/>
                  <w:tcBorders>
                    <w:left w:val="single" w:color="000000" w:sz="4" w:space="0"/>
                    <w:bottom w:val="single" w:color="auto" w:sz="4" w:space="0"/>
                    <w:tl2br w:val="nil"/>
                    <w:tr2bl w:val="nil"/>
                  </w:tcBorders>
                  <w:shd w:val="clear" w:color="auto" w:fill="auto"/>
                  <w:noWrap w:val="0"/>
                  <w:vAlign w:val="center"/>
                </w:tcPr>
                <w:p w14:paraId="3E0EF035">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color w:val="auto"/>
                      <w:kern w:val="2"/>
                      <w:sz w:val="21"/>
                      <w:szCs w:val="21"/>
                      <w:highlight w:val="none"/>
                      <w:lang w:val="en-US" w:eastAsia="zh-CN" w:bidi="ar-SA"/>
                    </w:rPr>
                    <w:t>有组织：10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p>
              </w:tc>
            </w:tr>
            <w:tr w14:paraId="3E73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34" w:type="pct"/>
                  <w:vMerge w:val="continue"/>
                  <w:tcBorders>
                    <w:tl2br w:val="nil"/>
                    <w:tr2bl w:val="nil"/>
                  </w:tcBorders>
                  <w:noWrap w:val="0"/>
                  <w:vAlign w:val="center"/>
                </w:tcPr>
                <w:p w14:paraId="68FB54EA">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p>
              </w:tc>
              <w:tc>
                <w:tcPr>
                  <w:tcW w:w="614" w:type="pct"/>
                  <w:tcBorders>
                    <w:right w:val="single" w:color="000000" w:sz="4" w:space="0"/>
                    <w:tl2br w:val="nil"/>
                    <w:tr2bl w:val="nil"/>
                  </w:tcBorders>
                  <w:noWrap w:val="0"/>
                  <w:vAlign w:val="center"/>
                </w:tcPr>
                <w:p w14:paraId="0C405F51">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非甲烷总烃</w:t>
                  </w:r>
                </w:p>
              </w:tc>
              <w:tc>
                <w:tcPr>
                  <w:tcW w:w="2451" w:type="pct"/>
                  <w:tcBorders>
                    <w:left w:val="single" w:color="000000" w:sz="4" w:space="0"/>
                    <w:bottom w:val="single" w:color="auto" w:sz="4" w:space="0"/>
                    <w:tl2br w:val="nil"/>
                    <w:tr2bl w:val="nil"/>
                  </w:tcBorders>
                  <w:shd w:val="clear" w:color="auto" w:fill="auto"/>
                  <w:noWrap w:val="0"/>
                  <w:vAlign w:val="center"/>
                </w:tcPr>
                <w:p w14:paraId="01C55E07">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color w:val="auto"/>
                      <w:kern w:val="2"/>
                      <w:sz w:val="21"/>
                      <w:szCs w:val="21"/>
                      <w:highlight w:val="none"/>
                      <w:lang w:val="en-US" w:eastAsia="zh-CN" w:bidi="ar-SA"/>
                    </w:rPr>
                    <w:t>有组织：30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p>
              </w:tc>
            </w:tr>
            <w:tr w14:paraId="3C93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934" w:type="pct"/>
                  <w:vMerge w:val="restart"/>
                  <w:tcBorders>
                    <w:tl2br w:val="nil"/>
                    <w:tr2bl w:val="nil"/>
                  </w:tcBorders>
                  <w:noWrap w:val="0"/>
                  <w:vAlign w:val="center"/>
                </w:tcPr>
                <w:p w14:paraId="7CB48436">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bidi="ar-SA"/>
                    </w:rPr>
                    <w:t>本项目标准限值取值</w:t>
                  </w:r>
                </w:p>
              </w:tc>
              <w:tc>
                <w:tcPr>
                  <w:tcW w:w="614" w:type="pct"/>
                  <w:vMerge w:val="restart"/>
                  <w:tcBorders>
                    <w:right w:val="single" w:color="000000" w:sz="4" w:space="0"/>
                    <w:tl2br w:val="nil"/>
                    <w:tr2bl w:val="nil"/>
                  </w:tcBorders>
                  <w:noWrap w:val="0"/>
                  <w:vAlign w:val="center"/>
                </w:tcPr>
                <w:p w14:paraId="4AD9BDE5">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颗粒物</w:t>
                  </w:r>
                </w:p>
              </w:tc>
              <w:tc>
                <w:tcPr>
                  <w:tcW w:w="2451" w:type="pct"/>
                  <w:tcBorders>
                    <w:left w:val="single" w:color="000000" w:sz="4" w:space="0"/>
                    <w:bottom w:val="single" w:color="auto" w:sz="4" w:space="0"/>
                    <w:tl2br w:val="nil"/>
                    <w:tr2bl w:val="nil"/>
                  </w:tcBorders>
                  <w:shd w:val="clear" w:color="auto" w:fill="auto"/>
                  <w:noWrap w:val="0"/>
                  <w:vAlign w:val="center"/>
                </w:tcPr>
                <w:p w14:paraId="4BCC0E98">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有组织：10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r>
                    <w:rPr>
                      <w:rFonts w:hint="default" w:ascii="Times New Roman" w:hAnsi="Times New Roman" w:cs="Times New Roman"/>
                      <w:color w:val="auto"/>
                      <w:kern w:val="2"/>
                      <w:sz w:val="21"/>
                      <w:szCs w:val="21"/>
                      <w:highlight w:val="none"/>
                      <w:lang w:val="en-US" w:eastAsia="zh-CN" w:bidi="ar-SA"/>
                    </w:rPr>
                    <w:t>，1.75kg/h-15m</w:t>
                  </w:r>
                  <w:r>
                    <w:rPr>
                      <w:rFonts w:hint="default" w:ascii="Times New Roman" w:hAnsi="Times New Roman" w:cs="Times New Roman"/>
                      <w:color w:val="auto"/>
                      <w:kern w:val="2"/>
                      <w:sz w:val="21"/>
                      <w:szCs w:val="21"/>
                      <w:highlight w:val="none"/>
                      <w:vertAlign w:val="superscript"/>
                      <w:lang w:val="en-US" w:eastAsia="zh-CN" w:bidi="ar-SA"/>
                    </w:rPr>
                    <w:t>①</w:t>
                  </w:r>
                </w:p>
              </w:tc>
            </w:tr>
            <w:tr w14:paraId="1F39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934" w:type="pct"/>
                  <w:vMerge w:val="continue"/>
                  <w:tcBorders>
                    <w:tl2br w:val="nil"/>
                    <w:tr2bl w:val="nil"/>
                  </w:tcBorders>
                  <w:noWrap w:val="0"/>
                  <w:vAlign w:val="center"/>
                </w:tcPr>
                <w:p w14:paraId="62ED3367">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cs="Times New Roman"/>
                      <w:strike w:val="0"/>
                      <w:dstrike w:val="0"/>
                      <w:color w:val="auto"/>
                      <w:sz w:val="21"/>
                      <w:szCs w:val="21"/>
                      <w:highlight w:val="none"/>
                      <w:lang w:val="en-US" w:eastAsia="zh-CN" w:bidi="ar-SA"/>
                    </w:rPr>
                  </w:pPr>
                </w:p>
              </w:tc>
              <w:tc>
                <w:tcPr>
                  <w:tcW w:w="614" w:type="pct"/>
                  <w:vMerge w:val="continue"/>
                  <w:tcBorders>
                    <w:right w:val="single" w:color="000000" w:sz="4" w:space="0"/>
                    <w:tl2br w:val="nil"/>
                    <w:tr2bl w:val="nil"/>
                  </w:tcBorders>
                  <w:noWrap w:val="0"/>
                  <w:vAlign w:val="center"/>
                </w:tcPr>
                <w:p w14:paraId="54954914">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cs="Times New Roman"/>
                      <w:color w:val="auto"/>
                      <w:kern w:val="0"/>
                      <w:sz w:val="21"/>
                      <w:szCs w:val="21"/>
                      <w:highlight w:val="none"/>
                      <w:lang w:val="en-US" w:eastAsia="zh-CN"/>
                    </w:rPr>
                  </w:pPr>
                </w:p>
              </w:tc>
              <w:tc>
                <w:tcPr>
                  <w:tcW w:w="2451" w:type="pct"/>
                  <w:tcBorders>
                    <w:left w:val="single" w:color="000000" w:sz="4" w:space="0"/>
                    <w:bottom w:val="single" w:color="auto" w:sz="4" w:space="0"/>
                    <w:tl2br w:val="nil"/>
                    <w:tr2bl w:val="nil"/>
                  </w:tcBorders>
                  <w:shd w:val="clear" w:color="auto" w:fill="auto"/>
                  <w:noWrap w:val="0"/>
                  <w:vAlign w:val="center"/>
                </w:tcPr>
                <w:p w14:paraId="44F4994D">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无组织：1.0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p>
              </w:tc>
            </w:tr>
            <w:tr w14:paraId="6EF7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934" w:type="pct"/>
                  <w:vMerge w:val="continue"/>
                  <w:tcBorders>
                    <w:tl2br w:val="nil"/>
                    <w:tr2bl w:val="nil"/>
                  </w:tcBorders>
                  <w:noWrap w:val="0"/>
                  <w:vAlign w:val="center"/>
                </w:tcPr>
                <w:p w14:paraId="387CB82D">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cs="Times New Roman"/>
                      <w:strike w:val="0"/>
                      <w:dstrike w:val="0"/>
                      <w:color w:val="auto"/>
                      <w:sz w:val="21"/>
                      <w:szCs w:val="21"/>
                      <w:highlight w:val="none"/>
                      <w:lang w:val="en-US" w:eastAsia="zh-CN" w:bidi="ar-SA"/>
                    </w:rPr>
                  </w:pPr>
                </w:p>
              </w:tc>
              <w:tc>
                <w:tcPr>
                  <w:tcW w:w="614" w:type="pct"/>
                  <w:vMerge w:val="restart"/>
                  <w:tcBorders>
                    <w:right w:val="single" w:color="000000" w:sz="4" w:space="0"/>
                    <w:tl2br w:val="nil"/>
                    <w:tr2bl w:val="nil"/>
                  </w:tcBorders>
                  <w:noWrap w:val="0"/>
                  <w:vAlign w:val="center"/>
                </w:tcPr>
                <w:p w14:paraId="163CB23A">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非甲烷总烃</w:t>
                  </w:r>
                </w:p>
              </w:tc>
              <w:tc>
                <w:tcPr>
                  <w:tcW w:w="2451" w:type="pct"/>
                  <w:tcBorders>
                    <w:left w:val="single" w:color="000000" w:sz="4" w:space="0"/>
                    <w:bottom w:val="single" w:color="auto" w:sz="4" w:space="0"/>
                    <w:tl2br w:val="nil"/>
                    <w:tr2bl w:val="nil"/>
                  </w:tcBorders>
                  <w:shd w:val="clear" w:color="auto" w:fill="auto"/>
                  <w:noWrap w:val="0"/>
                  <w:vAlign w:val="center"/>
                </w:tcPr>
                <w:p w14:paraId="7F1B0C63">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有组织：30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r>
                    <w:rPr>
                      <w:rFonts w:hint="default" w:ascii="Times New Roman" w:hAnsi="Times New Roman" w:cs="Times New Roman"/>
                      <w:color w:val="auto"/>
                      <w:kern w:val="2"/>
                      <w:sz w:val="21"/>
                      <w:szCs w:val="21"/>
                      <w:highlight w:val="none"/>
                      <w:lang w:val="en-US" w:eastAsia="zh-CN" w:bidi="ar-SA"/>
                    </w:rPr>
                    <w:t>，5kg/h-15m</w:t>
                  </w:r>
                  <w:r>
                    <w:rPr>
                      <w:rFonts w:hint="default" w:ascii="Times New Roman" w:hAnsi="Times New Roman" w:cs="Times New Roman"/>
                      <w:color w:val="auto"/>
                      <w:kern w:val="2"/>
                      <w:sz w:val="21"/>
                      <w:szCs w:val="21"/>
                      <w:highlight w:val="none"/>
                      <w:vertAlign w:val="superscript"/>
                      <w:lang w:val="en-US" w:eastAsia="zh-CN" w:bidi="ar-SA"/>
                    </w:rPr>
                    <w:t>①</w:t>
                  </w:r>
                  <w:r>
                    <w:rPr>
                      <w:rFonts w:hint="default" w:ascii="Times New Roman" w:hAnsi="Times New Roman" w:cs="Times New Roman"/>
                      <w:color w:val="auto"/>
                      <w:sz w:val="21"/>
                      <w:szCs w:val="21"/>
                      <w:highlight w:val="none"/>
                      <w:vertAlign w:val="baseline"/>
                      <w:lang w:val="en-US" w:eastAsia="zh-CN" w:bidi="ar-SA"/>
                    </w:rPr>
                    <w:t>，建议去除效率70%</w:t>
                  </w:r>
                </w:p>
              </w:tc>
            </w:tr>
            <w:tr w14:paraId="6751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4" w:type="pct"/>
                  <w:vMerge w:val="continue"/>
                  <w:tcBorders>
                    <w:tl2br w:val="nil"/>
                    <w:tr2bl w:val="nil"/>
                  </w:tcBorders>
                  <w:noWrap w:val="0"/>
                  <w:vAlign w:val="center"/>
                </w:tcPr>
                <w:p w14:paraId="55C35057">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cs="Times New Roman"/>
                      <w:strike w:val="0"/>
                      <w:dstrike w:val="0"/>
                      <w:color w:val="auto"/>
                      <w:sz w:val="21"/>
                      <w:szCs w:val="21"/>
                      <w:highlight w:val="none"/>
                      <w:lang w:val="en-US" w:eastAsia="zh-CN" w:bidi="ar-SA"/>
                    </w:rPr>
                  </w:pPr>
                </w:p>
              </w:tc>
              <w:tc>
                <w:tcPr>
                  <w:tcW w:w="614" w:type="pct"/>
                  <w:vMerge w:val="continue"/>
                  <w:tcBorders>
                    <w:right w:val="single" w:color="000000" w:sz="4" w:space="0"/>
                    <w:tl2br w:val="nil"/>
                    <w:tr2bl w:val="nil"/>
                  </w:tcBorders>
                  <w:noWrap w:val="0"/>
                  <w:vAlign w:val="center"/>
                </w:tcPr>
                <w:p w14:paraId="153FA3FF">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cs="Times New Roman"/>
                      <w:color w:val="auto"/>
                      <w:kern w:val="0"/>
                      <w:sz w:val="21"/>
                      <w:szCs w:val="21"/>
                      <w:highlight w:val="none"/>
                      <w:lang w:val="en-US" w:eastAsia="zh-CN"/>
                    </w:rPr>
                  </w:pPr>
                </w:p>
              </w:tc>
              <w:tc>
                <w:tcPr>
                  <w:tcW w:w="2451" w:type="pct"/>
                  <w:tcBorders>
                    <w:left w:val="single" w:color="000000" w:sz="4" w:space="0"/>
                    <w:bottom w:val="single" w:color="auto" w:sz="4" w:space="0"/>
                    <w:tl2br w:val="nil"/>
                    <w:tr2bl w:val="nil"/>
                  </w:tcBorders>
                  <w:shd w:val="clear" w:color="auto" w:fill="auto"/>
                  <w:noWrap w:val="0"/>
                  <w:vAlign w:val="center"/>
                </w:tcPr>
                <w:p w14:paraId="61D6FBE2">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无组织：</w:t>
                  </w:r>
                  <w:r>
                    <w:rPr>
                      <w:rFonts w:hint="default" w:ascii="Times New Roman" w:hAnsi="Times New Roman" w:cs="Times New Roman"/>
                      <w:color w:val="auto"/>
                      <w:sz w:val="21"/>
                      <w:szCs w:val="21"/>
                      <w:highlight w:val="none"/>
                      <w:vertAlign w:val="baseline"/>
                      <w:lang w:val="en-US" w:eastAsia="zh-CN" w:bidi="ar-SA"/>
                    </w:rPr>
                    <w:t>2.0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r>
                    <w:rPr>
                      <w:rFonts w:hint="default" w:ascii="Times New Roman" w:hAnsi="Times New Roman" w:eastAsia="宋体" w:cs="Times New Roman"/>
                      <w:color w:val="auto"/>
                      <w:sz w:val="21"/>
                      <w:szCs w:val="21"/>
                      <w:highlight w:val="none"/>
                      <w:vertAlign w:val="baseline"/>
                      <w:lang w:val="en-US" w:eastAsia="zh-CN" w:bidi="ar-SA"/>
                    </w:rPr>
                    <w:t>（</w:t>
                  </w:r>
                  <w:r>
                    <w:rPr>
                      <w:rFonts w:hint="default" w:ascii="Times New Roman" w:hAnsi="Times New Roman" w:cs="Times New Roman"/>
                      <w:color w:val="auto"/>
                      <w:sz w:val="21"/>
                      <w:szCs w:val="21"/>
                      <w:highlight w:val="none"/>
                      <w:vertAlign w:val="baseline"/>
                      <w:lang w:val="en-US" w:eastAsia="zh-CN" w:bidi="ar-SA"/>
                    </w:rPr>
                    <w:t>工业企业边界</w:t>
                  </w:r>
                  <w:r>
                    <w:rPr>
                      <w:rFonts w:hint="default" w:ascii="Times New Roman" w:hAnsi="Times New Roman" w:eastAsia="宋体" w:cs="Times New Roman"/>
                      <w:color w:val="auto"/>
                      <w:sz w:val="21"/>
                      <w:szCs w:val="21"/>
                      <w:highlight w:val="none"/>
                      <w:vertAlign w:val="baseline"/>
                      <w:lang w:val="en-US" w:eastAsia="zh-CN" w:bidi="ar-SA"/>
                    </w:rPr>
                    <w:t>）</w:t>
                  </w:r>
                  <w:r>
                    <w:rPr>
                      <w:rFonts w:hint="default" w:ascii="Times New Roman" w:hAnsi="Times New Roman" w:cs="Times New Roman"/>
                      <w:color w:val="auto"/>
                      <w:sz w:val="21"/>
                      <w:szCs w:val="21"/>
                      <w:highlight w:val="none"/>
                      <w:vertAlign w:val="baseline"/>
                      <w:lang w:val="en-US" w:eastAsia="zh-CN" w:bidi="ar-SA"/>
                    </w:rPr>
                    <w:t>；</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bidi="ar-SA"/>
                    </w:rPr>
                    <w:t>mg/m</w:t>
                  </w:r>
                  <w:r>
                    <w:rPr>
                      <w:rFonts w:hint="default" w:ascii="Times New Roman" w:hAnsi="Times New Roman" w:eastAsia="宋体" w:cs="Times New Roman"/>
                      <w:color w:val="auto"/>
                      <w:sz w:val="21"/>
                      <w:szCs w:val="21"/>
                      <w:highlight w:val="none"/>
                      <w:vertAlign w:val="superscript"/>
                      <w:lang w:val="en-US" w:eastAsia="zh-CN" w:bidi="ar-SA"/>
                    </w:rPr>
                    <w:t>3</w:t>
                  </w:r>
                  <w:r>
                    <w:rPr>
                      <w:rFonts w:hint="default" w:ascii="Times New Roman" w:hAnsi="Times New Roman" w:eastAsia="宋体" w:cs="Times New Roman"/>
                      <w:color w:val="auto"/>
                      <w:sz w:val="21"/>
                      <w:szCs w:val="21"/>
                      <w:highlight w:val="none"/>
                      <w:vertAlign w:val="baseline"/>
                      <w:lang w:val="en-US" w:eastAsia="zh-CN" w:bidi="ar-SA"/>
                    </w:rPr>
                    <w:t>（</w:t>
                  </w:r>
                  <w:r>
                    <w:rPr>
                      <w:rFonts w:hint="default" w:ascii="Times New Roman" w:hAnsi="Times New Roman" w:cs="Times New Roman"/>
                      <w:color w:val="auto"/>
                      <w:sz w:val="21"/>
                      <w:szCs w:val="21"/>
                      <w:highlight w:val="none"/>
                      <w:vertAlign w:val="baseline"/>
                      <w:lang w:val="en-US" w:eastAsia="zh-CN" w:bidi="ar-SA"/>
                    </w:rPr>
                    <w:t>生产车间或生产设备边界</w:t>
                  </w:r>
                  <w:r>
                    <w:rPr>
                      <w:rFonts w:hint="default" w:ascii="Times New Roman" w:hAnsi="Times New Roman" w:eastAsia="宋体" w:cs="Times New Roman"/>
                      <w:color w:val="auto"/>
                      <w:sz w:val="21"/>
                      <w:szCs w:val="21"/>
                      <w:highlight w:val="none"/>
                      <w:vertAlign w:val="baseline"/>
                      <w:lang w:val="en-US" w:eastAsia="zh-CN" w:bidi="ar-SA"/>
                    </w:rPr>
                    <w:t>）</w:t>
                  </w:r>
                  <w:r>
                    <w:rPr>
                      <w:rFonts w:hint="default" w:ascii="Times New Roman" w:hAnsi="Times New Roman" w:cs="Times New Roman"/>
                      <w:color w:val="auto"/>
                      <w:sz w:val="21"/>
                      <w:szCs w:val="21"/>
                      <w:highlight w:val="none"/>
                      <w:vertAlign w:val="baseline"/>
                      <w:lang w:val="en-US" w:eastAsia="zh-CN" w:bidi="ar-SA"/>
                    </w:rPr>
                    <w:t>；</w:t>
                  </w:r>
                </w:p>
              </w:tc>
            </w:tr>
            <w:tr w14:paraId="76D1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934" w:type="pct"/>
                  <w:vMerge w:val="continue"/>
                  <w:tcBorders>
                    <w:tl2br w:val="nil"/>
                    <w:tr2bl w:val="nil"/>
                  </w:tcBorders>
                  <w:noWrap w:val="0"/>
                  <w:vAlign w:val="center"/>
                </w:tcPr>
                <w:p w14:paraId="211B6247">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cs="Times New Roman"/>
                      <w:strike w:val="0"/>
                      <w:dstrike w:val="0"/>
                      <w:color w:val="auto"/>
                      <w:sz w:val="21"/>
                      <w:szCs w:val="21"/>
                      <w:highlight w:val="none"/>
                      <w:lang w:val="en-US" w:eastAsia="zh-CN" w:bidi="ar-SA"/>
                    </w:rPr>
                  </w:pPr>
                </w:p>
              </w:tc>
              <w:tc>
                <w:tcPr>
                  <w:tcW w:w="614" w:type="pct"/>
                  <w:vMerge w:val="continue"/>
                  <w:tcBorders>
                    <w:right w:val="single" w:color="000000" w:sz="4" w:space="0"/>
                    <w:tl2br w:val="nil"/>
                    <w:tr2bl w:val="nil"/>
                  </w:tcBorders>
                  <w:noWrap w:val="0"/>
                  <w:vAlign w:val="center"/>
                </w:tcPr>
                <w:p w14:paraId="54119270">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cs="Times New Roman"/>
                      <w:color w:val="auto"/>
                      <w:kern w:val="0"/>
                      <w:sz w:val="21"/>
                      <w:szCs w:val="21"/>
                      <w:highlight w:val="none"/>
                      <w:lang w:val="en-US" w:eastAsia="zh-CN"/>
                    </w:rPr>
                  </w:pPr>
                </w:p>
              </w:tc>
              <w:tc>
                <w:tcPr>
                  <w:tcW w:w="2451" w:type="pct"/>
                  <w:tcBorders>
                    <w:left w:val="single" w:color="000000" w:sz="4" w:space="0"/>
                    <w:tl2br w:val="nil"/>
                    <w:tr2bl w:val="nil"/>
                  </w:tcBorders>
                  <w:shd w:val="clear" w:color="auto" w:fill="auto"/>
                  <w:noWrap w:val="0"/>
                  <w:vAlign w:val="center"/>
                </w:tcPr>
                <w:p w14:paraId="5BCEA848">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在厂房外设置监控点</w:t>
                  </w:r>
                  <w:r>
                    <w:rPr>
                      <w:rFonts w:hint="default" w:ascii="Times New Roman" w:hAnsi="Times New Roman"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监控点处1h平均浓度值6mg/m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、监控点处任意一次浓度值20mg/m</w:t>
                  </w:r>
                  <w:r>
                    <w:rPr>
                      <w:rFonts w:hint="default" w:ascii="Times New Roman" w:hAnsi="Times New Roman" w:eastAsia="宋体" w:cs="Times New Roman"/>
                      <w:b w:val="0"/>
                      <w:bCs w:val="0"/>
                      <w:color w:val="auto"/>
                      <w:sz w:val="21"/>
                      <w:szCs w:val="21"/>
                      <w:highlight w:val="none"/>
                      <w:vertAlign w:val="superscript"/>
                      <w:lang w:val="en-US" w:eastAsia="zh-CN"/>
                    </w:rPr>
                    <w:t>3</w:t>
                  </w:r>
                </w:p>
              </w:tc>
            </w:tr>
            <w:tr w14:paraId="6D8C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5000" w:type="pct"/>
                  <w:gridSpan w:val="3"/>
                  <w:tcBorders>
                    <w:tl2br w:val="nil"/>
                    <w:tr2bl w:val="nil"/>
                  </w:tcBorders>
                  <w:noWrap w:val="0"/>
                  <w:vAlign w:val="center"/>
                </w:tcPr>
                <w:p w14:paraId="6AAB0B6B">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注：</w:t>
                  </w:r>
                  <w:r>
                    <w:rPr>
                      <w:rFonts w:hint="default" w:ascii="Times New Roman" w:hAnsi="Times New Roman" w:cs="Times New Roman"/>
                      <w:color w:val="auto"/>
                      <w:kern w:val="2"/>
                      <w:sz w:val="21"/>
                      <w:szCs w:val="21"/>
                      <w:highlight w:val="none"/>
                      <w:lang w:val="en-US" w:eastAsia="zh-CN" w:bidi="ar"/>
                    </w:rPr>
                    <w:t>①</w:t>
                  </w:r>
                  <w:r>
                    <w:rPr>
                      <w:rFonts w:hint="default" w:ascii="Times New Roman" w:hAnsi="Times New Roman" w:eastAsia="宋体" w:cs="Times New Roman"/>
                      <w:color w:val="auto"/>
                      <w:kern w:val="2"/>
                      <w:sz w:val="21"/>
                      <w:szCs w:val="21"/>
                      <w:highlight w:val="none"/>
                      <w:lang w:val="en-US" w:eastAsia="zh-CN" w:bidi="ar"/>
                    </w:rPr>
                    <w:t>排气筒</w:t>
                  </w:r>
                  <w:r>
                    <w:rPr>
                      <w:rFonts w:hint="default" w:ascii="Times New Roman" w:hAnsi="Times New Roman" w:cs="Times New Roman"/>
                      <w:color w:val="auto"/>
                      <w:kern w:val="2"/>
                      <w:sz w:val="21"/>
                      <w:szCs w:val="21"/>
                      <w:highlight w:val="none"/>
                      <w:lang w:val="en-US" w:eastAsia="zh-CN" w:bidi="ar"/>
                    </w:rPr>
                    <w:t>未</w:t>
                  </w:r>
                  <w:r>
                    <w:rPr>
                      <w:rFonts w:hint="default" w:ascii="Times New Roman" w:hAnsi="Times New Roman" w:eastAsia="宋体" w:cs="Times New Roman"/>
                      <w:color w:val="auto"/>
                      <w:kern w:val="2"/>
                      <w:sz w:val="21"/>
                      <w:szCs w:val="21"/>
                      <w:highlight w:val="none"/>
                      <w:lang w:val="en-US" w:eastAsia="zh-CN" w:bidi="ar"/>
                    </w:rPr>
                    <w:t>高出周围200m半径范围的建筑5m以上</w:t>
                  </w:r>
                  <w:r>
                    <w:rPr>
                      <w:rFonts w:hint="default" w:ascii="Times New Roman" w:hAnsi="Times New Roman" w:cs="Times New Roman"/>
                      <w:color w:val="auto"/>
                      <w:kern w:val="2"/>
                      <w:sz w:val="21"/>
                      <w:szCs w:val="21"/>
                      <w:highlight w:val="none"/>
                      <w:lang w:val="en-US" w:eastAsia="zh-CN" w:bidi="ar"/>
                    </w:rPr>
                    <w:t>，故排放速率严格50%执行</w:t>
                  </w:r>
                </w:p>
              </w:tc>
            </w:tr>
          </w:tbl>
          <w:p w14:paraId="43C33807">
            <w:pPr>
              <w:numPr>
                <w:ilvl w:val="0"/>
                <w:numId w:val="0"/>
              </w:numPr>
              <w:adjustRightInd w:val="0"/>
              <w:snapToGrid w:val="0"/>
              <w:spacing w:line="520" w:lineRule="exact"/>
              <w:jc w:val="both"/>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cs="Times New Roman"/>
                <w:b/>
                <w:bCs/>
                <w:color w:val="auto"/>
                <w:kern w:val="0"/>
                <w:sz w:val="24"/>
                <w:szCs w:val="24"/>
                <w:highlight w:val="none"/>
                <w:lang w:val="en-US" w:eastAsia="zh-CN"/>
              </w:rPr>
              <w:t>2</w:t>
            </w:r>
            <w:r>
              <w:rPr>
                <w:rFonts w:hint="default" w:ascii="Times New Roman" w:hAnsi="Times New Roman" w:eastAsia="宋体" w:cs="Times New Roman"/>
                <w:b/>
                <w:bCs/>
                <w:color w:val="auto"/>
                <w:kern w:val="0"/>
                <w:sz w:val="24"/>
                <w:szCs w:val="24"/>
                <w:highlight w:val="none"/>
                <w:lang w:val="en-US" w:eastAsia="zh-CN"/>
              </w:rPr>
              <w:t>、废</w:t>
            </w:r>
            <w:r>
              <w:rPr>
                <w:rFonts w:hint="default" w:ascii="Times New Roman" w:hAnsi="Times New Roman" w:cs="Times New Roman"/>
                <w:b/>
                <w:bCs/>
                <w:color w:val="auto"/>
                <w:kern w:val="0"/>
                <w:sz w:val="24"/>
                <w:szCs w:val="24"/>
                <w:highlight w:val="none"/>
                <w:lang w:val="en-US" w:eastAsia="zh-CN"/>
              </w:rPr>
              <w:t>水</w:t>
            </w:r>
          </w:p>
          <w:p w14:paraId="050141CC">
            <w:pPr>
              <w:numPr>
                <w:ilvl w:val="0"/>
                <w:numId w:val="0"/>
              </w:numPr>
              <w:adjustRightInd w:val="0"/>
              <w:snapToGrid w:val="0"/>
              <w:spacing w:line="520" w:lineRule="exact"/>
              <w:ind w:leftChars="0" w:firstLine="480" w:firstLineChars="200"/>
              <w:jc w:val="both"/>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执行《污水综合排放标准》（GB8978-1996）中三级标准及清丰中州水务有限公司第二污水处理厂收纳水质标准。</w:t>
            </w:r>
          </w:p>
          <w:p w14:paraId="002BCD7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color w:val="auto"/>
                <w:sz w:val="21"/>
                <w:szCs w:val="21"/>
                <w:highlight w:val="none"/>
                <w:lang w:val="en-GB" w:eastAsia="zh-CN"/>
              </w:rPr>
            </w:pPr>
            <w:r>
              <w:rPr>
                <w:rFonts w:hint="default" w:ascii="Times New Roman" w:hAnsi="Times New Roman" w:cs="Times New Roman"/>
                <w:color w:val="auto"/>
                <w:sz w:val="21"/>
                <w:szCs w:val="21"/>
                <w:highlight w:val="none"/>
                <w:lang w:val="en-US" w:eastAsia="zh-CN"/>
              </w:rPr>
              <w:t>表3-</w:t>
            </w:r>
            <w:r>
              <w:rPr>
                <w:rFonts w:hint="eastAsia" w:cs="Times New Roman"/>
                <w:color w:val="auto"/>
                <w:sz w:val="21"/>
                <w:szCs w:val="21"/>
                <w:highlight w:val="none"/>
                <w:lang w:val="en-US" w:eastAsia="zh-CN"/>
              </w:rPr>
              <w:t>11</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GB" w:eastAsia="zh-CN"/>
              </w:rPr>
              <w:t xml:space="preserve"> 废水排放标准一览表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2328"/>
              <w:gridCol w:w="2057"/>
              <w:gridCol w:w="2057"/>
            </w:tblGrid>
            <w:tr w14:paraId="6DCF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852" w:type="pct"/>
                  <w:vMerge w:val="restart"/>
                  <w:vAlign w:val="center"/>
                </w:tcPr>
                <w:p w14:paraId="0389E457">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GB" w:eastAsia="zh-CN" w:bidi="ar-SA"/>
                    </w:rPr>
                  </w:pPr>
                  <w:r>
                    <w:rPr>
                      <w:rFonts w:hint="default" w:ascii="Times New Roman" w:hAnsi="Times New Roman" w:eastAsia="宋体" w:cs="Times New Roman"/>
                      <w:color w:val="auto"/>
                      <w:sz w:val="21"/>
                      <w:szCs w:val="21"/>
                      <w:highlight w:val="none"/>
                      <w:vertAlign w:val="baseline"/>
                      <w:lang w:val="en-GB" w:eastAsia="zh-CN" w:bidi="ar-SA"/>
                    </w:rPr>
                    <w:t>污染因子</w:t>
                  </w:r>
                </w:p>
              </w:tc>
              <w:tc>
                <w:tcPr>
                  <w:tcW w:w="1498" w:type="pct"/>
                  <w:vMerge w:val="restart"/>
                  <w:vAlign w:val="center"/>
                </w:tcPr>
                <w:p w14:paraId="21076D66">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GB" w:eastAsia="zh-CN" w:bidi="ar-SA"/>
                    </w:rPr>
                    <w:t>《污水综合排放标准》（GB8978-1996）表4三级标准标准限值</w:t>
                  </w:r>
                  <w:r>
                    <w:rPr>
                      <w:rFonts w:hint="eastAsia" w:ascii="Times New Roman" w:hAnsi="Times New Roman" w:eastAsia="宋体" w:cs="Times New Roman"/>
                      <w:color w:val="auto"/>
                      <w:sz w:val="21"/>
                      <w:szCs w:val="21"/>
                      <w:highlight w:val="none"/>
                      <w:vertAlign w:val="baseline"/>
                      <w:lang w:val="en-US" w:eastAsia="zh-CN" w:bidi="ar-SA"/>
                    </w:rPr>
                    <w:t>/mg/L</w:t>
                  </w:r>
                </w:p>
              </w:tc>
              <w:tc>
                <w:tcPr>
                  <w:tcW w:w="2648" w:type="pct"/>
                  <w:gridSpan w:val="2"/>
                  <w:vAlign w:val="center"/>
                </w:tcPr>
                <w:p w14:paraId="0D79C914">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GB" w:eastAsia="zh-CN" w:bidi="ar-SA"/>
                    </w:rPr>
                  </w:pPr>
                  <w:r>
                    <w:rPr>
                      <w:rFonts w:hint="default" w:ascii="Times New Roman" w:hAnsi="Times New Roman" w:eastAsia="宋体" w:cs="Times New Roman"/>
                      <w:color w:val="auto"/>
                      <w:sz w:val="21"/>
                      <w:szCs w:val="21"/>
                      <w:highlight w:val="none"/>
                      <w:vertAlign w:val="baseline"/>
                      <w:lang w:val="en-GB" w:eastAsia="zh-CN" w:bidi="ar-SA"/>
                    </w:rPr>
                    <w:t>清丰中州水务有限公司第二污水处理厂（原清丰县姚庄污水处理厂）收水质标准</w:t>
                  </w:r>
                </w:p>
              </w:tc>
            </w:tr>
            <w:tr w14:paraId="564D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 w:type="pct"/>
                  <w:vMerge w:val="continue"/>
                  <w:vAlign w:val="center"/>
                </w:tcPr>
                <w:p w14:paraId="75EAE29A">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GB" w:eastAsia="zh-CN" w:bidi="ar-SA"/>
                    </w:rPr>
                  </w:pPr>
                </w:p>
              </w:tc>
              <w:tc>
                <w:tcPr>
                  <w:tcW w:w="1498" w:type="pct"/>
                  <w:vMerge w:val="continue"/>
                  <w:vAlign w:val="center"/>
                </w:tcPr>
                <w:p w14:paraId="6E9B980C">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GB" w:eastAsia="zh-CN" w:bidi="ar-SA"/>
                    </w:rPr>
                  </w:pPr>
                </w:p>
              </w:tc>
              <w:tc>
                <w:tcPr>
                  <w:tcW w:w="1324" w:type="pct"/>
                  <w:vAlign w:val="center"/>
                </w:tcPr>
                <w:p w14:paraId="0F9F046B">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进水水质/mg/L</w:t>
                  </w:r>
                </w:p>
              </w:tc>
              <w:tc>
                <w:tcPr>
                  <w:tcW w:w="1324" w:type="pct"/>
                  <w:vAlign w:val="center"/>
                </w:tcPr>
                <w:p w14:paraId="2CD0AFD9">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出水水质/mg/L</w:t>
                  </w:r>
                </w:p>
              </w:tc>
            </w:tr>
            <w:tr w14:paraId="5201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pct"/>
                  <w:shd w:val="clear" w:color="auto" w:fill="auto"/>
                  <w:vAlign w:val="center"/>
                </w:tcPr>
                <w:p w14:paraId="46FF7321">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GB" w:eastAsia="zh-CN" w:bidi="ar-SA"/>
                    </w:rPr>
                  </w:pPr>
                  <w:r>
                    <w:rPr>
                      <w:rFonts w:hint="default" w:ascii="Times New Roman" w:hAnsi="Times New Roman" w:cs="Times New Roman"/>
                      <w:color w:val="auto"/>
                      <w:kern w:val="0"/>
                      <w:sz w:val="21"/>
                      <w:szCs w:val="21"/>
                      <w:highlight w:val="none"/>
                      <w:lang w:val="en-US" w:eastAsia="zh-CN"/>
                    </w:rPr>
                    <w:t>pH（无量纲）</w:t>
                  </w:r>
                </w:p>
              </w:tc>
              <w:tc>
                <w:tcPr>
                  <w:tcW w:w="1498" w:type="pct"/>
                  <w:shd w:val="clear" w:color="auto" w:fill="auto"/>
                  <w:vAlign w:val="center"/>
                </w:tcPr>
                <w:p w14:paraId="1D80AD12">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GB" w:eastAsia="zh-CN" w:bidi="ar-SA"/>
                    </w:rPr>
                  </w:pPr>
                  <w:r>
                    <w:rPr>
                      <w:rFonts w:hint="default" w:ascii="Times New Roman" w:hAnsi="Times New Roman" w:cs="Times New Roman"/>
                      <w:color w:val="auto"/>
                      <w:kern w:val="0"/>
                      <w:sz w:val="21"/>
                      <w:szCs w:val="21"/>
                      <w:highlight w:val="none"/>
                      <w:lang w:val="en-US" w:eastAsia="zh-CN"/>
                    </w:rPr>
                    <w:t>6-9</w:t>
                  </w:r>
                </w:p>
              </w:tc>
              <w:tc>
                <w:tcPr>
                  <w:tcW w:w="1324" w:type="pct"/>
                  <w:vAlign w:val="center"/>
                </w:tcPr>
                <w:p w14:paraId="686124AA">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w:t>
                  </w:r>
                </w:p>
              </w:tc>
              <w:tc>
                <w:tcPr>
                  <w:tcW w:w="1324" w:type="pct"/>
                  <w:vAlign w:val="center"/>
                </w:tcPr>
                <w:p w14:paraId="4612B05B">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w:t>
                  </w:r>
                </w:p>
              </w:tc>
            </w:tr>
            <w:tr w14:paraId="6E44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pct"/>
                  <w:shd w:val="clear" w:color="auto" w:fill="auto"/>
                  <w:vAlign w:val="center"/>
                </w:tcPr>
                <w:p w14:paraId="57D8191A">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GB" w:eastAsia="zh-CN" w:bidi="ar-SA"/>
                    </w:rPr>
                  </w:pPr>
                  <w:r>
                    <w:rPr>
                      <w:rFonts w:hint="default" w:ascii="Times New Roman" w:hAnsi="Times New Roman" w:eastAsia="宋体" w:cs="Times New Roman"/>
                      <w:color w:val="auto"/>
                      <w:kern w:val="0"/>
                      <w:sz w:val="21"/>
                      <w:szCs w:val="21"/>
                      <w:highlight w:val="none"/>
                      <w:lang w:val="en-US" w:eastAsia="zh-CN"/>
                    </w:rPr>
                    <w:t>COD</w:t>
                  </w:r>
                </w:p>
              </w:tc>
              <w:tc>
                <w:tcPr>
                  <w:tcW w:w="1498" w:type="pct"/>
                  <w:shd w:val="clear" w:color="auto" w:fill="auto"/>
                  <w:vAlign w:val="center"/>
                </w:tcPr>
                <w:p w14:paraId="05D49420">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GB" w:eastAsia="zh-CN" w:bidi="ar-SA"/>
                    </w:rPr>
                  </w:pPr>
                  <w:r>
                    <w:rPr>
                      <w:rFonts w:hint="default" w:ascii="Times New Roman" w:hAnsi="Times New Roman" w:eastAsia="宋体" w:cs="Times New Roman"/>
                      <w:color w:val="auto"/>
                      <w:kern w:val="0"/>
                      <w:sz w:val="21"/>
                      <w:szCs w:val="21"/>
                      <w:highlight w:val="none"/>
                      <w:lang w:val="en-US" w:eastAsia="zh-CN"/>
                    </w:rPr>
                    <w:t>≤500</w:t>
                  </w:r>
                </w:p>
              </w:tc>
              <w:tc>
                <w:tcPr>
                  <w:tcW w:w="1324" w:type="pct"/>
                  <w:vAlign w:val="center"/>
                </w:tcPr>
                <w:p w14:paraId="166301CF">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r>
                    <w:rPr>
                      <w:rFonts w:hint="eastAsia" w:ascii="Times New Roman" w:hAnsi="Times New Roman" w:eastAsia="宋体" w:cs="Times New Roman"/>
                      <w:color w:val="auto"/>
                      <w:sz w:val="21"/>
                      <w:szCs w:val="21"/>
                      <w:highlight w:val="none"/>
                      <w:vertAlign w:val="baseline"/>
                      <w:lang w:val="en-US" w:eastAsia="zh-CN" w:bidi="ar-SA"/>
                    </w:rPr>
                    <w:t>350</w:t>
                  </w:r>
                </w:p>
              </w:tc>
              <w:tc>
                <w:tcPr>
                  <w:tcW w:w="1324" w:type="pct"/>
                  <w:vAlign w:val="center"/>
                </w:tcPr>
                <w:p w14:paraId="69E59F56">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r>
                    <w:rPr>
                      <w:rFonts w:hint="eastAsia" w:ascii="Times New Roman" w:hAnsi="Times New Roman" w:eastAsia="宋体" w:cs="Times New Roman"/>
                      <w:color w:val="auto"/>
                      <w:sz w:val="21"/>
                      <w:szCs w:val="21"/>
                      <w:highlight w:val="none"/>
                      <w:vertAlign w:val="baseline"/>
                      <w:lang w:val="en-US" w:eastAsia="zh-CN" w:bidi="ar-SA"/>
                    </w:rPr>
                    <w:t>40</w:t>
                  </w:r>
                </w:p>
              </w:tc>
            </w:tr>
            <w:tr w14:paraId="1571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pct"/>
                  <w:shd w:val="clear" w:color="auto" w:fill="auto"/>
                  <w:vAlign w:val="center"/>
                </w:tcPr>
                <w:p w14:paraId="75F6C1A9">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GB" w:eastAsia="zh-CN" w:bidi="ar-SA"/>
                    </w:rPr>
                  </w:pPr>
                  <w:r>
                    <w:rPr>
                      <w:rFonts w:hint="default" w:ascii="Times New Roman" w:hAnsi="Times New Roman" w:eastAsia="宋体" w:cs="Times New Roman"/>
                      <w:color w:val="auto"/>
                      <w:kern w:val="0"/>
                      <w:sz w:val="21"/>
                      <w:szCs w:val="21"/>
                      <w:highlight w:val="none"/>
                      <w:lang w:val="en-US" w:eastAsia="zh-CN"/>
                    </w:rPr>
                    <w:t>BOD</w:t>
                  </w:r>
                  <w:r>
                    <w:rPr>
                      <w:rFonts w:hint="default" w:ascii="Times New Roman" w:hAnsi="Times New Roman" w:eastAsia="宋体" w:cs="Times New Roman"/>
                      <w:color w:val="auto"/>
                      <w:kern w:val="0"/>
                      <w:sz w:val="21"/>
                      <w:szCs w:val="21"/>
                      <w:highlight w:val="none"/>
                      <w:vertAlign w:val="subscript"/>
                      <w:lang w:val="en-US" w:eastAsia="zh-CN"/>
                    </w:rPr>
                    <w:t>5</w:t>
                  </w:r>
                </w:p>
              </w:tc>
              <w:tc>
                <w:tcPr>
                  <w:tcW w:w="1498" w:type="pct"/>
                  <w:shd w:val="clear" w:color="auto" w:fill="auto"/>
                  <w:vAlign w:val="center"/>
                </w:tcPr>
                <w:p w14:paraId="253CA7CE">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GB" w:eastAsia="zh-CN" w:bidi="ar-SA"/>
                    </w:rPr>
                  </w:pPr>
                  <w:r>
                    <w:rPr>
                      <w:rFonts w:hint="default" w:ascii="Times New Roman" w:hAnsi="Times New Roman" w:eastAsia="宋体" w:cs="Times New Roman"/>
                      <w:color w:val="auto"/>
                      <w:kern w:val="0"/>
                      <w:sz w:val="21"/>
                      <w:szCs w:val="21"/>
                      <w:highlight w:val="none"/>
                      <w:lang w:val="en-US" w:eastAsia="zh-CN"/>
                    </w:rPr>
                    <w:t>≤300</w:t>
                  </w:r>
                </w:p>
              </w:tc>
              <w:tc>
                <w:tcPr>
                  <w:tcW w:w="1324" w:type="pct"/>
                  <w:vAlign w:val="center"/>
                </w:tcPr>
                <w:p w14:paraId="5AB7BD53">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r>
                    <w:rPr>
                      <w:rFonts w:hint="eastAsia" w:ascii="Times New Roman" w:hAnsi="Times New Roman" w:eastAsia="宋体" w:cs="Times New Roman"/>
                      <w:color w:val="auto"/>
                      <w:sz w:val="21"/>
                      <w:szCs w:val="21"/>
                      <w:highlight w:val="none"/>
                      <w:vertAlign w:val="baseline"/>
                      <w:lang w:val="en-US" w:eastAsia="zh-CN" w:bidi="ar-SA"/>
                    </w:rPr>
                    <w:t>170</w:t>
                  </w:r>
                </w:p>
              </w:tc>
              <w:tc>
                <w:tcPr>
                  <w:tcW w:w="1324" w:type="pct"/>
                  <w:vAlign w:val="center"/>
                </w:tcPr>
                <w:p w14:paraId="642E4E26">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r>
                    <w:rPr>
                      <w:rFonts w:hint="eastAsia" w:ascii="Times New Roman" w:hAnsi="Times New Roman" w:eastAsia="宋体" w:cs="Times New Roman"/>
                      <w:color w:val="auto"/>
                      <w:sz w:val="21"/>
                      <w:szCs w:val="21"/>
                      <w:highlight w:val="none"/>
                      <w:vertAlign w:val="baseline"/>
                      <w:lang w:val="en-US" w:eastAsia="zh-CN" w:bidi="ar-SA"/>
                    </w:rPr>
                    <w:t>10</w:t>
                  </w:r>
                </w:p>
              </w:tc>
            </w:tr>
            <w:tr w14:paraId="3B65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pct"/>
                  <w:shd w:val="clear" w:color="auto" w:fill="auto"/>
                  <w:vAlign w:val="center"/>
                </w:tcPr>
                <w:p w14:paraId="147198A7">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GB" w:eastAsia="zh-CN" w:bidi="ar-SA"/>
                    </w:rPr>
                  </w:pPr>
                  <w:r>
                    <w:rPr>
                      <w:rFonts w:hint="default" w:ascii="Times New Roman" w:hAnsi="Times New Roman" w:eastAsia="宋体" w:cs="Times New Roman"/>
                      <w:color w:val="auto"/>
                      <w:kern w:val="0"/>
                      <w:sz w:val="21"/>
                      <w:szCs w:val="21"/>
                      <w:highlight w:val="none"/>
                      <w:lang w:val="en-US" w:eastAsia="zh-CN"/>
                    </w:rPr>
                    <w:t>SS</w:t>
                  </w:r>
                </w:p>
              </w:tc>
              <w:tc>
                <w:tcPr>
                  <w:tcW w:w="1498" w:type="pct"/>
                  <w:shd w:val="clear" w:color="auto" w:fill="auto"/>
                  <w:vAlign w:val="center"/>
                </w:tcPr>
                <w:p w14:paraId="0D88910F">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GB" w:eastAsia="zh-CN" w:bidi="ar-SA"/>
                    </w:rPr>
                  </w:pPr>
                  <w:r>
                    <w:rPr>
                      <w:rFonts w:hint="default" w:ascii="Times New Roman" w:hAnsi="Times New Roman" w:eastAsia="宋体" w:cs="Times New Roman"/>
                      <w:color w:val="auto"/>
                      <w:kern w:val="0"/>
                      <w:sz w:val="21"/>
                      <w:szCs w:val="21"/>
                      <w:highlight w:val="none"/>
                      <w:lang w:val="en-US" w:eastAsia="zh-CN"/>
                    </w:rPr>
                    <w:t>≤400</w:t>
                  </w:r>
                </w:p>
              </w:tc>
              <w:tc>
                <w:tcPr>
                  <w:tcW w:w="1324" w:type="pct"/>
                </w:tcPr>
                <w:p w14:paraId="6D859F46">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r>
                    <w:rPr>
                      <w:rFonts w:hint="eastAsia" w:ascii="Times New Roman" w:hAnsi="Times New Roman" w:eastAsia="宋体" w:cs="Times New Roman"/>
                      <w:color w:val="auto"/>
                      <w:sz w:val="21"/>
                      <w:szCs w:val="21"/>
                      <w:highlight w:val="none"/>
                      <w:vertAlign w:val="baseline"/>
                      <w:lang w:val="en-US" w:eastAsia="zh-CN" w:bidi="ar-SA"/>
                    </w:rPr>
                    <w:t>210</w:t>
                  </w:r>
                </w:p>
              </w:tc>
              <w:tc>
                <w:tcPr>
                  <w:tcW w:w="1324" w:type="pct"/>
                </w:tcPr>
                <w:p w14:paraId="3EFA6B6B">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r>
                    <w:rPr>
                      <w:rFonts w:hint="eastAsia" w:ascii="Times New Roman" w:hAnsi="Times New Roman" w:eastAsia="宋体" w:cs="Times New Roman"/>
                      <w:color w:val="auto"/>
                      <w:sz w:val="21"/>
                      <w:szCs w:val="21"/>
                      <w:highlight w:val="none"/>
                      <w:vertAlign w:val="baseline"/>
                      <w:lang w:val="en-US" w:eastAsia="zh-CN" w:bidi="ar-SA"/>
                    </w:rPr>
                    <w:t>10</w:t>
                  </w:r>
                </w:p>
              </w:tc>
            </w:tr>
            <w:tr w14:paraId="094B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pct"/>
                  <w:shd w:val="clear" w:color="auto" w:fill="auto"/>
                  <w:vAlign w:val="center"/>
                </w:tcPr>
                <w:p w14:paraId="508198AC">
                  <w:pPr>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GB" w:eastAsia="zh-CN" w:bidi="ar-SA"/>
                    </w:rPr>
                  </w:pPr>
                  <w:r>
                    <w:rPr>
                      <w:rFonts w:hint="default" w:ascii="Times New Roman" w:hAnsi="Times New Roman" w:eastAsia="宋体" w:cs="Times New Roman"/>
                      <w:color w:val="auto"/>
                      <w:kern w:val="0"/>
                      <w:sz w:val="21"/>
                      <w:szCs w:val="21"/>
                      <w:highlight w:val="none"/>
                      <w:lang w:val="en-US" w:eastAsia="zh-CN"/>
                    </w:rPr>
                    <w:t>NH</w:t>
                  </w:r>
                  <w:r>
                    <w:rPr>
                      <w:rFonts w:hint="default" w:ascii="Times New Roman" w:hAnsi="Times New Roman" w:eastAsia="宋体" w:cs="Times New Roman"/>
                      <w:color w:val="auto"/>
                      <w:kern w:val="0"/>
                      <w:sz w:val="21"/>
                      <w:szCs w:val="21"/>
                      <w:highlight w:val="none"/>
                      <w:vertAlign w:val="subscript"/>
                      <w:lang w:val="en-US" w:eastAsia="zh-CN"/>
                    </w:rPr>
                    <w:t>3</w:t>
                  </w:r>
                  <w:r>
                    <w:rPr>
                      <w:rFonts w:hint="default" w:ascii="Times New Roman" w:hAnsi="Times New Roman" w:eastAsia="宋体" w:cs="Times New Roman"/>
                      <w:color w:val="auto"/>
                      <w:kern w:val="0"/>
                      <w:sz w:val="21"/>
                      <w:szCs w:val="21"/>
                      <w:highlight w:val="none"/>
                      <w:lang w:val="en-US" w:eastAsia="zh-CN"/>
                    </w:rPr>
                    <w:t>-N</w:t>
                  </w:r>
                </w:p>
              </w:tc>
              <w:tc>
                <w:tcPr>
                  <w:tcW w:w="1498" w:type="pct"/>
                </w:tcPr>
                <w:p w14:paraId="412C868B">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w:t>
                  </w:r>
                </w:p>
              </w:tc>
              <w:tc>
                <w:tcPr>
                  <w:tcW w:w="1324" w:type="pct"/>
                </w:tcPr>
                <w:p w14:paraId="3404BEC0">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r>
                    <w:rPr>
                      <w:rFonts w:hint="eastAsia" w:ascii="Times New Roman" w:hAnsi="Times New Roman" w:eastAsia="宋体" w:cs="Times New Roman"/>
                      <w:color w:val="auto"/>
                      <w:sz w:val="21"/>
                      <w:szCs w:val="21"/>
                      <w:highlight w:val="none"/>
                      <w:vertAlign w:val="baseline"/>
                      <w:lang w:val="en-US" w:eastAsia="zh-CN" w:bidi="ar-SA"/>
                    </w:rPr>
                    <w:t>30</w:t>
                  </w:r>
                </w:p>
              </w:tc>
              <w:tc>
                <w:tcPr>
                  <w:tcW w:w="1324" w:type="pct"/>
                </w:tcPr>
                <w:p w14:paraId="6774586C">
                  <w:pPr>
                    <w:pStyle w:val="2"/>
                    <w:keepNext w:val="0"/>
                    <w:keepLines w:val="0"/>
                    <w:pageBreakBefore w:val="0"/>
                    <w:widowControl w:val="0"/>
                    <w:kinsoku/>
                    <w:wordWrap/>
                    <w:overflowPunct/>
                    <w:topLinePunct w:val="0"/>
                    <w:bidi w:val="0"/>
                    <w:adjustRightInd/>
                    <w:snapToGrid/>
                    <w:spacing w:before="63" w:beforeLines="20" w:after="63" w:afterLines="2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r>
                    <w:rPr>
                      <w:rFonts w:hint="eastAsia" w:ascii="Times New Roman" w:hAnsi="Times New Roman" w:eastAsia="宋体" w:cs="Times New Roman"/>
                      <w:color w:val="auto"/>
                      <w:sz w:val="21"/>
                      <w:szCs w:val="21"/>
                      <w:highlight w:val="none"/>
                      <w:vertAlign w:val="baseline"/>
                      <w:lang w:val="en-US" w:eastAsia="zh-CN" w:bidi="ar-SA"/>
                    </w:rPr>
                    <w:t>2</w:t>
                  </w:r>
                </w:p>
              </w:tc>
            </w:tr>
          </w:tbl>
          <w:p w14:paraId="23A0DA9E">
            <w:pPr>
              <w:numPr>
                <w:ilvl w:val="0"/>
                <w:numId w:val="0"/>
              </w:numPr>
              <w:adjustRightInd w:val="0"/>
              <w:snapToGrid w:val="0"/>
              <w:spacing w:line="520" w:lineRule="exact"/>
              <w:jc w:val="both"/>
              <w:rPr>
                <w:rFonts w:hint="default" w:ascii="Times New Roman" w:hAnsi="Times New Roman" w:cs="Times New Roman"/>
                <w:b/>
                <w:bCs/>
                <w:color w:val="auto"/>
                <w:kern w:val="0"/>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rPr>
              <w:t>3、噪声</w:t>
            </w:r>
          </w:p>
          <w:p w14:paraId="685FBEC1">
            <w:pPr>
              <w:numPr>
                <w:ilvl w:val="0"/>
                <w:numId w:val="0"/>
              </w:numPr>
              <w:adjustRightInd w:val="0"/>
              <w:snapToGrid w:val="0"/>
              <w:spacing w:line="520" w:lineRule="exact"/>
              <w:ind w:leftChars="0" w:firstLine="480" w:firstLineChars="200"/>
              <w:jc w:val="both"/>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施工期厂界执行《建筑施工场界环境噪声限值》（GB12523-2011）</w:t>
            </w:r>
            <w:r>
              <w:rPr>
                <w:rFonts w:hint="eastAsia" w:ascii="Times New Roman" w:hAnsi="Times New Roman" w:cs="Times New Roman"/>
                <w:color w:val="auto"/>
                <w:kern w:val="0"/>
                <w:sz w:val="24"/>
                <w:szCs w:val="24"/>
                <w:highlight w:val="none"/>
                <w:lang w:val="en-US" w:eastAsia="zh-CN"/>
              </w:rPr>
              <w:t>，营运期厂界执行《工业企业厂界环境噪声排放标准》（GB12348－2008）3类标准。</w:t>
            </w:r>
          </w:p>
          <w:p w14:paraId="051EC7C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表3-1</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工业企业厂界环境噪声排放标准  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2"/>
              <w:gridCol w:w="2388"/>
              <w:gridCol w:w="2389"/>
            </w:tblGrid>
            <w:tr w14:paraId="5872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jc w:val="center"/>
              </w:trPr>
              <w:tc>
                <w:tcPr>
                  <w:tcW w:w="2988" w:type="dxa"/>
                  <w:tcBorders>
                    <w:tl2br w:val="single" w:color="auto" w:sz="4" w:space="0"/>
                  </w:tcBorders>
                  <w:vAlign w:val="center"/>
                </w:tcPr>
                <w:p w14:paraId="08E30E4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right"/>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时段</w:t>
                  </w:r>
                </w:p>
                <w:p w14:paraId="09A7DD1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时期</w:t>
                  </w:r>
                </w:p>
              </w:tc>
              <w:tc>
                <w:tcPr>
                  <w:tcW w:w="2385" w:type="dxa"/>
                  <w:vAlign w:val="center"/>
                </w:tcPr>
                <w:p w14:paraId="07D880C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昼间</w:t>
                  </w:r>
                </w:p>
              </w:tc>
              <w:tc>
                <w:tcPr>
                  <w:tcW w:w="2386" w:type="dxa"/>
                  <w:vAlign w:val="center"/>
                </w:tcPr>
                <w:p w14:paraId="17D16DE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夜间</w:t>
                  </w:r>
                </w:p>
              </w:tc>
            </w:tr>
            <w:tr w14:paraId="7640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88" w:type="dxa"/>
                  <w:vAlign w:val="center"/>
                </w:tcPr>
                <w:p w14:paraId="4382799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营运期</w:t>
                  </w:r>
                  <w:r>
                    <w:rPr>
                      <w:rFonts w:hint="eastAsia" w:ascii="Times New Roman" w:hAnsi="Times New Roman" w:eastAsia="宋体" w:cs="Times New Roman"/>
                      <w:b w:val="0"/>
                      <w:bCs/>
                      <w:color w:val="auto"/>
                      <w:sz w:val="21"/>
                      <w:szCs w:val="21"/>
                      <w:lang w:eastAsia="zh-CN"/>
                    </w:rPr>
                    <w:t>（</w:t>
                  </w:r>
                  <w:r>
                    <w:rPr>
                      <w:rFonts w:hint="eastAsia" w:ascii="Times New Roman" w:hAnsi="Times New Roman" w:eastAsia="宋体" w:cs="Times New Roman"/>
                      <w:b w:val="0"/>
                      <w:bCs/>
                      <w:color w:val="auto"/>
                      <w:sz w:val="21"/>
                      <w:szCs w:val="21"/>
                      <w:lang w:val="en-US" w:eastAsia="zh-CN"/>
                    </w:rPr>
                    <w:t>3类声环境功能区</w:t>
                  </w:r>
                  <w:r>
                    <w:rPr>
                      <w:rFonts w:hint="eastAsia" w:ascii="Times New Roman" w:hAnsi="Times New Roman" w:eastAsia="宋体" w:cs="Times New Roman"/>
                      <w:b w:val="0"/>
                      <w:bCs/>
                      <w:color w:val="auto"/>
                      <w:sz w:val="21"/>
                      <w:szCs w:val="21"/>
                      <w:lang w:eastAsia="zh-CN"/>
                    </w:rPr>
                    <w:t>）</w:t>
                  </w:r>
                </w:p>
              </w:tc>
              <w:tc>
                <w:tcPr>
                  <w:tcW w:w="2385" w:type="dxa"/>
                  <w:vAlign w:val="center"/>
                </w:tcPr>
                <w:p w14:paraId="7F7EBA4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65</w:t>
                  </w:r>
                </w:p>
              </w:tc>
              <w:tc>
                <w:tcPr>
                  <w:tcW w:w="2386" w:type="dxa"/>
                  <w:vAlign w:val="center"/>
                </w:tcPr>
                <w:p w14:paraId="3BBDAA6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55</w:t>
                  </w:r>
                </w:p>
              </w:tc>
            </w:tr>
            <w:tr w14:paraId="14E3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88" w:type="dxa"/>
                  <w:vAlign w:val="center"/>
                </w:tcPr>
                <w:p w14:paraId="19F3DF0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施工期</w:t>
                  </w:r>
                </w:p>
              </w:tc>
              <w:tc>
                <w:tcPr>
                  <w:tcW w:w="2385" w:type="dxa"/>
                  <w:vAlign w:val="center"/>
                </w:tcPr>
                <w:p w14:paraId="3BC0C69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70</w:t>
                  </w:r>
                </w:p>
              </w:tc>
              <w:tc>
                <w:tcPr>
                  <w:tcW w:w="2386" w:type="dxa"/>
                  <w:vAlign w:val="center"/>
                </w:tcPr>
                <w:p w14:paraId="6D8EA88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55</w:t>
                  </w:r>
                </w:p>
              </w:tc>
            </w:tr>
          </w:tbl>
          <w:p w14:paraId="7F4F951B">
            <w:pPr>
              <w:numPr>
                <w:ilvl w:val="0"/>
                <w:numId w:val="0"/>
              </w:numPr>
              <w:adjustRightInd w:val="0"/>
              <w:snapToGrid w:val="0"/>
              <w:spacing w:line="520" w:lineRule="exact"/>
              <w:jc w:val="both"/>
              <w:rPr>
                <w:rFonts w:hint="default" w:ascii="Times New Roman" w:hAnsi="Times New Roman" w:cs="Times New Roman"/>
                <w:b/>
                <w:bCs/>
                <w:color w:val="auto"/>
                <w:kern w:val="0"/>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rPr>
              <w:t>4、固体废物</w:t>
            </w:r>
          </w:p>
          <w:p w14:paraId="67F5E102">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一般</w:t>
            </w:r>
            <w:r>
              <w:rPr>
                <w:rFonts w:hint="eastAsia" w:ascii="Times New Roman" w:hAnsi="Times New Roman" w:cs="Times New Roman"/>
                <w:color w:val="auto"/>
                <w:kern w:val="0"/>
                <w:sz w:val="24"/>
                <w:szCs w:val="24"/>
                <w:highlight w:val="none"/>
                <w:lang w:val="en-US" w:eastAsia="zh-CN"/>
              </w:rPr>
              <w:t>固体废物</w:t>
            </w:r>
            <w:r>
              <w:rPr>
                <w:rFonts w:hint="default" w:ascii="Times New Roman" w:hAnsi="Times New Roman" w:cs="Times New Roman"/>
                <w:color w:val="auto"/>
                <w:kern w:val="0"/>
                <w:sz w:val="24"/>
                <w:szCs w:val="24"/>
                <w:highlight w:val="none"/>
                <w:lang w:val="en-US" w:eastAsia="zh-CN"/>
              </w:rPr>
              <w:t>执行《一般工业固体废物贮存和填埋污染控制标准》（GB18599-2020）。危险废物执行《危险废物贮存污染控制标准》（GB18597-2023）</w:t>
            </w:r>
            <w:r>
              <w:rPr>
                <w:rFonts w:hint="eastAsia" w:ascii="Times New Roman" w:hAnsi="Times New Roman" w:cs="Times New Roman"/>
                <w:color w:val="auto"/>
                <w:kern w:val="0"/>
                <w:sz w:val="24"/>
                <w:szCs w:val="24"/>
                <w:highlight w:val="none"/>
                <w:lang w:val="en-US" w:eastAsia="zh-CN"/>
              </w:rPr>
              <w:t>。</w:t>
            </w:r>
          </w:p>
          <w:p w14:paraId="25959211">
            <w:pPr>
              <w:pStyle w:val="11"/>
              <w:rPr>
                <w:rFonts w:hint="default" w:ascii="Times New Roman" w:hAnsi="Times New Roman" w:cs="Times New Roman"/>
                <w:color w:val="auto"/>
                <w:lang w:val="en-US" w:eastAsia="zh-CN"/>
              </w:rPr>
            </w:pPr>
          </w:p>
        </w:tc>
      </w:tr>
      <w:tr w14:paraId="71FA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2" w:hRule="atLeast"/>
          <w:jc w:val="center"/>
        </w:trPr>
        <w:tc>
          <w:tcPr>
            <w:tcW w:w="316" w:type="pct"/>
            <w:noWrap w:val="0"/>
            <w:vAlign w:val="center"/>
          </w:tcPr>
          <w:p w14:paraId="1679B600">
            <w:pPr>
              <w:adjustRightInd w:val="0"/>
              <w:snapToGrid w:val="0"/>
              <w:jc w:val="center"/>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总量</w:t>
            </w:r>
          </w:p>
          <w:p w14:paraId="56F05C1B">
            <w:pPr>
              <w:adjustRightInd w:val="0"/>
              <w:snapToGrid w:val="0"/>
              <w:jc w:val="center"/>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控制</w:t>
            </w:r>
          </w:p>
          <w:p w14:paraId="067BD866">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val="0"/>
                <w:bCs w:val="0"/>
                <w:color w:val="auto"/>
                <w:kern w:val="0"/>
                <w:sz w:val="24"/>
                <w:szCs w:val="24"/>
                <w:highlight w:val="none"/>
              </w:rPr>
              <w:t>指标</w:t>
            </w:r>
          </w:p>
        </w:tc>
        <w:tc>
          <w:tcPr>
            <w:tcW w:w="4683" w:type="pct"/>
            <w:noWrap w:val="0"/>
            <w:vAlign w:val="top"/>
          </w:tcPr>
          <w:p w14:paraId="3D7CC774">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1、废气</w:t>
            </w:r>
          </w:p>
          <w:p w14:paraId="25F884B1">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本项目颗粒物排放量为</w:t>
            </w:r>
            <w:r>
              <w:rPr>
                <w:rFonts w:hint="eastAsia" w:cs="Times New Roman"/>
                <w:color w:val="auto"/>
                <w:kern w:val="0"/>
                <w:sz w:val="24"/>
                <w:szCs w:val="24"/>
                <w:highlight w:val="none"/>
                <w:lang w:val="en-US" w:eastAsia="zh-CN"/>
              </w:rPr>
              <w:t>0.2174</w:t>
            </w:r>
            <w:r>
              <w:rPr>
                <w:rFonts w:hint="default" w:ascii="Times New Roman" w:hAnsi="Times New Roman" w:eastAsia="宋体" w:cs="Times New Roman"/>
                <w:color w:val="auto"/>
                <w:kern w:val="0"/>
                <w:sz w:val="24"/>
                <w:szCs w:val="24"/>
                <w:highlight w:val="none"/>
                <w:lang w:val="en-US" w:eastAsia="zh-CN"/>
              </w:rPr>
              <w:t>t/a，非甲烷总烃排放量为</w:t>
            </w:r>
            <w:r>
              <w:rPr>
                <w:rFonts w:hint="eastAsia" w:cs="Times New Roman"/>
                <w:color w:val="auto"/>
                <w:kern w:val="0"/>
                <w:sz w:val="24"/>
                <w:szCs w:val="24"/>
                <w:highlight w:val="none"/>
                <w:lang w:val="en-US" w:eastAsia="zh-CN"/>
              </w:rPr>
              <w:t>0.0716</w:t>
            </w:r>
            <w:r>
              <w:rPr>
                <w:rFonts w:hint="default" w:ascii="Times New Roman" w:hAnsi="Times New Roman" w:eastAsia="宋体" w:cs="Times New Roman"/>
                <w:color w:val="auto"/>
                <w:kern w:val="0"/>
                <w:sz w:val="24"/>
                <w:szCs w:val="24"/>
                <w:highlight w:val="none"/>
                <w:lang w:val="en-US" w:eastAsia="zh-CN"/>
              </w:rPr>
              <w:t>t/a。</w:t>
            </w:r>
          </w:p>
          <w:p w14:paraId="0117829B">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2、废水</w:t>
            </w:r>
          </w:p>
          <w:p w14:paraId="0897FA3B">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本项目废水排放量为528m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p>
          <w:p w14:paraId="0994349D">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污水处理厂排入外环境主要污染物核算（总量核算）</w:t>
            </w:r>
          </w:p>
          <w:p w14:paraId="5263EA8B">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本项目废水排入清丰中州水务有限公司第二污水处理厂处理，清丰中州水务有限公司第二污水处理厂出水水质为COD：40mg/L，NH</w:t>
            </w:r>
            <w:r>
              <w:rPr>
                <w:rFonts w:hint="default" w:ascii="Times New Roman" w:hAnsi="Times New Roman" w:eastAsia="宋体" w:cs="Times New Roman"/>
                <w:color w:val="auto"/>
                <w:kern w:val="0"/>
                <w:sz w:val="24"/>
                <w:szCs w:val="24"/>
                <w:highlight w:val="none"/>
                <w:vertAlign w:val="subscript"/>
                <w:lang w:val="en-US" w:eastAsia="zh-CN"/>
              </w:rPr>
              <w:t>3</w:t>
            </w:r>
            <w:r>
              <w:rPr>
                <w:rFonts w:hint="default" w:ascii="Times New Roman" w:hAnsi="Times New Roman" w:eastAsia="宋体" w:cs="Times New Roman"/>
                <w:color w:val="auto"/>
                <w:kern w:val="0"/>
                <w:sz w:val="24"/>
                <w:szCs w:val="24"/>
                <w:highlight w:val="none"/>
                <w:lang w:val="en-US" w:eastAsia="zh-CN"/>
              </w:rPr>
              <w:t>-N：2mg/L。</w:t>
            </w:r>
          </w:p>
          <w:p w14:paraId="244E4731">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COD排入外环境总量为528×40×10</w:t>
            </w:r>
            <w:r>
              <w:rPr>
                <w:rFonts w:hint="default" w:ascii="Times New Roman" w:hAnsi="Times New Roman" w:eastAsia="宋体" w:cs="Times New Roman"/>
                <w:color w:val="auto"/>
                <w:kern w:val="0"/>
                <w:sz w:val="24"/>
                <w:szCs w:val="24"/>
                <w:highlight w:val="none"/>
                <w:vertAlign w:val="superscript"/>
                <w:lang w:val="en-US" w:eastAsia="zh-CN"/>
              </w:rPr>
              <w:t>-6</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0.0211</w:t>
            </w:r>
            <w:r>
              <w:rPr>
                <w:rFonts w:hint="default" w:ascii="Times New Roman" w:hAnsi="Times New Roman" w:eastAsia="宋体" w:cs="Times New Roman"/>
                <w:color w:val="auto"/>
                <w:kern w:val="0"/>
                <w:sz w:val="24"/>
                <w:szCs w:val="24"/>
                <w:highlight w:val="none"/>
                <w:lang w:val="en-US" w:eastAsia="zh-CN"/>
              </w:rPr>
              <w:t>t/a；</w:t>
            </w:r>
          </w:p>
          <w:p w14:paraId="5C762837">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NH</w:t>
            </w:r>
            <w:r>
              <w:rPr>
                <w:rFonts w:hint="default" w:ascii="Times New Roman" w:hAnsi="Times New Roman" w:eastAsia="宋体" w:cs="Times New Roman"/>
                <w:color w:val="auto"/>
                <w:kern w:val="0"/>
                <w:sz w:val="24"/>
                <w:szCs w:val="24"/>
                <w:highlight w:val="none"/>
                <w:vertAlign w:val="subscript"/>
                <w:lang w:val="en-US" w:eastAsia="zh-CN"/>
              </w:rPr>
              <w:t>3</w:t>
            </w:r>
            <w:r>
              <w:rPr>
                <w:rFonts w:hint="default" w:ascii="Times New Roman" w:hAnsi="Times New Roman" w:eastAsia="宋体" w:cs="Times New Roman"/>
                <w:color w:val="auto"/>
                <w:kern w:val="0"/>
                <w:sz w:val="24"/>
                <w:szCs w:val="24"/>
                <w:highlight w:val="none"/>
                <w:lang w:val="en-US" w:eastAsia="zh-CN"/>
              </w:rPr>
              <w:t>-N排入外环境总量为528×2×10</w:t>
            </w:r>
            <w:r>
              <w:rPr>
                <w:rFonts w:hint="default" w:ascii="Times New Roman" w:hAnsi="Times New Roman" w:eastAsia="宋体" w:cs="Times New Roman"/>
                <w:color w:val="auto"/>
                <w:kern w:val="0"/>
                <w:sz w:val="24"/>
                <w:szCs w:val="24"/>
                <w:highlight w:val="none"/>
                <w:vertAlign w:val="superscript"/>
                <w:lang w:val="en-US" w:eastAsia="zh-CN"/>
              </w:rPr>
              <w:t>-6</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0.0011</w:t>
            </w:r>
            <w:r>
              <w:rPr>
                <w:rFonts w:hint="default" w:ascii="Times New Roman" w:hAnsi="Times New Roman" w:eastAsia="宋体" w:cs="Times New Roman"/>
                <w:color w:val="auto"/>
                <w:kern w:val="0"/>
                <w:sz w:val="24"/>
                <w:szCs w:val="24"/>
                <w:highlight w:val="none"/>
                <w:lang w:val="en-US" w:eastAsia="zh-CN"/>
              </w:rPr>
              <w:t>t/a；</w:t>
            </w:r>
          </w:p>
          <w:p w14:paraId="59CA34B9">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本项目属于新建（迁建）项目，原有项目总量控制指标为COD0.045t/a、氨氮0.0048t/a、颗粒物0.15t/a。</w:t>
            </w:r>
          </w:p>
          <w:p w14:paraId="200FD5B3">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Cs w:val="21"/>
                <w:highlight w:val="yellow"/>
                <w:lang w:val="en-US" w:eastAsia="zh-CN"/>
              </w:rPr>
            </w:pPr>
            <w:r>
              <w:rPr>
                <w:rFonts w:hint="default" w:ascii="Times New Roman" w:hAnsi="Times New Roman" w:eastAsia="宋体" w:cs="Times New Roman"/>
                <w:color w:val="auto"/>
                <w:kern w:val="0"/>
                <w:sz w:val="24"/>
                <w:szCs w:val="24"/>
                <w:highlight w:val="none"/>
                <w:lang w:val="en-US" w:eastAsia="zh-CN"/>
              </w:rPr>
              <w:t>综上，建议</w:t>
            </w:r>
            <w:r>
              <w:rPr>
                <w:rFonts w:hint="default" w:ascii="Times New Roman" w:hAnsi="Times New Roman" w:cs="Times New Roman"/>
                <w:color w:val="auto"/>
                <w:kern w:val="0"/>
                <w:sz w:val="24"/>
                <w:szCs w:val="24"/>
                <w:highlight w:val="none"/>
                <w:lang w:val="en-US" w:eastAsia="zh-CN"/>
              </w:rPr>
              <w:t>新增</w:t>
            </w:r>
            <w:r>
              <w:rPr>
                <w:rFonts w:hint="default" w:ascii="Times New Roman" w:hAnsi="Times New Roman" w:eastAsia="宋体" w:cs="Times New Roman"/>
                <w:color w:val="auto"/>
                <w:kern w:val="0"/>
                <w:sz w:val="24"/>
                <w:szCs w:val="24"/>
                <w:highlight w:val="none"/>
                <w:lang w:val="en-US" w:eastAsia="zh-CN"/>
              </w:rPr>
              <w:t>总量控制指标为：非甲烷总烃</w:t>
            </w:r>
            <w:r>
              <w:rPr>
                <w:rFonts w:hint="eastAsia" w:cs="Times New Roman"/>
                <w:color w:val="auto"/>
                <w:kern w:val="0"/>
                <w:sz w:val="24"/>
                <w:szCs w:val="24"/>
                <w:highlight w:val="none"/>
                <w:lang w:val="en-US" w:eastAsia="zh-CN"/>
              </w:rPr>
              <w:t>0.0716</w:t>
            </w:r>
            <w:r>
              <w:rPr>
                <w:rFonts w:hint="default" w:ascii="Times New Roman" w:hAnsi="Times New Roman" w:eastAsia="宋体" w:cs="Times New Roman"/>
                <w:color w:val="auto"/>
                <w:kern w:val="0"/>
                <w:sz w:val="24"/>
                <w:szCs w:val="24"/>
                <w:highlight w:val="none"/>
                <w:lang w:val="en-US" w:eastAsia="zh-CN"/>
              </w:rPr>
              <w:t>t/a</w:t>
            </w:r>
            <w:r>
              <w:rPr>
                <w:rFonts w:hint="default" w:ascii="Times New Roman" w:hAnsi="Times New Roman" w:cs="Times New Roman"/>
                <w:color w:val="auto"/>
                <w:kern w:val="0"/>
                <w:sz w:val="24"/>
                <w:szCs w:val="24"/>
                <w:highlight w:val="none"/>
                <w:lang w:val="en-US" w:eastAsia="zh-CN"/>
              </w:rPr>
              <w:t>、颗粒物</w:t>
            </w:r>
            <w:r>
              <w:rPr>
                <w:rFonts w:hint="eastAsia" w:cs="Times New Roman"/>
                <w:color w:val="auto"/>
                <w:kern w:val="0"/>
                <w:sz w:val="24"/>
                <w:szCs w:val="24"/>
                <w:highlight w:val="none"/>
                <w:lang w:val="en-US" w:eastAsia="zh-CN"/>
              </w:rPr>
              <w:t>0.0674</w:t>
            </w:r>
            <w:r>
              <w:rPr>
                <w:rFonts w:hint="default" w:ascii="Times New Roman" w:hAnsi="Times New Roman" w:cs="Times New Roman"/>
                <w:color w:val="auto"/>
                <w:kern w:val="0"/>
                <w:sz w:val="24"/>
                <w:szCs w:val="24"/>
                <w:highlight w:val="none"/>
                <w:lang w:val="en-US" w:eastAsia="zh-CN"/>
              </w:rPr>
              <w:t>t/a</w:t>
            </w:r>
            <w:r>
              <w:rPr>
                <w:rFonts w:hint="default" w:ascii="Times New Roman" w:hAnsi="Times New Roman" w:eastAsia="宋体" w:cs="Times New Roman"/>
                <w:color w:val="auto"/>
                <w:kern w:val="0"/>
                <w:sz w:val="24"/>
                <w:szCs w:val="24"/>
                <w:highlight w:val="none"/>
                <w:lang w:val="en-US" w:eastAsia="zh-CN"/>
              </w:rPr>
              <w:t>，COD、氨氮不新增许可总量。</w:t>
            </w:r>
          </w:p>
        </w:tc>
      </w:tr>
    </w:tbl>
    <w:p w14:paraId="745FF244">
      <w:pPr>
        <w:pStyle w:val="25"/>
        <w:jc w:val="center"/>
        <w:outlineLvl w:val="9"/>
        <w:rPr>
          <w:rFonts w:hint="default" w:ascii="Times New Roman" w:hAnsi="Times New Roman" w:eastAsia="宋体" w:cs="Times New Roman"/>
          <w:snapToGrid w:val="0"/>
          <w:color w:val="auto"/>
          <w:sz w:val="36"/>
          <w:szCs w:val="36"/>
          <w:highlight w:val="none"/>
        </w:rPr>
        <w:sectPr>
          <w:pgSz w:w="11907" w:h="16840"/>
          <w:pgMar w:top="1440" w:right="1800" w:bottom="1440" w:left="1800" w:header="851" w:footer="851" w:gutter="0"/>
          <w:pgNumType w:fmt="decimal"/>
          <w:cols w:space="720" w:num="1"/>
          <w:docGrid w:linePitch="312" w:charSpace="0"/>
        </w:sectPr>
      </w:pPr>
    </w:p>
    <w:p w14:paraId="472B4C9C">
      <w:pPr>
        <w:pStyle w:val="25"/>
        <w:keepNext w:val="0"/>
        <w:keepLines w:val="0"/>
        <w:pageBreakBefore w:val="0"/>
        <w:widowControl/>
        <w:kinsoku/>
        <w:wordWrap/>
        <w:overflowPunct/>
        <w:topLinePunct w:val="0"/>
        <w:autoSpaceDE/>
        <w:autoSpaceDN/>
        <w:bidi w:val="0"/>
        <w:adjustRightInd/>
        <w:snapToGrid/>
        <w:spacing w:after="157" w:afterLines="50" w:afterAutospacing="0"/>
        <w:jc w:val="center"/>
        <w:textAlignment w:val="auto"/>
        <w:outlineLvl w:val="0"/>
        <w:rPr>
          <w:rFonts w:hint="default" w:ascii="Times New Roman" w:hAnsi="Times New Roman" w:eastAsia="宋体" w:cs="Times New Roman"/>
          <w:snapToGrid w:val="0"/>
          <w:color w:val="auto"/>
          <w:sz w:val="30"/>
          <w:szCs w:val="30"/>
          <w:highlight w:val="none"/>
          <w:vertAlign w:val="baseline"/>
        </w:rPr>
      </w:pPr>
      <w:bookmarkStart w:id="21" w:name="_Toc9401"/>
      <w:r>
        <w:rPr>
          <w:rFonts w:hint="default" w:ascii="Times New Roman" w:hAnsi="Times New Roman" w:eastAsia="宋体" w:cs="Times New Roman"/>
          <w:snapToGrid w:val="0"/>
          <w:color w:val="auto"/>
          <w:sz w:val="30"/>
          <w:szCs w:val="30"/>
          <w:highlight w:val="none"/>
        </w:rPr>
        <w:t>四、主要环境影响和保护措施</w:t>
      </w:r>
      <w:bookmarkEnd w:id="21"/>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5"/>
      </w:tblGrid>
      <w:tr w14:paraId="0E8E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73" w:hRule="atLeast"/>
        </w:trPr>
        <w:tc>
          <w:tcPr>
            <w:tcW w:w="318" w:type="pct"/>
            <w:vAlign w:val="center"/>
          </w:tcPr>
          <w:p w14:paraId="5782497C">
            <w:pPr>
              <w:bidi w:val="0"/>
              <w:jc w:val="center"/>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施工</w:t>
            </w:r>
          </w:p>
          <w:p w14:paraId="4B25E3A2">
            <w:pPr>
              <w:bidi w:val="0"/>
              <w:jc w:val="center"/>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期环</w:t>
            </w:r>
          </w:p>
          <w:p w14:paraId="41C5AF5A">
            <w:pPr>
              <w:bidi w:val="0"/>
              <w:jc w:val="center"/>
              <w:rPr>
                <w:rFonts w:hint="default" w:ascii="Times New Roman" w:hAnsi="Times New Roman" w:eastAsia="宋体" w:cs="Times New Roman"/>
                <w:snapToGrid w:val="0"/>
                <w:color w:val="auto"/>
                <w:sz w:val="30"/>
                <w:szCs w:val="30"/>
                <w:highlight w:val="none"/>
                <w:vertAlign w:val="baseline"/>
              </w:rPr>
            </w:pPr>
            <w:r>
              <w:rPr>
                <w:rFonts w:hint="default" w:ascii="Times New Roman" w:hAnsi="Times New Roman" w:eastAsia="宋体" w:cs="Times New Roman"/>
                <w:color w:val="auto"/>
                <w:sz w:val="24"/>
                <w:szCs w:val="32"/>
                <w:highlight w:val="none"/>
              </w:rPr>
              <w:t>境保护措施</w:t>
            </w:r>
          </w:p>
        </w:tc>
        <w:tc>
          <w:tcPr>
            <w:tcW w:w="4681" w:type="pct"/>
            <w:vAlign w:val="top"/>
          </w:tcPr>
          <w:p w14:paraId="02A47771">
            <w:pPr>
              <w:pStyle w:val="15"/>
              <w:keepNext w:val="0"/>
              <w:keepLines w:val="0"/>
              <w:pageBreakBefore w:val="0"/>
              <w:widowControl/>
              <w:kinsoku/>
              <w:wordWrap/>
              <w:overflowPunct/>
              <w:topLinePunct w:val="0"/>
              <w:autoSpaceDE/>
              <w:autoSpaceDN/>
              <w:bidi w:val="0"/>
              <w:adjustRightInd/>
              <w:snapToGrid w:val="0"/>
              <w:spacing w:before="0" w:after="0" w:line="520" w:lineRule="atLeast"/>
              <w:ind w:right="0"/>
              <w:jc w:val="both"/>
              <w:textAlignment w:val="auto"/>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1、大气环境影响分析</w:t>
            </w:r>
          </w:p>
          <w:p w14:paraId="4AD296A9">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施工期废气主要是施工场地平整、开挖、回填、建材的运输、露天堆放、装卸等过程中产生的扬尘。</w:t>
            </w:r>
          </w:p>
          <w:p w14:paraId="38F462BC">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施工期间产生的扬尘主要影响项目所在地块周围，扬尘的影响范围比较广，主要表现为空气中总悬浮颗粒浓度增大，特别是在天气干燥、风速较大时影响更为显著。施工期间产生的扬尘主要集中在土建施工阶段，按起尘原因可分为风力扬尘和动力扬尘</w:t>
            </w:r>
            <w:r>
              <w:rPr>
                <w:rFonts w:hint="default" w:ascii="Times New Roman" w:hAnsi="Times New Roman" w:eastAsia="宋体" w:cs="Times New Roman"/>
                <w:color w:val="auto"/>
                <w:kern w:val="0"/>
                <w:sz w:val="24"/>
                <w:szCs w:val="24"/>
                <w:highlight w:val="none"/>
                <w:lang w:eastAsia="zh-CN"/>
              </w:rPr>
              <w:t>。</w:t>
            </w:r>
          </w:p>
          <w:p w14:paraId="387936E0">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施工期所带来的施工扬尘如不有效治理，将对建设项目周围的大气环境质量造成不同程度的影响。根据</w:t>
            </w:r>
            <w:r>
              <w:rPr>
                <w:rFonts w:hint="default" w:ascii="Times New Roman" w:hAnsi="Times New Roman" w:eastAsia="宋体" w:cs="Times New Roman"/>
                <w:color w:val="auto"/>
                <w:kern w:val="0"/>
                <w:sz w:val="24"/>
                <w:szCs w:val="24"/>
                <w:highlight w:val="none"/>
                <w:lang w:val="en-US" w:eastAsia="zh-CN"/>
              </w:rPr>
              <w:t>相关</w:t>
            </w:r>
            <w:r>
              <w:rPr>
                <w:rFonts w:hint="default" w:ascii="Times New Roman" w:hAnsi="Times New Roman" w:eastAsia="宋体" w:cs="Times New Roman"/>
                <w:color w:val="auto"/>
                <w:kern w:val="0"/>
                <w:sz w:val="24"/>
                <w:szCs w:val="24"/>
                <w:highlight w:val="none"/>
                <w:lang w:eastAsia="zh-CN"/>
              </w:rPr>
              <w:t>文件通知的要求，提出施工期工地扬尘污染防治对策如下：</w:t>
            </w:r>
          </w:p>
          <w:p w14:paraId="044F9A4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w:t>
            </w: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 xml:space="preserve">   施工期大气污染防治措施一览表</w:t>
            </w:r>
          </w:p>
          <w:tbl>
            <w:tblPr>
              <w:tblStyle w:val="29"/>
              <w:tblW w:w="7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6752"/>
            </w:tblGrid>
            <w:tr w14:paraId="1711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7" w:type="dxa"/>
                  <w:noWrap w:val="0"/>
                  <w:vAlign w:val="center"/>
                </w:tcPr>
                <w:p w14:paraId="5A84F90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eastAsia="宋体" w:cs="Times New Roman"/>
                      <w:b w:val="0"/>
                      <w:bCs w:val="0"/>
                      <w:color w:val="auto"/>
                      <w:sz w:val="21"/>
                      <w:szCs w:val="21"/>
                      <w:u w:val="none"/>
                      <w:vertAlign w:val="baseline"/>
                      <w:lang w:eastAsia="zh-CN"/>
                    </w:rPr>
                  </w:pPr>
                  <w:r>
                    <w:rPr>
                      <w:rFonts w:hint="default" w:ascii="Times New Roman" w:hAnsi="Times New Roman" w:cs="Times New Roman"/>
                      <w:b w:val="0"/>
                      <w:bCs w:val="0"/>
                      <w:color w:val="auto"/>
                      <w:sz w:val="21"/>
                      <w:szCs w:val="21"/>
                      <w:u w:val="none"/>
                      <w:vertAlign w:val="baseline"/>
                      <w:lang w:eastAsia="zh-CN"/>
                    </w:rPr>
                    <w:t>控制措施</w:t>
                  </w:r>
                </w:p>
              </w:tc>
              <w:tc>
                <w:tcPr>
                  <w:tcW w:w="6752" w:type="dxa"/>
                  <w:noWrap w:val="0"/>
                  <w:vAlign w:val="center"/>
                </w:tcPr>
                <w:p w14:paraId="7FA5ACF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eastAsia="宋体" w:cs="Times New Roman"/>
                      <w:b w:val="0"/>
                      <w:bCs w:val="0"/>
                      <w:color w:val="auto"/>
                      <w:sz w:val="21"/>
                      <w:szCs w:val="21"/>
                      <w:u w:val="none"/>
                      <w:vertAlign w:val="baseline"/>
                      <w:lang w:eastAsia="zh-CN"/>
                    </w:rPr>
                  </w:pPr>
                  <w:r>
                    <w:rPr>
                      <w:rFonts w:hint="default" w:ascii="Times New Roman" w:hAnsi="Times New Roman" w:cs="Times New Roman"/>
                      <w:b w:val="0"/>
                      <w:bCs w:val="0"/>
                      <w:color w:val="auto"/>
                      <w:sz w:val="21"/>
                      <w:szCs w:val="21"/>
                      <w:u w:val="none"/>
                      <w:vertAlign w:val="baseline"/>
                      <w:lang w:eastAsia="zh-CN"/>
                    </w:rPr>
                    <w:t>具体实施内容</w:t>
                  </w:r>
                </w:p>
              </w:tc>
            </w:tr>
            <w:tr w14:paraId="7022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7" w:type="dxa"/>
                  <w:noWrap w:val="0"/>
                  <w:vAlign w:val="center"/>
                </w:tcPr>
                <w:p w14:paraId="37495BE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eastAsia="宋体" w:cs="Times New Roman"/>
                      <w:b w:val="0"/>
                      <w:bCs w:val="0"/>
                      <w:color w:val="auto"/>
                      <w:sz w:val="21"/>
                      <w:szCs w:val="21"/>
                      <w:u w:val="none"/>
                      <w:vertAlign w:val="baseline"/>
                      <w:lang w:eastAsia="zh-CN"/>
                    </w:rPr>
                  </w:pPr>
                  <w:r>
                    <w:rPr>
                      <w:rFonts w:hint="default" w:ascii="Times New Roman" w:hAnsi="Times New Roman" w:cs="Times New Roman"/>
                      <w:b w:val="0"/>
                      <w:bCs w:val="0"/>
                      <w:color w:val="auto"/>
                      <w:sz w:val="21"/>
                      <w:szCs w:val="21"/>
                      <w:u w:val="none"/>
                      <w:vertAlign w:val="baseline"/>
                      <w:lang w:eastAsia="zh-CN"/>
                    </w:rPr>
                    <w:t>工地周边围挡</w:t>
                  </w:r>
                </w:p>
              </w:tc>
              <w:tc>
                <w:tcPr>
                  <w:tcW w:w="6752" w:type="dxa"/>
                  <w:noWrap w:val="0"/>
                  <w:vAlign w:val="center"/>
                </w:tcPr>
                <w:p w14:paraId="59ECFCF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A.施工现场设置封闭围挡，围挡底端应设置防溢基础，围挡之间及围挡与防溢座之间无缝隙，不得有泥浆外漏。</w:t>
                  </w:r>
                </w:p>
                <w:p w14:paraId="1360E01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B.城区主要路段的施工现场及拆除工程围挡高度不应低于2.5m，其他一般路段的围挡高度不应低于1.8米；</w:t>
                  </w:r>
                </w:p>
                <w:p w14:paraId="1301FBA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C.围挡上部宜设置朝向场内区域的喷雾装置，每组间隔不宜大于4m；</w:t>
                  </w:r>
                </w:p>
              </w:tc>
            </w:tr>
            <w:tr w14:paraId="2390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7" w:type="dxa"/>
                  <w:noWrap w:val="0"/>
                  <w:vAlign w:val="center"/>
                </w:tcPr>
                <w:p w14:paraId="0207472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eastAsia="宋体" w:cs="Times New Roman"/>
                      <w:b w:val="0"/>
                      <w:bCs w:val="0"/>
                      <w:color w:val="auto"/>
                      <w:sz w:val="21"/>
                      <w:szCs w:val="21"/>
                      <w:u w:val="none"/>
                      <w:vertAlign w:val="baseline"/>
                      <w:lang w:eastAsia="zh-CN"/>
                    </w:rPr>
                  </w:pPr>
                  <w:r>
                    <w:rPr>
                      <w:rFonts w:hint="default" w:ascii="Times New Roman" w:hAnsi="Times New Roman" w:cs="Times New Roman"/>
                      <w:b w:val="0"/>
                      <w:bCs w:val="0"/>
                      <w:color w:val="auto"/>
                      <w:sz w:val="21"/>
                      <w:szCs w:val="21"/>
                      <w:u w:val="none"/>
                      <w:vertAlign w:val="baseline"/>
                      <w:lang w:eastAsia="zh-CN"/>
                    </w:rPr>
                    <w:t>施工工地道路硬化</w:t>
                  </w:r>
                </w:p>
              </w:tc>
              <w:tc>
                <w:tcPr>
                  <w:tcW w:w="6752" w:type="dxa"/>
                  <w:noWrap w:val="0"/>
                  <w:vAlign w:val="center"/>
                </w:tcPr>
                <w:p w14:paraId="67D6A1C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A.施工现场出入口、主要道路必须采取硬化处理措施，尽量做到“永临结合”。沿施工道路两侧宜布设标准化的道路喷淋系统。</w:t>
                  </w:r>
                </w:p>
                <w:p w14:paraId="704F099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B.施工现场辅助临时道路、加工区、施工用材料堆放场、临时停车场地应采取固化措施。</w:t>
                  </w:r>
                </w:p>
              </w:tc>
            </w:tr>
            <w:tr w14:paraId="1DDB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7" w:type="dxa"/>
                  <w:noWrap w:val="0"/>
                  <w:vAlign w:val="center"/>
                </w:tcPr>
                <w:p w14:paraId="1F197FE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eastAsia="宋体" w:cs="Times New Roman"/>
                      <w:b w:val="0"/>
                      <w:bCs w:val="0"/>
                      <w:color w:val="auto"/>
                      <w:sz w:val="21"/>
                      <w:szCs w:val="21"/>
                      <w:u w:val="none"/>
                      <w:vertAlign w:val="baseline"/>
                      <w:lang w:eastAsia="zh-CN"/>
                    </w:rPr>
                  </w:pPr>
                  <w:r>
                    <w:rPr>
                      <w:rFonts w:hint="default" w:ascii="Times New Roman" w:hAnsi="Times New Roman" w:cs="Times New Roman"/>
                      <w:b w:val="0"/>
                      <w:bCs w:val="0"/>
                      <w:color w:val="auto"/>
                      <w:sz w:val="21"/>
                      <w:szCs w:val="21"/>
                      <w:u w:val="none"/>
                      <w:vertAlign w:val="baseline"/>
                      <w:lang w:eastAsia="zh-CN"/>
                    </w:rPr>
                    <w:t>场地</w:t>
                  </w:r>
                </w:p>
              </w:tc>
              <w:tc>
                <w:tcPr>
                  <w:tcW w:w="6752" w:type="dxa"/>
                  <w:noWrap w:val="0"/>
                  <w:vAlign w:val="center"/>
                </w:tcPr>
                <w:p w14:paraId="0DE70F5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A.施工场地内裸露场地和堆放的土方必须采取防尘网覆盖、绿化或固化等扬尘污染防治措施；</w:t>
                  </w:r>
                </w:p>
                <w:p w14:paraId="30BEF28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B.待建场地裸露地面超过三个月的，应当进行临时绿化或透水铺装。</w:t>
                  </w:r>
                </w:p>
                <w:p w14:paraId="383E9AB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C.长期存在的废弃物堆场，应当设置高于废弃物堆的围墙、防尘网或者在废弃物堆场表面植被绿化。</w:t>
                  </w:r>
                </w:p>
              </w:tc>
            </w:tr>
            <w:tr w14:paraId="76D6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7" w:type="dxa"/>
                  <w:noWrap w:val="0"/>
                  <w:vAlign w:val="center"/>
                </w:tcPr>
                <w:p w14:paraId="02B5530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eastAsia="宋体" w:cs="Times New Roman"/>
                      <w:b w:val="0"/>
                      <w:bCs w:val="0"/>
                      <w:color w:val="auto"/>
                      <w:sz w:val="21"/>
                      <w:szCs w:val="21"/>
                      <w:u w:val="none"/>
                      <w:vertAlign w:val="baseline"/>
                      <w:lang w:eastAsia="zh-CN"/>
                    </w:rPr>
                  </w:pPr>
                  <w:r>
                    <w:rPr>
                      <w:rFonts w:hint="default" w:ascii="Times New Roman" w:hAnsi="Times New Roman" w:cs="Times New Roman"/>
                      <w:b w:val="0"/>
                      <w:bCs w:val="0"/>
                      <w:color w:val="auto"/>
                      <w:sz w:val="21"/>
                      <w:szCs w:val="21"/>
                      <w:u w:val="none"/>
                      <w:vertAlign w:val="baseline"/>
                      <w:lang w:eastAsia="zh-CN"/>
                    </w:rPr>
                    <w:t>物料堆放覆盖</w:t>
                  </w:r>
                </w:p>
              </w:tc>
              <w:tc>
                <w:tcPr>
                  <w:tcW w:w="6752" w:type="dxa"/>
                  <w:noWrap w:val="0"/>
                  <w:vAlign w:val="center"/>
                </w:tcPr>
                <w:p w14:paraId="6216627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A.砂石等散体材料应设置围挡，集中分类堆放，并采取防尘网覆盖或其他防尘；</w:t>
                  </w:r>
                </w:p>
                <w:p w14:paraId="1F8921C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B.水泥、粉煤灰、灰土等易产生扬尘的细颗粒建筑材料应进行密闭存放或设置围挡进行封闭、覆盖，使用过程中采取有效抑尘措施；</w:t>
                  </w:r>
                </w:p>
                <w:p w14:paraId="631F5B7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C.场内装卸、搬运易扬尘材料应遮盖、封闭或洒水；</w:t>
                  </w:r>
                </w:p>
                <w:p w14:paraId="436EF19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lang w:eastAsia="zh-CN"/>
                    </w:rPr>
                  </w:pPr>
                  <w:r>
                    <w:rPr>
                      <w:rFonts w:hint="default" w:ascii="Times New Roman" w:hAnsi="Times New Roman" w:eastAsia="宋体" w:cs="Times New Roman"/>
                      <w:b w:val="0"/>
                      <w:bCs w:val="0"/>
                      <w:color w:val="auto"/>
                      <w:sz w:val="21"/>
                      <w:szCs w:val="21"/>
                      <w:u w:val="none"/>
                      <w:vertAlign w:val="baseline"/>
                    </w:rPr>
                    <w:t>D.施工现场土方堆放时，除应采取覆盖防尘网、绿化等防尘措施，并适时洒水，还应做到：土方堆放高度不宜超过相邻围挡；使用土方时禁止将所有遮盖的防尘网全部打开；雨季应采取措施防止随雨水冲刷进入水体或市政雨水</w:t>
                  </w:r>
                  <w:r>
                    <w:rPr>
                      <w:rFonts w:hint="default" w:ascii="Times New Roman" w:hAnsi="Times New Roman" w:cs="Times New Roman"/>
                      <w:b w:val="0"/>
                      <w:bCs w:val="0"/>
                      <w:color w:val="auto"/>
                      <w:sz w:val="21"/>
                      <w:szCs w:val="21"/>
                      <w:u w:val="none"/>
                      <w:vertAlign w:val="baseline"/>
                      <w:lang w:eastAsia="zh-CN"/>
                    </w:rPr>
                    <w:t>管道。</w:t>
                  </w:r>
                </w:p>
              </w:tc>
            </w:tr>
            <w:tr w14:paraId="7E33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7" w:type="dxa"/>
                  <w:noWrap w:val="0"/>
                  <w:vAlign w:val="center"/>
                </w:tcPr>
                <w:p w14:paraId="53DACDE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cs="Times New Roman"/>
                      <w:b w:val="0"/>
                      <w:bCs w:val="0"/>
                      <w:color w:val="auto"/>
                      <w:sz w:val="21"/>
                      <w:szCs w:val="21"/>
                      <w:u w:val="none"/>
                      <w:vertAlign w:val="baseline"/>
                      <w:lang w:eastAsia="zh-CN"/>
                    </w:rPr>
                  </w:pPr>
                  <w:r>
                    <w:rPr>
                      <w:rFonts w:hint="default" w:ascii="Times New Roman" w:hAnsi="Times New Roman" w:cs="Times New Roman"/>
                      <w:b w:val="0"/>
                      <w:bCs w:val="0"/>
                      <w:color w:val="auto"/>
                      <w:sz w:val="21"/>
                      <w:szCs w:val="21"/>
                      <w:u w:val="none"/>
                      <w:vertAlign w:val="baseline"/>
                      <w:lang w:eastAsia="zh-CN"/>
                    </w:rPr>
                    <w:t>进出车辆冲洗</w:t>
                  </w:r>
                </w:p>
              </w:tc>
              <w:tc>
                <w:tcPr>
                  <w:tcW w:w="6752" w:type="dxa"/>
                  <w:noWrap w:val="0"/>
                  <w:vAlign w:val="center"/>
                </w:tcPr>
                <w:p w14:paraId="3734E8B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A.施工现场出入口大门内侧场内主要道路应设置固定车辆自动冲洗设施，包括：冲洗平台、冲洗设备、排水沟、沉淀池等。</w:t>
                  </w:r>
                </w:p>
                <w:p w14:paraId="144FF50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B.车辆冲洗装置冲洗水压不应小于0.3MPa，冲洗时间不宜少于3min。</w:t>
                  </w:r>
                </w:p>
                <w:p w14:paraId="4599D3C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C.车辆冲洗应有专人负责填写台账，确保车辆外部、底盘、轮胎处不得粘有污物和泥土，施工工地大门外车辆出口路面不应有明显的泥印和泥浆水，以及砂石、灰土等易扬尘材料。</w:t>
                  </w:r>
                </w:p>
                <w:p w14:paraId="406CAE1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D.车辆冲洗宜采用循环用水，设置分级沉淀池，沉淀池应做防渗处理，污水不得直接排入市政污水管网，沉淀池，排水沟中积存的污泥应定期清理。</w:t>
                  </w:r>
                </w:p>
                <w:p w14:paraId="03A6287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E.不具备建设车辆自动冲洗系统条件的施工工地或施工作业面出口，应设配备高压水枪的人工冲洗平台。</w:t>
                  </w:r>
                </w:p>
              </w:tc>
            </w:tr>
            <w:tr w14:paraId="6483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7" w:type="dxa"/>
                  <w:noWrap w:val="0"/>
                  <w:vAlign w:val="center"/>
                </w:tcPr>
                <w:p w14:paraId="00981EA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cs="Times New Roman"/>
                      <w:b w:val="0"/>
                      <w:bCs w:val="0"/>
                      <w:color w:val="auto"/>
                      <w:sz w:val="21"/>
                      <w:szCs w:val="21"/>
                      <w:u w:val="none"/>
                      <w:vertAlign w:val="baseline"/>
                      <w:lang w:eastAsia="zh-CN"/>
                    </w:rPr>
                  </w:pPr>
                  <w:r>
                    <w:rPr>
                      <w:rFonts w:hint="default" w:ascii="Times New Roman" w:hAnsi="Times New Roman" w:cs="Times New Roman"/>
                      <w:b w:val="0"/>
                      <w:bCs w:val="0"/>
                      <w:color w:val="auto"/>
                      <w:sz w:val="21"/>
                      <w:szCs w:val="21"/>
                      <w:u w:val="none"/>
                      <w:vertAlign w:val="baseline"/>
                      <w:lang w:eastAsia="zh-CN"/>
                    </w:rPr>
                    <w:t>渣土运输及建筑垃圾处置</w:t>
                  </w:r>
                </w:p>
              </w:tc>
              <w:tc>
                <w:tcPr>
                  <w:tcW w:w="6752" w:type="dxa"/>
                  <w:noWrap w:val="0"/>
                  <w:vAlign w:val="center"/>
                </w:tcPr>
                <w:p w14:paraId="4ED623A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A.建筑垃圾处置实行减量化、资源化、无害化和“谁产生、谁负责”的原则；</w:t>
                  </w:r>
                </w:p>
                <w:p w14:paraId="5E90FFD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B.施工现场垃圾应集中、分类堆放，严密遮盖。必要时建立密闭式垃圾站。</w:t>
                  </w:r>
                </w:p>
                <w:p w14:paraId="67BA9E3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C.楼层内清理施工垃圾，应采取先洒水降尘后清扫的作业方法，并使用密闭式专用垃圾通道（管道）或袋装清运；</w:t>
                  </w:r>
                </w:p>
                <w:p w14:paraId="7E4DD9C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D.施工现场严禁随意丢弃和焚烧各类废弃物，严禁高空抛洒建筑垃圾；</w:t>
                  </w:r>
                </w:p>
                <w:p w14:paraId="32607DF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E.施工工程中产生的弃土、弃料以及其他建筑垃圾，应及时清运。若在工地内堆置超过48小时的，应在施工工地内设置临时堆放场，并采取下列措施之一：覆盖防尘布、防尘网；定期喷洒抑尘剂；定期洒水压尘；其他有效的防尘措施；</w:t>
                  </w:r>
                </w:p>
                <w:p w14:paraId="34625C8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F.建筑垃圾和土方运输车辆运输中必须采取密闭措施，切实达到无外露、无遗撒、无高尖、无扬尘的要求，按规定的时间、地点、线路运输和装卸。</w:t>
                  </w:r>
                </w:p>
                <w:p w14:paraId="0958EB1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left"/>
                    <w:textAlignment w:val="auto"/>
                    <w:outlineLvl w:val="9"/>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vertAlign w:val="baseline"/>
                    </w:rPr>
                    <w:t>G.外运泥浆应使用具有吸排性能的密封罐车</w:t>
                  </w:r>
                </w:p>
              </w:tc>
            </w:tr>
          </w:tbl>
          <w:p w14:paraId="4A8E37EB">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eastAsia="zh-CN"/>
              </w:rPr>
              <w:t>在严格落实以上措施后，施工期产生的大气污染将得到有效控制，对施工人员、以及周边单位及群众的影响基本在人们可接受范围之内，对区域大气环境影响不大。此外，施工期大气环境影响是暂时的、局部的，随着工程的建成完工而消失。</w:t>
            </w:r>
          </w:p>
          <w:p w14:paraId="0E4C4222">
            <w:pPr>
              <w:pStyle w:val="15"/>
              <w:keepNext w:val="0"/>
              <w:keepLines w:val="0"/>
              <w:pageBreakBefore w:val="0"/>
              <w:widowControl/>
              <w:kinsoku/>
              <w:wordWrap/>
              <w:overflowPunct/>
              <w:topLinePunct w:val="0"/>
              <w:autoSpaceDE/>
              <w:autoSpaceDN/>
              <w:bidi w:val="0"/>
              <w:adjustRightInd/>
              <w:snapToGrid w:val="0"/>
              <w:spacing w:before="0" w:after="0" w:line="520" w:lineRule="atLeast"/>
              <w:ind w:right="0"/>
              <w:jc w:val="both"/>
              <w:textAlignment w:val="auto"/>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2、水环境影响分析</w:t>
            </w:r>
          </w:p>
          <w:p w14:paraId="68204927">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主要为施工废水和施工人员的洗漱用水。</w:t>
            </w:r>
          </w:p>
          <w:p w14:paraId="3EC2BB99">
            <w:pPr>
              <w:numPr>
                <w:ilvl w:val="0"/>
                <w:numId w:val="0"/>
              </w:numPr>
              <w:adjustRightInd w:val="0"/>
              <w:snapToGrid w:val="0"/>
              <w:spacing w:line="520" w:lineRule="exact"/>
              <w:jc w:val="both"/>
              <w:rPr>
                <w:rFonts w:hint="default" w:ascii="Times New Roman" w:hAnsi="Times New Roman" w:eastAsia="宋体" w:cs="Times New Roman"/>
                <w:b/>
                <w:bCs/>
                <w:color w:val="auto"/>
                <w:kern w:val="0"/>
                <w:sz w:val="24"/>
                <w:szCs w:val="24"/>
                <w:highlight w:val="none"/>
                <w:lang w:eastAsia="zh-CN"/>
              </w:rPr>
            </w:pPr>
            <w:r>
              <w:rPr>
                <w:rFonts w:hint="default" w:ascii="Times New Roman" w:hAnsi="Times New Roman" w:eastAsia="宋体" w:cs="Times New Roman"/>
                <w:b/>
                <w:bCs/>
                <w:color w:val="auto"/>
                <w:kern w:val="0"/>
                <w:sz w:val="24"/>
                <w:szCs w:val="24"/>
                <w:highlight w:val="none"/>
                <w:lang w:val="en-US" w:eastAsia="zh-CN"/>
              </w:rPr>
              <w:t>2</w:t>
            </w:r>
            <w:r>
              <w:rPr>
                <w:rFonts w:hint="default" w:ascii="Times New Roman" w:hAnsi="Times New Roman" w:eastAsia="宋体" w:cs="Times New Roman"/>
                <w:b/>
                <w:bCs/>
                <w:color w:val="auto"/>
                <w:kern w:val="0"/>
                <w:sz w:val="24"/>
                <w:szCs w:val="24"/>
                <w:highlight w:val="none"/>
                <w:lang w:eastAsia="zh-CN"/>
              </w:rPr>
              <w:t>.1施工机械冲洗废水</w:t>
            </w:r>
          </w:p>
          <w:p w14:paraId="2EC07D5D">
            <w:pPr>
              <w:numPr>
                <w:ilvl w:val="0"/>
                <w:numId w:val="0"/>
              </w:numPr>
              <w:adjustRightInd w:val="0"/>
              <w:snapToGrid w:val="0"/>
              <w:spacing w:line="520" w:lineRule="exact"/>
              <w:ind w:leftChars="0" w:firstLine="480" w:firstLineChars="200"/>
              <w:jc w:val="both"/>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施工机械投入使用过程中，实际冲洗次数相对较少，产生的污染物主要为SS，可用于泼洒施工场地抑尘，不外排。</w:t>
            </w:r>
          </w:p>
          <w:p w14:paraId="01341B60">
            <w:pPr>
              <w:numPr>
                <w:ilvl w:val="0"/>
                <w:numId w:val="0"/>
              </w:numPr>
              <w:adjustRightInd w:val="0"/>
              <w:snapToGrid w:val="0"/>
              <w:spacing w:line="520" w:lineRule="exact"/>
              <w:jc w:val="both"/>
              <w:rPr>
                <w:rFonts w:hint="default" w:ascii="Times New Roman" w:hAnsi="Times New Roman" w:eastAsia="宋体" w:cs="Times New Roman"/>
                <w:b/>
                <w:bCs/>
                <w:color w:val="auto"/>
                <w:sz w:val="24"/>
              </w:rPr>
            </w:pPr>
            <w:r>
              <w:rPr>
                <w:rFonts w:hint="default" w:ascii="Times New Roman" w:hAnsi="Times New Roman" w:cs="Times New Roman"/>
                <w:b/>
                <w:bCs/>
                <w:color w:val="auto"/>
                <w:sz w:val="24"/>
                <w:lang w:val="en-US" w:eastAsia="zh-CN"/>
              </w:rPr>
              <w:t>2</w:t>
            </w:r>
            <w:r>
              <w:rPr>
                <w:rFonts w:hint="default" w:ascii="Times New Roman" w:hAnsi="Times New Roman" w:eastAsia="宋体" w:cs="Times New Roman"/>
                <w:b/>
                <w:bCs/>
                <w:color w:val="auto"/>
                <w:sz w:val="24"/>
              </w:rPr>
              <w:t>.2生活污水</w:t>
            </w:r>
          </w:p>
          <w:p w14:paraId="3A9D013F">
            <w:pPr>
              <w:numPr>
                <w:ilvl w:val="0"/>
                <w:numId w:val="0"/>
              </w:numPr>
              <w:adjustRightInd w:val="0"/>
              <w:snapToGrid w:val="0"/>
              <w:spacing w:line="520" w:lineRule="exact"/>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本项目施工期为</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个月，施工人员约</w:t>
            </w:r>
            <w:r>
              <w:rPr>
                <w:rFonts w:hint="default" w:ascii="Times New Roman" w:hAnsi="Times New Roman" w:cs="Times New Roman"/>
                <w:color w:val="auto"/>
                <w:sz w:val="24"/>
                <w:lang w:val="en-US" w:eastAsia="zh-CN"/>
              </w:rPr>
              <w:t>20</w:t>
            </w:r>
            <w:r>
              <w:rPr>
                <w:rFonts w:hint="default" w:ascii="Times New Roman" w:hAnsi="Times New Roman" w:eastAsia="宋体" w:cs="Times New Roman"/>
                <w:color w:val="auto"/>
                <w:sz w:val="24"/>
              </w:rPr>
              <w:t>人，由于条件限制，施工人员用水较少，用水量按30L/人·d计算，用水量为</w:t>
            </w:r>
            <w:r>
              <w:rPr>
                <w:rFonts w:hint="default" w:ascii="Times New Roman" w:hAnsi="Times New Roman" w:cs="Times New Roman"/>
                <w:color w:val="auto"/>
                <w:sz w:val="24"/>
                <w:lang w:val="en-US" w:eastAsia="zh-CN"/>
              </w:rPr>
              <w:t>0.6m</w:t>
            </w:r>
            <w:r>
              <w:rPr>
                <w:rFonts w:hint="default" w:ascii="Times New Roman" w:hAnsi="Times New Roman" w:cs="Times New Roman"/>
                <w:color w:val="auto"/>
                <w:sz w:val="24"/>
                <w:vertAlign w:val="superscript"/>
                <w:lang w:val="en-US" w:eastAsia="zh-CN"/>
              </w:rPr>
              <w:t>3</w:t>
            </w:r>
            <w:r>
              <w:rPr>
                <w:rFonts w:hint="default" w:ascii="Times New Roman" w:hAnsi="Times New Roman" w:eastAsia="宋体" w:cs="Times New Roman"/>
                <w:color w:val="auto"/>
                <w:sz w:val="24"/>
              </w:rPr>
              <w:t>/d，排放量按用水量的80%计算，生活污水排放量为0.</w:t>
            </w:r>
            <w:r>
              <w:rPr>
                <w:rFonts w:hint="default" w:ascii="Times New Roman" w:hAnsi="Times New Roman" w:cs="Times New Roman"/>
                <w:color w:val="auto"/>
                <w:sz w:val="24"/>
                <w:lang w:val="en-US" w:eastAsia="zh-CN"/>
              </w:rPr>
              <w:t>48m</w:t>
            </w:r>
            <w:r>
              <w:rPr>
                <w:rFonts w:hint="default" w:ascii="Times New Roman" w:hAnsi="Times New Roman" w:cs="Times New Roman"/>
                <w:color w:val="auto"/>
                <w:sz w:val="24"/>
                <w:vertAlign w:val="superscript"/>
                <w:lang w:val="en-US" w:eastAsia="zh-CN"/>
              </w:rPr>
              <w:t>3</w:t>
            </w:r>
            <w:r>
              <w:rPr>
                <w:rFonts w:hint="default" w:ascii="Times New Roman" w:hAnsi="Times New Roman" w:eastAsia="宋体" w:cs="Times New Roman"/>
                <w:color w:val="auto"/>
                <w:sz w:val="24"/>
              </w:rPr>
              <w:t>/d，即</w:t>
            </w:r>
            <w:r>
              <w:rPr>
                <w:rFonts w:hint="default" w:ascii="Times New Roman" w:hAnsi="Times New Roman" w:cs="Times New Roman"/>
                <w:color w:val="auto"/>
                <w:sz w:val="24"/>
                <w:lang w:val="en-US" w:eastAsia="zh-CN"/>
              </w:rPr>
              <w:t>43.2m</w:t>
            </w:r>
            <w:r>
              <w:rPr>
                <w:rFonts w:hint="default" w:ascii="Times New Roman" w:hAnsi="Times New Roman" w:cs="Times New Roman"/>
                <w:color w:val="auto"/>
                <w:sz w:val="24"/>
                <w:vertAlign w:val="superscript"/>
                <w:lang w:val="en-US" w:eastAsia="zh-CN"/>
              </w:rPr>
              <w:t>3</w:t>
            </w:r>
            <w:r>
              <w:rPr>
                <w:rFonts w:hint="default" w:ascii="Times New Roman" w:hAnsi="Times New Roman" w:eastAsia="宋体" w:cs="Times New Roman"/>
                <w:color w:val="auto"/>
                <w:sz w:val="24"/>
              </w:rPr>
              <w:t>。生活污水收集后泼洒地面抑尘，废水不外排。</w:t>
            </w:r>
          </w:p>
          <w:p w14:paraId="63BF1449">
            <w:pPr>
              <w:numPr>
                <w:ilvl w:val="0"/>
                <w:numId w:val="0"/>
              </w:numPr>
              <w:adjustRightInd w:val="0"/>
              <w:snapToGrid w:val="0"/>
              <w:spacing w:line="520" w:lineRule="exact"/>
              <w:jc w:val="both"/>
              <w:rPr>
                <w:rFonts w:hint="default" w:ascii="Times New Roman" w:hAnsi="Times New Roman" w:eastAsia="宋体" w:cs="Times New Roman"/>
                <w:b/>
                <w:color w:val="auto"/>
                <w:sz w:val="24"/>
              </w:rPr>
            </w:pPr>
            <w:r>
              <w:rPr>
                <w:rFonts w:hint="default" w:ascii="Times New Roman" w:hAnsi="Times New Roman" w:eastAsia="宋体" w:cs="Times New Roman"/>
                <w:b/>
                <w:color w:val="auto"/>
                <w:kern w:val="2"/>
                <w:sz w:val="24"/>
                <w:szCs w:val="24"/>
                <w:lang w:val="en-US" w:eastAsia="zh-CN" w:bidi="ar-SA"/>
              </w:rPr>
              <w:t>3、</w:t>
            </w:r>
            <w:r>
              <w:rPr>
                <w:rFonts w:hint="default" w:ascii="Times New Roman" w:hAnsi="Times New Roman" w:eastAsia="宋体" w:cs="Times New Roman"/>
                <w:b/>
                <w:color w:val="auto"/>
                <w:sz w:val="24"/>
              </w:rPr>
              <w:t>声环境影响分析</w:t>
            </w:r>
          </w:p>
          <w:p w14:paraId="1D6FA797">
            <w:pPr>
              <w:numPr>
                <w:ilvl w:val="0"/>
                <w:numId w:val="0"/>
              </w:numPr>
              <w:adjustRightInd w:val="0"/>
              <w:snapToGrid w:val="0"/>
              <w:spacing w:line="520" w:lineRule="exact"/>
              <w:jc w:val="both"/>
              <w:rPr>
                <w:rFonts w:hint="default" w:ascii="Times New Roman" w:hAnsi="Times New Roman" w:eastAsia="宋体" w:cs="Times New Roman"/>
                <w:b/>
                <w:bCs/>
                <w:color w:val="auto"/>
                <w:sz w:val="24"/>
              </w:rPr>
            </w:pPr>
            <w:r>
              <w:rPr>
                <w:rFonts w:hint="default" w:ascii="Times New Roman" w:hAnsi="Times New Roman" w:cs="Times New Roman"/>
                <w:b/>
                <w:bCs/>
                <w:color w:val="auto"/>
                <w:kern w:val="0"/>
                <w:sz w:val="24"/>
                <w:lang w:val="en-US" w:eastAsia="zh-CN"/>
              </w:rPr>
              <w:t>3</w:t>
            </w:r>
            <w:r>
              <w:rPr>
                <w:rFonts w:hint="default" w:ascii="Times New Roman" w:hAnsi="Times New Roman" w:eastAsia="宋体" w:cs="Times New Roman"/>
                <w:b/>
                <w:bCs/>
                <w:color w:val="auto"/>
                <w:kern w:val="0"/>
                <w:sz w:val="24"/>
                <w:lang w:val="zh-CN"/>
              </w:rPr>
              <w:t>.1</w:t>
            </w:r>
            <w:r>
              <w:rPr>
                <w:rFonts w:hint="default" w:ascii="Times New Roman" w:hAnsi="Times New Roman" w:eastAsia="宋体" w:cs="Times New Roman"/>
                <w:b/>
                <w:bCs/>
                <w:color w:val="auto"/>
                <w:sz w:val="24"/>
              </w:rPr>
              <w:t>噪声源及源强</w:t>
            </w:r>
          </w:p>
          <w:p w14:paraId="7560AA85">
            <w:pPr>
              <w:numPr>
                <w:ilvl w:val="0"/>
                <w:numId w:val="0"/>
              </w:numPr>
              <w:adjustRightInd w:val="0"/>
              <w:snapToGrid w:val="0"/>
              <w:spacing w:line="520" w:lineRule="exact"/>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工程施工噪声来源包括：场地平整、地基处理、结构等阶段，主要为施工机械产生的噪声以及施工运输车辆的交通噪声。</w:t>
            </w:r>
          </w:p>
          <w:p w14:paraId="11F9AEBB">
            <w:pPr>
              <w:numPr>
                <w:ilvl w:val="0"/>
                <w:numId w:val="0"/>
              </w:numPr>
              <w:adjustRightInd w:val="0"/>
              <w:snapToGrid w:val="0"/>
              <w:spacing w:line="520" w:lineRule="exact"/>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为进一步减轻施工噪声对周围环境的影响，建议采用如下措施控制施工噪声：</w:t>
            </w:r>
          </w:p>
          <w:p w14:paraId="58FD8549">
            <w:pPr>
              <w:numPr>
                <w:ilvl w:val="0"/>
                <w:numId w:val="0"/>
              </w:numPr>
              <w:adjustRightInd w:val="0"/>
              <w:snapToGrid w:val="0"/>
              <w:spacing w:line="520" w:lineRule="exact"/>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eastAsia="zh-CN"/>
              </w:rPr>
              <w:t>①</w:t>
            </w:r>
            <w:r>
              <w:rPr>
                <w:rFonts w:hint="default" w:ascii="Times New Roman" w:hAnsi="Times New Roman" w:eastAsia="宋体" w:cs="Times New Roman"/>
                <w:bCs/>
                <w:color w:val="auto"/>
                <w:sz w:val="24"/>
              </w:rPr>
              <w:t>积极改进作业技术，采用先进设备与材料，降低作业噪声的产生量。如整体滑动模板的使用，可以大大减少模板作业噪声发生量与强度。尽量选用低噪声或备有消声降噪声的施工机械。现场混凝土振捣采用低噪音振动棒，操作时，不得振捣钢筋和模板，不得任意空振产生噪声。</w:t>
            </w:r>
          </w:p>
          <w:p w14:paraId="4546B5F9">
            <w:pPr>
              <w:numPr>
                <w:ilvl w:val="0"/>
                <w:numId w:val="0"/>
              </w:numPr>
              <w:adjustRightInd w:val="0"/>
              <w:snapToGrid w:val="0"/>
              <w:spacing w:line="520" w:lineRule="exact"/>
              <w:ind w:firstLine="480" w:firstLineChars="200"/>
              <w:jc w:val="both"/>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②合理安排施工时间：施工单位应合理安排好施工时间，靠近敏感点处施工时，尽量缩短工期，尤其是在有敏感点分布的边界附近施工时，应尽快施工，避免造成长期影响。除特殊工艺要求经批准外，禁止高噪声设备在午休时间和夜间22:00至次日6:00作业</w:t>
            </w:r>
            <w:r>
              <w:rPr>
                <w:rFonts w:hint="default" w:ascii="Times New Roman" w:hAnsi="Times New Roman" w:eastAsia="宋体" w:cs="Times New Roman"/>
                <w:bCs/>
                <w:color w:val="auto"/>
                <w:sz w:val="24"/>
                <w:lang w:eastAsia="zh-CN"/>
              </w:rPr>
              <w:t>。</w:t>
            </w:r>
          </w:p>
          <w:p w14:paraId="51F8781E">
            <w:pPr>
              <w:numPr>
                <w:ilvl w:val="0"/>
                <w:numId w:val="0"/>
              </w:numPr>
              <w:adjustRightInd w:val="0"/>
              <w:snapToGrid w:val="0"/>
              <w:spacing w:line="520" w:lineRule="exact"/>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③从声源上控制：施工机械产生的噪声往往具有突发、无规则、不连续和高强度等特点，施工单位应采取合理安排施工机械操作时间的方法加以缓解，并减少同时作业的高噪施工机械数量，尽可能减轻声源叠加影响。噪声机械设备尽量远离场界，特别是在基础施工阶段，电锯、电刨、砂轮锯等强噪声机械设备应远离场界，现场强噪声采用封闭式隔音棚。施工现场模板、钢管等维修清理时，严禁使用大锤敲打，钢材、木材等进出场装卸时，要轻拿轻放。模板、脚手架支设和拆除搬运时，必须轻拿轻放，上下左右有人传递，不得随意乱抛乱放。塔吊指挥配置对讲机，不用口哨，实现降噪，使施工噪声排放达标，以避免扰民。使用电锤、电钻打孔时，及时在钻头上加油或加水，砂轮锯切割作业区要采取遮挡措施，木工电锯的锯片上要及时刷油，以降低噪声。</w:t>
            </w:r>
          </w:p>
          <w:p w14:paraId="2990EEE1">
            <w:pPr>
              <w:numPr>
                <w:ilvl w:val="0"/>
                <w:numId w:val="0"/>
              </w:numPr>
              <w:adjustRightInd w:val="0"/>
              <w:snapToGrid w:val="0"/>
              <w:spacing w:line="520" w:lineRule="exact"/>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④必须在施工场址边界设立围挡设施，高度不应小于2.5m，降低施工噪声对周围环境造成的影响。</w:t>
            </w:r>
          </w:p>
          <w:p w14:paraId="447CE1F6">
            <w:pPr>
              <w:numPr>
                <w:ilvl w:val="0"/>
                <w:numId w:val="0"/>
              </w:numPr>
              <w:adjustRightInd w:val="0"/>
              <w:snapToGrid w:val="0"/>
              <w:spacing w:line="520" w:lineRule="exact"/>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⑤施工场地的施工车辆出入地点设置在</w:t>
            </w:r>
            <w:r>
              <w:rPr>
                <w:rFonts w:hint="default" w:ascii="Times New Roman" w:hAnsi="Times New Roman" w:eastAsia="宋体" w:cs="Times New Roman"/>
                <w:bCs/>
                <w:color w:val="auto"/>
                <w:sz w:val="24"/>
                <w:lang w:eastAsia="zh-CN"/>
              </w:rPr>
              <w:t>院区北门</w:t>
            </w:r>
            <w:r>
              <w:rPr>
                <w:rFonts w:hint="default" w:ascii="Times New Roman" w:hAnsi="Times New Roman" w:eastAsia="宋体" w:cs="Times New Roman"/>
                <w:bCs/>
                <w:color w:val="auto"/>
                <w:sz w:val="24"/>
              </w:rPr>
              <w:t>，车辆出入现场时应低速、禁鸣，在环境敏感点100m范围内车辆行驶速度应限制在20km/h以内，以降低车辆运输噪声；对于施工期间的材料运输、敲击、人的喊叫等噪声源，要求施工单位文明施工、加强有效管理以缓解其影响。</w:t>
            </w:r>
          </w:p>
          <w:p w14:paraId="36AE81FF">
            <w:pPr>
              <w:numPr>
                <w:ilvl w:val="0"/>
                <w:numId w:val="0"/>
              </w:numPr>
              <w:adjustRightInd w:val="0"/>
              <w:snapToGrid w:val="0"/>
              <w:spacing w:line="520" w:lineRule="exact"/>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⑥要求业主单位在施工现场标明投诉电话，一旦接到投诉，业主单位应及时与当地环保部门取得联系，以便及时处理环境纠纷。加强环保意识的宣传，采取有效措施控制人为噪声和施工噪声，严格管理，最大限度减少噪声扰民，保证周边敏感点居民的正常生活和休息。</w:t>
            </w:r>
          </w:p>
          <w:p w14:paraId="05766882">
            <w:pPr>
              <w:numPr>
                <w:ilvl w:val="0"/>
                <w:numId w:val="0"/>
              </w:numPr>
              <w:adjustRightInd w:val="0"/>
              <w:snapToGrid w:val="0"/>
              <w:spacing w:line="520" w:lineRule="exact"/>
              <w:ind w:firstLine="480" w:firstLineChars="200"/>
              <w:jc w:val="both"/>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本项目施工期在采取上述治理及控制措施后，各类机械设备的施工噪声能从影响程度、影响时间及影响强度等方面得以一定程度的削减，由于建筑作业难以做到全封闭施工，因此本项目的建设施工仍将对周围环境造成一定的不利影响，但噪声属无残留污染，施工结束噪声污染也随之结束，周围声环境即可恢复至现状水平。因此建设单位和施工单位应对施工期的噪声污染防治引起重视，落实控制措施，尽可能将该影响控制在最低水平</w:t>
            </w:r>
            <w:r>
              <w:rPr>
                <w:rFonts w:hint="default" w:ascii="Times New Roman" w:hAnsi="Times New Roman" w:eastAsia="宋体" w:cs="Times New Roman"/>
                <w:bCs/>
                <w:color w:val="auto"/>
                <w:sz w:val="24"/>
                <w:lang w:eastAsia="zh-CN"/>
              </w:rPr>
              <w:t>。</w:t>
            </w:r>
          </w:p>
          <w:p w14:paraId="0C1EF04E">
            <w:pPr>
              <w:numPr>
                <w:ilvl w:val="0"/>
                <w:numId w:val="0"/>
              </w:numPr>
              <w:adjustRightInd w:val="0"/>
              <w:snapToGrid w:val="0"/>
              <w:spacing w:line="520" w:lineRule="exact"/>
              <w:jc w:val="both"/>
              <w:rPr>
                <w:rFonts w:hint="default" w:ascii="Times New Roman" w:hAnsi="Times New Roman" w:eastAsia="宋体" w:cs="Times New Roman"/>
                <w:b/>
                <w:bCs/>
                <w:color w:val="auto"/>
                <w:sz w:val="24"/>
                <w:lang w:val="zh-CN"/>
              </w:rPr>
            </w:pPr>
            <w:r>
              <w:rPr>
                <w:rFonts w:hint="default"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lang w:val="zh-CN"/>
              </w:rPr>
              <w:t>、固体废物环境影响分析</w:t>
            </w:r>
          </w:p>
          <w:p w14:paraId="3BF4898A">
            <w:pPr>
              <w:numPr>
                <w:ilvl w:val="0"/>
                <w:numId w:val="0"/>
              </w:numPr>
              <w:adjustRightInd w:val="0"/>
              <w:snapToGrid w:val="0"/>
              <w:spacing w:line="520" w:lineRule="exact"/>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本项目施工期固废主要为施工建筑垃圾以及施工人员产生的生活垃圾。该项目就地取土用于低洼区回填，在项目区内实现取弃土平衡，故没有外抛土方，表层土用于绿地回填。</w:t>
            </w:r>
          </w:p>
          <w:p w14:paraId="17D41479">
            <w:pPr>
              <w:numPr>
                <w:ilvl w:val="0"/>
                <w:numId w:val="0"/>
              </w:numPr>
              <w:adjustRightInd w:val="0"/>
              <w:snapToGrid w:val="0"/>
              <w:spacing w:line="520" w:lineRule="exact"/>
              <w:jc w:val="both"/>
              <w:rPr>
                <w:rFonts w:hint="default" w:ascii="Times New Roman" w:hAnsi="Times New Roman" w:eastAsia="宋体" w:cs="Times New Roman"/>
                <w:b/>
                <w:bCs/>
                <w:color w:val="auto"/>
                <w:sz w:val="24"/>
                <w:lang w:val="zh-CN"/>
              </w:rPr>
            </w:pPr>
            <w:r>
              <w:rPr>
                <w:rFonts w:hint="default"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lang w:val="zh-CN"/>
              </w:rPr>
              <w:t>.1建筑垃圾</w:t>
            </w:r>
          </w:p>
          <w:p w14:paraId="167D8CA0">
            <w:pPr>
              <w:numPr>
                <w:ilvl w:val="0"/>
                <w:numId w:val="0"/>
              </w:numPr>
              <w:adjustRightInd w:val="0"/>
              <w:snapToGrid w:val="0"/>
              <w:spacing w:line="520" w:lineRule="exact"/>
              <w:ind w:firstLine="480" w:firstLineChars="200"/>
              <w:jc w:val="both"/>
              <w:rPr>
                <w:rFonts w:hint="default" w:ascii="Times New Roman" w:hAnsi="Times New Roman" w:cs="Times New Roman"/>
                <w:b w:val="0"/>
                <w:bCs w:val="0"/>
                <w:color w:val="auto"/>
                <w:sz w:val="24"/>
                <w:u w:val="none"/>
                <w:lang w:eastAsia="zh-CN"/>
              </w:rPr>
            </w:pPr>
            <w:r>
              <w:rPr>
                <w:rFonts w:hint="default" w:ascii="Times New Roman" w:hAnsi="Times New Roman" w:eastAsia="宋体" w:cs="Times New Roman"/>
                <w:color w:val="auto"/>
                <w:sz w:val="24"/>
              </w:rPr>
              <w:t>本项目</w:t>
            </w:r>
            <w:r>
              <w:rPr>
                <w:rFonts w:hint="default" w:ascii="Times New Roman" w:hAnsi="Times New Roman" w:cs="Times New Roman"/>
                <w:color w:val="auto"/>
                <w:sz w:val="24"/>
                <w:lang w:val="en-US" w:eastAsia="zh-CN"/>
              </w:rPr>
              <w:t>占地</w:t>
            </w:r>
            <w:r>
              <w:rPr>
                <w:rFonts w:hint="default" w:ascii="Times New Roman" w:hAnsi="Times New Roman" w:eastAsia="宋体" w:cs="Times New Roman"/>
                <w:color w:val="auto"/>
                <w:sz w:val="24"/>
              </w:rPr>
              <w:t>面积</w:t>
            </w:r>
            <w:r>
              <w:rPr>
                <w:rFonts w:hint="default" w:ascii="Times New Roman" w:hAnsi="Times New Roman" w:cs="Times New Roman"/>
                <w:color w:val="auto"/>
                <w:sz w:val="24"/>
                <w:lang w:val="en-US" w:eastAsia="zh-CN"/>
              </w:rPr>
              <w:t>约</w:t>
            </w:r>
            <w:r>
              <w:rPr>
                <w:rFonts w:hint="default" w:ascii="Times New Roman" w:hAnsi="Times New Roman" w:eastAsia="宋体" w:cs="Times New Roman"/>
                <w:color w:val="auto"/>
                <w:sz w:val="24"/>
                <w:szCs w:val="24"/>
                <w:highlight w:val="none"/>
                <w:lang w:val="en-US" w:eastAsia="zh-CN"/>
              </w:rPr>
              <w:t>30</w:t>
            </w:r>
            <w:r>
              <w:rPr>
                <w:rFonts w:hint="default" w:ascii="Times New Roman" w:hAnsi="Times New Roman" w:cs="Times New Roman"/>
                <w:color w:val="auto"/>
                <w:sz w:val="24"/>
                <w:szCs w:val="24"/>
                <w:highlight w:val="none"/>
                <w:lang w:val="en-US" w:eastAsia="zh-CN"/>
              </w:rPr>
              <w:t>612.12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，建筑垃圾产生量按40kg/m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计算，则本项目建筑垃圾产生量为</w:t>
            </w:r>
            <w:r>
              <w:rPr>
                <w:rFonts w:hint="default" w:ascii="Times New Roman" w:hAnsi="Times New Roman" w:cs="Times New Roman"/>
                <w:color w:val="auto"/>
                <w:sz w:val="24"/>
                <w:lang w:val="en-US" w:eastAsia="zh-CN"/>
              </w:rPr>
              <w:t>1224.48</w:t>
            </w:r>
            <w:r>
              <w:rPr>
                <w:rFonts w:hint="default" w:ascii="Times New Roman" w:hAnsi="Times New Roman" w:eastAsia="宋体" w:cs="Times New Roman"/>
                <w:color w:val="auto"/>
                <w:sz w:val="24"/>
              </w:rPr>
              <w:t>t。</w:t>
            </w:r>
            <w:r>
              <w:rPr>
                <w:rFonts w:hint="default" w:ascii="Times New Roman" w:hAnsi="Times New Roman" w:eastAsia="宋体" w:cs="Times New Roman"/>
                <w:b w:val="0"/>
                <w:bCs w:val="0"/>
                <w:color w:val="auto"/>
                <w:sz w:val="24"/>
                <w:u w:val="none"/>
              </w:rPr>
              <w:t>施工期产生建筑垃圾集中堆放，由建筑垃圾清运公司外运至市政部门指定建筑垃圾堆放场，在外运过程中适当洒水，并采用篷布进行遮盖，检验合格后方可上路</w:t>
            </w:r>
            <w:r>
              <w:rPr>
                <w:rFonts w:hint="default" w:ascii="Times New Roman" w:hAnsi="Times New Roman" w:cs="Times New Roman"/>
                <w:b w:val="0"/>
                <w:bCs w:val="0"/>
                <w:color w:val="auto"/>
                <w:sz w:val="24"/>
                <w:u w:val="none"/>
                <w:lang w:eastAsia="zh-CN"/>
              </w:rPr>
              <w:t>。</w:t>
            </w:r>
          </w:p>
          <w:p w14:paraId="1CD9C913">
            <w:pPr>
              <w:numPr>
                <w:ilvl w:val="0"/>
                <w:numId w:val="0"/>
              </w:numPr>
              <w:adjustRightInd w:val="0"/>
              <w:snapToGrid w:val="0"/>
              <w:spacing w:line="520" w:lineRule="exact"/>
              <w:ind w:firstLine="480" w:firstLineChars="200"/>
              <w:jc w:val="both"/>
              <w:rPr>
                <w:rFonts w:hint="default" w:ascii="Times New Roman" w:hAnsi="Times New Roman" w:cs="Times New Roman"/>
                <w:b w:val="0"/>
                <w:bCs w:val="0"/>
                <w:color w:val="auto"/>
                <w:sz w:val="24"/>
                <w:u w:val="none"/>
                <w:lang w:eastAsia="zh-CN"/>
              </w:rPr>
            </w:pPr>
            <w:r>
              <w:rPr>
                <w:rFonts w:hint="default" w:ascii="Times New Roman" w:hAnsi="Times New Roman" w:cs="Times New Roman"/>
                <w:b w:val="0"/>
                <w:bCs w:val="0"/>
                <w:color w:val="auto"/>
                <w:sz w:val="24"/>
                <w:u w:val="none"/>
                <w:lang w:eastAsia="zh-CN"/>
              </w:rPr>
              <w:t>施工过程中产生的产生和各类建筑垃圾施工单位或承建单位应及时外运，在渣土运输过程中严格执行以下的规定：</w:t>
            </w:r>
          </w:p>
          <w:p w14:paraId="3ED2FFD1">
            <w:pPr>
              <w:numPr>
                <w:ilvl w:val="0"/>
                <w:numId w:val="0"/>
              </w:numPr>
              <w:adjustRightInd w:val="0"/>
              <w:snapToGrid w:val="0"/>
              <w:spacing w:line="520" w:lineRule="exact"/>
              <w:ind w:firstLine="480" w:firstLineChars="200"/>
              <w:jc w:val="both"/>
              <w:rPr>
                <w:rFonts w:hint="default" w:ascii="Times New Roman" w:hAnsi="Times New Roman" w:cs="Times New Roman"/>
                <w:b w:val="0"/>
                <w:bCs w:val="0"/>
                <w:color w:val="auto"/>
                <w:sz w:val="24"/>
                <w:u w:val="none"/>
                <w:lang w:eastAsia="zh-CN"/>
              </w:rPr>
            </w:pPr>
            <w:r>
              <w:rPr>
                <w:rFonts w:hint="default" w:ascii="Times New Roman" w:hAnsi="Times New Roman" w:cs="Times New Roman"/>
                <w:b w:val="0"/>
                <w:bCs w:val="0"/>
                <w:color w:val="auto"/>
                <w:sz w:val="24"/>
                <w:u w:val="none"/>
                <w:lang w:eastAsia="zh-CN"/>
              </w:rPr>
              <w:t>①施工单位在开工前，应当与主管部门签订环境卫生责任书，对施工过程中产生和各类建筑垃圾应当及时清理，保持施工现场整洁；</w:t>
            </w:r>
          </w:p>
          <w:p w14:paraId="310F712D">
            <w:pPr>
              <w:numPr>
                <w:ilvl w:val="0"/>
                <w:numId w:val="0"/>
              </w:numPr>
              <w:adjustRightInd w:val="0"/>
              <w:snapToGrid w:val="0"/>
              <w:spacing w:line="520" w:lineRule="exact"/>
              <w:ind w:firstLine="480" w:firstLineChars="200"/>
              <w:jc w:val="both"/>
              <w:rPr>
                <w:rFonts w:hint="default" w:ascii="Times New Roman" w:hAnsi="Times New Roman" w:cs="Times New Roman"/>
                <w:b w:val="0"/>
                <w:bCs w:val="0"/>
                <w:color w:val="auto"/>
                <w:sz w:val="24"/>
                <w:u w:val="none"/>
                <w:lang w:eastAsia="zh-CN"/>
              </w:rPr>
            </w:pPr>
            <w:r>
              <w:rPr>
                <w:rFonts w:hint="default" w:ascii="Times New Roman" w:hAnsi="Times New Roman" w:cs="Times New Roman"/>
                <w:b w:val="0"/>
                <w:bCs w:val="0"/>
                <w:color w:val="auto"/>
                <w:sz w:val="24"/>
                <w:u w:val="none"/>
                <w:lang w:eastAsia="zh-CN"/>
              </w:rPr>
              <w:t>②工程施工现场出入口的道路应当硬化，配置相应的冲洗设施，车辆冲洗干净后，方可驶离工地；</w:t>
            </w:r>
          </w:p>
          <w:p w14:paraId="341BD2A2">
            <w:pPr>
              <w:numPr>
                <w:ilvl w:val="0"/>
                <w:numId w:val="0"/>
              </w:numPr>
              <w:adjustRightInd w:val="0"/>
              <w:snapToGrid w:val="0"/>
              <w:spacing w:line="520" w:lineRule="exact"/>
              <w:ind w:firstLine="480" w:firstLineChars="200"/>
              <w:jc w:val="both"/>
              <w:rPr>
                <w:rFonts w:hint="default" w:ascii="Times New Roman" w:hAnsi="Times New Roman" w:cs="Times New Roman"/>
                <w:b w:val="0"/>
                <w:bCs w:val="0"/>
                <w:color w:val="auto"/>
                <w:sz w:val="24"/>
                <w:u w:val="none"/>
                <w:lang w:eastAsia="zh-CN"/>
              </w:rPr>
            </w:pPr>
            <w:r>
              <w:rPr>
                <w:rFonts w:hint="default" w:ascii="Times New Roman" w:hAnsi="Times New Roman" w:cs="Times New Roman"/>
                <w:b w:val="0"/>
                <w:bCs w:val="0"/>
                <w:color w:val="auto"/>
                <w:sz w:val="24"/>
                <w:u w:val="none"/>
                <w:lang w:eastAsia="zh-CN"/>
              </w:rPr>
              <w:t>③按照行政主管部门核定的时间、路线、地点运输和倾倒建筑垃圾，禁止偷倒、乱倒；</w:t>
            </w:r>
          </w:p>
          <w:p w14:paraId="35052637">
            <w:pPr>
              <w:numPr>
                <w:ilvl w:val="0"/>
                <w:numId w:val="0"/>
              </w:numPr>
              <w:adjustRightInd w:val="0"/>
              <w:snapToGrid w:val="0"/>
              <w:spacing w:line="520" w:lineRule="exact"/>
              <w:ind w:firstLine="480" w:firstLineChars="200"/>
              <w:jc w:val="both"/>
              <w:rPr>
                <w:rFonts w:hint="default" w:ascii="Times New Roman" w:hAnsi="Times New Roman" w:cs="Times New Roman"/>
                <w:b w:val="0"/>
                <w:bCs w:val="0"/>
                <w:color w:val="auto"/>
                <w:sz w:val="24"/>
                <w:u w:val="none"/>
                <w:lang w:eastAsia="zh-CN"/>
              </w:rPr>
            </w:pPr>
            <w:r>
              <w:rPr>
                <w:rFonts w:hint="default" w:ascii="Times New Roman" w:hAnsi="Times New Roman" w:cs="Times New Roman"/>
                <w:b w:val="0"/>
                <w:bCs w:val="0"/>
                <w:color w:val="auto"/>
                <w:sz w:val="24"/>
                <w:u w:val="none"/>
                <w:lang w:eastAsia="zh-CN"/>
              </w:rPr>
              <w:t>④建筑垃圾运输车辆应当采取密闭措施，不得超载运输，不得车轮带泥，不得遗撒、泄漏；</w:t>
            </w:r>
          </w:p>
          <w:p w14:paraId="366376D5">
            <w:pPr>
              <w:numPr>
                <w:ilvl w:val="0"/>
                <w:numId w:val="0"/>
              </w:numPr>
              <w:adjustRightInd w:val="0"/>
              <w:snapToGrid w:val="0"/>
              <w:spacing w:line="520" w:lineRule="exact"/>
              <w:ind w:firstLine="480" w:firstLineChars="200"/>
              <w:jc w:val="both"/>
              <w:rPr>
                <w:rFonts w:hint="default" w:ascii="Times New Roman" w:hAnsi="Times New Roman" w:cs="Times New Roman"/>
                <w:b w:val="0"/>
                <w:bCs w:val="0"/>
                <w:color w:val="auto"/>
                <w:sz w:val="24"/>
                <w:u w:val="none"/>
                <w:lang w:eastAsia="zh-CN"/>
              </w:rPr>
            </w:pPr>
            <w:r>
              <w:rPr>
                <w:rFonts w:hint="default" w:ascii="Times New Roman" w:hAnsi="Times New Roman" w:cs="Times New Roman"/>
                <w:b w:val="0"/>
                <w:bCs w:val="0"/>
                <w:color w:val="auto"/>
                <w:sz w:val="24"/>
                <w:u w:val="none"/>
                <w:lang w:eastAsia="zh-CN"/>
              </w:rPr>
              <w:t>⑤建筑垃圾运输作业时，建设单位应当督促运输单位在清运时间内组织人力、物力做好沿途的污染清理工作；清运过程中造成交通安全设施损坏的，应予以赔偿。</w:t>
            </w:r>
          </w:p>
          <w:p w14:paraId="69D9C679">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rPr>
            </w:pPr>
            <w:r>
              <w:rPr>
                <w:rFonts w:hint="default" w:ascii="Times New Roman" w:hAnsi="Times New Roman" w:cs="Times New Roman"/>
                <w:b w:val="0"/>
                <w:bCs w:val="0"/>
                <w:color w:val="auto"/>
                <w:sz w:val="24"/>
                <w:u w:val="none"/>
                <w:lang w:eastAsia="zh-CN"/>
              </w:rPr>
              <w:t>由于建筑垃圾是土建工程中不可避免的，因此建设单位和施工单位必须做好施工垃圾管理，避免对周围环境造成影响。</w:t>
            </w:r>
          </w:p>
          <w:p w14:paraId="53368DDF">
            <w:pPr>
              <w:numPr>
                <w:ilvl w:val="0"/>
                <w:numId w:val="0"/>
              </w:numPr>
              <w:adjustRightInd w:val="0"/>
              <w:snapToGrid w:val="0"/>
              <w:spacing w:line="520" w:lineRule="exact"/>
              <w:jc w:val="both"/>
              <w:rPr>
                <w:rFonts w:hint="default" w:ascii="Times New Roman" w:hAnsi="Times New Roman" w:eastAsia="宋体" w:cs="Times New Roman"/>
                <w:b/>
                <w:bCs/>
                <w:color w:val="auto"/>
                <w:sz w:val="24"/>
                <w:lang w:val="zh-CN"/>
              </w:rPr>
            </w:pPr>
            <w:r>
              <w:rPr>
                <w:rFonts w:hint="default"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lang w:val="zh-CN"/>
              </w:rPr>
              <w:t>.</w:t>
            </w: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val="zh-CN"/>
              </w:rPr>
              <w:t>生活垃圾</w:t>
            </w:r>
          </w:p>
          <w:p w14:paraId="15C37DBB">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r>
              <w:rPr>
                <w:rFonts w:hint="default" w:ascii="Times New Roman" w:hAnsi="Times New Roman" w:eastAsia="宋体" w:cs="Times New Roman"/>
                <w:b w:val="0"/>
                <w:bCs w:val="0"/>
                <w:color w:val="auto"/>
                <w:sz w:val="24"/>
                <w:u w:val="none"/>
                <w:lang w:eastAsia="zh-CN"/>
              </w:rPr>
              <w:t>本项目施工期约</w:t>
            </w:r>
            <w:r>
              <w:rPr>
                <w:rFonts w:hint="default" w:ascii="Times New Roman" w:hAnsi="Times New Roman" w:eastAsia="宋体" w:cs="Times New Roman"/>
                <w:b w:val="0"/>
                <w:bCs w:val="0"/>
                <w:color w:val="auto"/>
                <w:sz w:val="24"/>
                <w:u w:val="none"/>
                <w:lang w:val="en-US" w:eastAsia="zh-CN"/>
              </w:rPr>
              <w:t>3月</w:t>
            </w:r>
            <w:r>
              <w:rPr>
                <w:rFonts w:hint="default" w:ascii="Times New Roman" w:hAnsi="Times New Roman" w:eastAsia="宋体" w:cs="Times New Roman"/>
                <w:b w:val="0"/>
                <w:bCs w:val="0"/>
                <w:color w:val="auto"/>
                <w:sz w:val="24"/>
                <w:u w:val="none"/>
                <w:lang w:eastAsia="zh-CN"/>
              </w:rPr>
              <w:t>，施工人员平均每天按</w:t>
            </w:r>
            <w:r>
              <w:rPr>
                <w:rFonts w:hint="default" w:ascii="Times New Roman" w:hAnsi="Times New Roman" w:eastAsia="宋体" w:cs="Times New Roman"/>
                <w:b w:val="0"/>
                <w:bCs w:val="0"/>
                <w:color w:val="auto"/>
                <w:sz w:val="24"/>
                <w:u w:val="none"/>
                <w:lang w:val="en-US" w:eastAsia="zh-CN"/>
              </w:rPr>
              <w:t>2</w:t>
            </w:r>
            <w:r>
              <w:rPr>
                <w:rFonts w:hint="default" w:ascii="Times New Roman" w:hAnsi="Times New Roman" w:eastAsia="宋体" w:cs="Times New Roman"/>
                <w:b w:val="0"/>
                <w:bCs w:val="0"/>
                <w:color w:val="auto"/>
                <w:sz w:val="24"/>
                <w:u w:val="none"/>
                <w:lang w:eastAsia="zh-CN"/>
              </w:rPr>
              <w:t>0人计，生活垃圾产生量按0.5kg/人·d计算，则生活垃圾产生量为1</w:t>
            </w:r>
            <w:r>
              <w:rPr>
                <w:rFonts w:hint="default" w:ascii="Times New Roman" w:hAnsi="Times New Roman" w:eastAsia="宋体" w:cs="Times New Roman"/>
                <w:b w:val="0"/>
                <w:bCs w:val="0"/>
                <w:color w:val="auto"/>
                <w:sz w:val="24"/>
                <w:u w:val="none"/>
                <w:lang w:val="en-US" w:eastAsia="zh-CN"/>
              </w:rPr>
              <w:t>0</w:t>
            </w:r>
            <w:r>
              <w:rPr>
                <w:rFonts w:hint="default" w:ascii="Times New Roman" w:hAnsi="Times New Roman" w:eastAsia="宋体" w:cs="Times New Roman"/>
                <w:b w:val="0"/>
                <w:bCs w:val="0"/>
                <w:color w:val="auto"/>
                <w:sz w:val="24"/>
                <w:u w:val="none"/>
                <w:lang w:eastAsia="zh-CN"/>
              </w:rPr>
              <w:t>kg/d，约</w:t>
            </w:r>
            <w:r>
              <w:rPr>
                <w:rFonts w:hint="default" w:ascii="Times New Roman" w:hAnsi="Times New Roman" w:eastAsia="宋体" w:cs="Times New Roman"/>
                <w:b w:val="0"/>
                <w:bCs w:val="0"/>
                <w:color w:val="auto"/>
                <w:sz w:val="24"/>
                <w:u w:val="none"/>
                <w:lang w:val="en-US" w:eastAsia="zh-CN"/>
              </w:rPr>
              <w:t>0.9</w:t>
            </w:r>
            <w:r>
              <w:rPr>
                <w:rFonts w:hint="default" w:ascii="Times New Roman" w:hAnsi="Times New Roman" w:eastAsia="宋体" w:cs="Times New Roman"/>
                <w:b w:val="0"/>
                <w:bCs w:val="0"/>
                <w:color w:val="auto"/>
                <w:sz w:val="24"/>
                <w:u w:val="none"/>
                <w:lang w:eastAsia="zh-CN"/>
              </w:rPr>
              <w:t>t。生活垃圾经收集后运至垃圾中转站，交当地环卫部门统一处理。</w:t>
            </w:r>
          </w:p>
          <w:p w14:paraId="04648356">
            <w:pPr>
              <w:numPr>
                <w:ilvl w:val="0"/>
                <w:numId w:val="0"/>
              </w:numPr>
              <w:adjustRightInd w:val="0"/>
              <w:snapToGrid w:val="0"/>
              <w:spacing w:line="520" w:lineRule="exact"/>
              <w:jc w:val="both"/>
              <w:rPr>
                <w:rFonts w:hint="default" w:ascii="Times New Roman" w:hAnsi="Times New Roman" w:eastAsia="宋体" w:cs="Times New Roman"/>
                <w:b/>
                <w:bCs/>
                <w:color w:val="auto"/>
                <w:sz w:val="24"/>
                <w:lang w:val="en-GB" w:eastAsia="zh-CN"/>
              </w:rPr>
            </w:pPr>
            <w:r>
              <w:rPr>
                <w:rFonts w:hint="default" w:ascii="Times New Roman" w:hAnsi="Times New Roman" w:eastAsia="宋体" w:cs="Times New Roman"/>
                <w:b/>
                <w:bCs/>
                <w:color w:val="auto"/>
                <w:sz w:val="24"/>
                <w:lang w:val="en-US" w:eastAsia="zh-CN"/>
              </w:rPr>
              <w:t>5、生态环境、景观影响分析</w:t>
            </w:r>
          </w:p>
          <w:p w14:paraId="70819EB5">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r>
              <w:rPr>
                <w:rFonts w:hint="default" w:ascii="Times New Roman" w:hAnsi="Times New Roman" w:eastAsia="宋体" w:cs="Times New Roman"/>
                <w:b w:val="0"/>
                <w:bCs w:val="0"/>
                <w:color w:val="auto"/>
                <w:sz w:val="24"/>
                <w:u w:val="none"/>
                <w:lang w:eastAsia="zh-CN"/>
              </w:rPr>
              <w:t>施工期产生的生态影响主要为降雨和工程施工过程引起的水土流失。</w:t>
            </w:r>
          </w:p>
          <w:p w14:paraId="778D2E0D">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r>
              <w:rPr>
                <w:rFonts w:hint="default" w:ascii="Times New Roman" w:hAnsi="Times New Roman" w:eastAsia="宋体" w:cs="Times New Roman"/>
                <w:b w:val="0"/>
                <w:bCs w:val="0"/>
                <w:color w:val="auto"/>
                <w:sz w:val="24"/>
                <w:u w:val="none"/>
                <w:lang w:eastAsia="zh-CN"/>
              </w:rPr>
              <w:t>降雨是发生水土流失最直接的因素之一，若遇大雨天气，泥土可能会随着雨水形成径流进入周围环境或市政雨水管网；二是工程因素，主要指人类的各项开发建设活动，区域开发建设改变当地的地形地貌、破坏植被、改变土壤理化性质，从而加剧了水土流失的发生。</w:t>
            </w:r>
          </w:p>
          <w:p w14:paraId="48A95D07">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r>
              <w:rPr>
                <w:rFonts w:hint="default" w:ascii="Times New Roman" w:hAnsi="Times New Roman" w:eastAsia="宋体" w:cs="Times New Roman"/>
                <w:b w:val="0"/>
                <w:bCs w:val="0"/>
                <w:color w:val="auto"/>
                <w:sz w:val="24"/>
                <w:u w:val="none"/>
                <w:lang w:eastAsia="zh-CN"/>
              </w:rPr>
              <w:t>为防止施工造成水土流失，建议建设单位施工前在项目四周设置围墙，可以起到拦截作用，避免在雨季动土，做好土石方平衡并尽量减少开挖面积和开挖量，防止水土流失减少对生态环境的影响。</w:t>
            </w:r>
          </w:p>
          <w:p w14:paraId="4F7F134D">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r>
              <w:rPr>
                <w:rFonts w:hint="default" w:ascii="Times New Roman" w:hAnsi="Times New Roman" w:eastAsia="宋体" w:cs="Times New Roman"/>
                <w:b w:val="0"/>
                <w:bCs w:val="0"/>
                <w:color w:val="auto"/>
                <w:sz w:val="24"/>
                <w:u w:val="none"/>
                <w:lang w:eastAsia="zh-CN"/>
              </w:rPr>
              <w:t>总之，施工期各要素对环境的影响是暂时的、局部的，采取有效的控制措施，可将影响降至最低，施工结束后，对项目区进行绿化，施工期造成的生态影响也可得到一定程度的恢复。</w:t>
            </w:r>
          </w:p>
          <w:p w14:paraId="4334B786">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p>
          <w:p w14:paraId="6A7D071C">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p>
          <w:p w14:paraId="5BDD5391">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p>
          <w:p w14:paraId="78484591">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p>
          <w:p w14:paraId="2F17E905">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p>
          <w:p w14:paraId="03F02CBF">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p>
          <w:p w14:paraId="054DCBFF">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p>
          <w:p w14:paraId="61B0DD2C">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p>
          <w:p w14:paraId="2ABB52E6">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u w:val="none"/>
                <w:lang w:eastAsia="zh-CN"/>
              </w:rPr>
            </w:pPr>
          </w:p>
          <w:p w14:paraId="2D12462E">
            <w:pPr>
              <w:numPr>
                <w:ilvl w:val="0"/>
                <w:numId w:val="0"/>
              </w:numPr>
              <w:adjustRightInd w:val="0"/>
              <w:snapToGrid w:val="0"/>
              <w:spacing w:line="520" w:lineRule="exact"/>
              <w:jc w:val="both"/>
              <w:rPr>
                <w:rFonts w:hint="default" w:ascii="Times New Roman" w:hAnsi="Times New Roman" w:eastAsia="宋体" w:cs="Times New Roman"/>
                <w:snapToGrid w:val="0"/>
                <w:color w:val="auto"/>
                <w:sz w:val="30"/>
                <w:szCs w:val="30"/>
                <w:highlight w:val="none"/>
                <w:vertAlign w:val="baseline"/>
                <w:lang w:val="en-US"/>
              </w:rPr>
            </w:pPr>
          </w:p>
          <w:p w14:paraId="07BBE4B1">
            <w:pPr>
              <w:bidi w:val="0"/>
              <w:rPr>
                <w:rFonts w:hint="default" w:ascii="Times New Roman" w:hAnsi="Times New Roman" w:eastAsia="宋体" w:cs="Times New Roman"/>
                <w:color w:val="auto"/>
                <w:kern w:val="2"/>
                <w:sz w:val="21"/>
                <w:szCs w:val="24"/>
                <w:lang w:val="en-US" w:eastAsia="zh-CN" w:bidi="ar-SA"/>
              </w:rPr>
            </w:pPr>
          </w:p>
          <w:p w14:paraId="7CA845F9">
            <w:pPr>
              <w:bidi w:val="0"/>
              <w:rPr>
                <w:rFonts w:hint="default" w:ascii="Times New Roman" w:hAnsi="Times New Roman" w:cs="Times New Roman"/>
                <w:color w:val="auto"/>
                <w:lang w:val="en-US" w:eastAsia="zh-CN"/>
              </w:rPr>
            </w:pPr>
          </w:p>
          <w:p w14:paraId="57C0CCBB">
            <w:pPr>
              <w:bidi w:val="0"/>
              <w:rPr>
                <w:rFonts w:hint="default" w:ascii="Times New Roman" w:hAnsi="Times New Roman" w:cs="Times New Roman"/>
                <w:color w:val="auto"/>
                <w:lang w:val="en-US" w:eastAsia="zh-CN"/>
              </w:rPr>
            </w:pPr>
          </w:p>
          <w:p w14:paraId="3EB53547">
            <w:pPr>
              <w:bidi w:val="0"/>
              <w:rPr>
                <w:rFonts w:hint="default" w:ascii="Times New Roman" w:hAnsi="Times New Roman" w:cs="Times New Roman"/>
                <w:color w:val="auto"/>
                <w:lang w:val="en-US" w:eastAsia="zh-CN"/>
              </w:rPr>
            </w:pPr>
          </w:p>
          <w:p w14:paraId="7A34DCF5">
            <w:pPr>
              <w:bidi w:val="0"/>
              <w:rPr>
                <w:rFonts w:hint="default" w:ascii="Times New Roman" w:hAnsi="Times New Roman" w:cs="Times New Roman"/>
                <w:color w:val="auto"/>
                <w:lang w:val="en-US" w:eastAsia="zh-CN"/>
              </w:rPr>
            </w:pPr>
          </w:p>
          <w:p w14:paraId="5A83C23E">
            <w:pPr>
              <w:bidi w:val="0"/>
              <w:rPr>
                <w:rFonts w:hint="default" w:ascii="Times New Roman" w:hAnsi="Times New Roman" w:cs="Times New Roman"/>
                <w:color w:val="auto"/>
                <w:lang w:val="en-US" w:eastAsia="zh-CN"/>
              </w:rPr>
            </w:pPr>
          </w:p>
          <w:p w14:paraId="1851BAC0">
            <w:pPr>
              <w:bidi w:val="0"/>
              <w:rPr>
                <w:rFonts w:hint="default" w:ascii="Times New Roman" w:hAnsi="Times New Roman" w:cs="Times New Roman"/>
                <w:color w:val="auto"/>
                <w:lang w:val="en-US" w:eastAsia="zh-CN"/>
              </w:rPr>
            </w:pPr>
          </w:p>
          <w:p w14:paraId="1E2F8118">
            <w:pPr>
              <w:bidi w:val="0"/>
              <w:rPr>
                <w:rFonts w:hint="default" w:ascii="Times New Roman" w:hAnsi="Times New Roman" w:cs="Times New Roman"/>
                <w:color w:val="auto"/>
                <w:lang w:val="en-US" w:eastAsia="zh-CN"/>
              </w:rPr>
            </w:pPr>
          </w:p>
          <w:p w14:paraId="69ADDDFE">
            <w:pPr>
              <w:bidi w:val="0"/>
              <w:rPr>
                <w:rFonts w:hint="default" w:ascii="Times New Roman" w:hAnsi="Times New Roman" w:cs="Times New Roman"/>
                <w:color w:val="auto"/>
                <w:lang w:val="en-US" w:eastAsia="zh-CN"/>
              </w:rPr>
            </w:pPr>
          </w:p>
          <w:p w14:paraId="18340D8B">
            <w:pPr>
              <w:bidi w:val="0"/>
              <w:rPr>
                <w:rFonts w:hint="default" w:ascii="Times New Roman" w:hAnsi="Times New Roman" w:cs="Times New Roman"/>
                <w:color w:val="auto"/>
                <w:lang w:val="en-US" w:eastAsia="zh-CN"/>
              </w:rPr>
            </w:pPr>
          </w:p>
          <w:p w14:paraId="73E3E912">
            <w:pPr>
              <w:bidi w:val="0"/>
              <w:rPr>
                <w:rFonts w:hint="default" w:ascii="Times New Roman" w:hAnsi="Times New Roman" w:cs="Times New Roman"/>
                <w:color w:val="auto"/>
                <w:lang w:val="en-US" w:eastAsia="zh-CN"/>
              </w:rPr>
            </w:pPr>
          </w:p>
          <w:p w14:paraId="26481A12">
            <w:pPr>
              <w:bidi w:val="0"/>
              <w:rPr>
                <w:rFonts w:hint="default" w:ascii="Times New Roman" w:hAnsi="Times New Roman" w:cs="Times New Roman"/>
                <w:color w:val="auto"/>
                <w:lang w:val="en-US" w:eastAsia="zh-CN"/>
              </w:rPr>
            </w:pPr>
          </w:p>
          <w:p w14:paraId="04641280">
            <w:pPr>
              <w:bidi w:val="0"/>
              <w:rPr>
                <w:rFonts w:hint="default" w:ascii="Times New Roman" w:hAnsi="Times New Roman" w:cs="Times New Roman"/>
                <w:color w:val="auto"/>
                <w:lang w:val="en-US" w:eastAsia="zh-CN"/>
              </w:rPr>
            </w:pPr>
          </w:p>
          <w:p w14:paraId="62A1C4CA">
            <w:pPr>
              <w:bidi w:val="0"/>
              <w:rPr>
                <w:rFonts w:hint="default" w:ascii="Times New Roman" w:hAnsi="Times New Roman" w:cs="Times New Roman"/>
                <w:color w:val="auto"/>
                <w:lang w:val="en-US" w:eastAsia="zh-CN"/>
              </w:rPr>
            </w:pPr>
          </w:p>
          <w:p w14:paraId="6DF6411A">
            <w:pPr>
              <w:bidi w:val="0"/>
              <w:rPr>
                <w:rFonts w:hint="default" w:ascii="Times New Roman" w:hAnsi="Times New Roman" w:cs="Times New Roman"/>
                <w:color w:val="auto"/>
                <w:lang w:val="en-US" w:eastAsia="zh-CN"/>
              </w:rPr>
            </w:pPr>
          </w:p>
          <w:p w14:paraId="226C044D">
            <w:pPr>
              <w:tabs>
                <w:tab w:val="left" w:pos="1500"/>
              </w:tabs>
              <w:bidi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textWrapping"/>
            </w:r>
            <w:r>
              <w:rPr>
                <w:rFonts w:hint="default" w:ascii="Times New Roman" w:hAnsi="Times New Roman" w:cs="Times New Roman"/>
                <w:color w:val="auto"/>
                <w:lang w:val="en-US" w:eastAsia="zh-CN"/>
              </w:rPr>
              <w:br w:type="textWrapping"/>
            </w:r>
            <w:r>
              <w:rPr>
                <w:rFonts w:hint="default" w:ascii="Times New Roman" w:hAnsi="Times New Roman" w:cs="Times New Roman"/>
                <w:color w:val="auto"/>
                <w:lang w:val="en-US" w:eastAsia="zh-CN"/>
              </w:rPr>
              <w:br w:type="textWrapping"/>
            </w:r>
            <w:r>
              <w:rPr>
                <w:rFonts w:hint="default" w:ascii="Times New Roman" w:hAnsi="Times New Roman" w:cs="Times New Roman"/>
                <w:color w:val="auto"/>
                <w:lang w:val="en-US" w:eastAsia="zh-CN"/>
              </w:rPr>
              <w:br w:type="textWrapping"/>
            </w:r>
            <w:r>
              <w:rPr>
                <w:rFonts w:hint="default" w:ascii="Times New Roman" w:hAnsi="Times New Roman" w:cs="Times New Roman"/>
                <w:color w:val="auto"/>
                <w:lang w:val="en-US" w:eastAsia="zh-CN"/>
              </w:rPr>
              <w:br w:type="textWrapping"/>
            </w:r>
            <w:r>
              <w:rPr>
                <w:rFonts w:hint="default" w:ascii="Times New Roman" w:hAnsi="Times New Roman" w:cs="Times New Roman"/>
                <w:color w:val="auto"/>
                <w:lang w:val="en-US" w:eastAsia="zh-CN"/>
              </w:rPr>
              <w:br w:type="textWrapping"/>
            </w:r>
            <w:r>
              <w:rPr>
                <w:rFonts w:hint="default" w:ascii="Times New Roman" w:hAnsi="Times New Roman" w:cs="Times New Roman"/>
                <w:color w:val="auto"/>
                <w:lang w:val="en-US" w:eastAsia="zh-CN"/>
              </w:rPr>
              <w:br w:type="textWrapping"/>
            </w:r>
          </w:p>
        </w:tc>
      </w:tr>
      <w:tr w14:paraId="5037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5" w:hRule="atLeast"/>
        </w:trPr>
        <w:tc>
          <w:tcPr>
            <w:tcW w:w="318" w:type="pct"/>
            <w:vAlign w:val="center"/>
          </w:tcPr>
          <w:p w14:paraId="56149F42">
            <w:pPr>
              <w:bidi w:val="0"/>
              <w:jc w:val="center"/>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运营</w:t>
            </w:r>
          </w:p>
          <w:p w14:paraId="051B5A03">
            <w:pPr>
              <w:bidi w:val="0"/>
              <w:jc w:val="center"/>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期环</w:t>
            </w:r>
          </w:p>
          <w:p w14:paraId="132C5D4B">
            <w:pPr>
              <w:bidi w:val="0"/>
              <w:jc w:val="center"/>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境影</w:t>
            </w:r>
          </w:p>
          <w:p w14:paraId="683FB31E">
            <w:pPr>
              <w:bidi w:val="0"/>
              <w:jc w:val="center"/>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响和</w:t>
            </w:r>
          </w:p>
          <w:p w14:paraId="06A6A303">
            <w:pPr>
              <w:bidi w:val="0"/>
              <w:jc w:val="center"/>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保护措施</w:t>
            </w:r>
          </w:p>
        </w:tc>
        <w:tc>
          <w:tcPr>
            <w:tcW w:w="4681" w:type="pct"/>
            <w:vAlign w:val="top"/>
          </w:tcPr>
          <w:p w14:paraId="07042F79">
            <w:pPr>
              <w:pStyle w:val="15"/>
              <w:keepNext w:val="0"/>
              <w:keepLines w:val="0"/>
              <w:pageBreakBefore w:val="0"/>
              <w:widowControl/>
              <w:kinsoku/>
              <w:wordWrap/>
              <w:overflowPunct/>
              <w:topLinePunct w:val="0"/>
              <w:autoSpaceDE/>
              <w:autoSpaceDN/>
              <w:bidi w:val="0"/>
              <w:adjustRightInd/>
              <w:snapToGrid w:val="0"/>
              <w:spacing w:before="0" w:after="0" w:line="520" w:lineRule="atLeast"/>
              <w:ind w:right="0"/>
              <w:jc w:val="both"/>
              <w:textAlignment w:val="auto"/>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cs="Times New Roman"/>
                <w:b/>
                <w:bCs/>
                <w:color w:val="auto"/>
                <w:sz w:val="24"/>
                <w:szCs w:val="22"/>
                <w:highlight w:val="none"/>
                <w:lang w:val="en-US" w:eastAsia="zh-CN"/>
              </w:rPr>
              <w:t>1</w:t>
            </w:r>
            <w:r>
              <w:rPr>
                <w:rFonts w:hint="default" w:ascii="Times New Roman" w:hAnsi="Times New Roman" w:eastAsia="宋体" w:cs="Times New Roman"/>
                <w:b/>
                <w:bCs/>
                <w:color w:val="auto"/>
                <w:sz w:val="24"/>
                <w:szCs w:val="22"/>
                <w:highlight w:val="none"/>
                <w:lang w:val="en-US" w:eastAsia="zh-CN"/>
              </w:rPr>
              <w:t>、大气环境影响分析</w:t>
            </w:r>
          </w:p>
          <w:p w14:paraId="72A9D6AA">
            <w:pPr>
              <w:pStyle w:val="15"/>
              <w:keepNext w:val="0"/>
              <w:keepLines w:val="0"/>
              <w:pageBreakBefore w:val="0"/>
              <w:widowControl/>
              <w:kinsoku/>
              <w:wordWrap/>
              <w:overflowPunct/>
              <w:topLinePunct w:val="0"/>
              <w:autoSpaceDE/>
              <w:autoSpaceDN/>
              <w:bidi w:val="0"/>
              <w:adjustRightInd/>
              <w:snapToGrid w:val="0"/>
              <w:spacing w:before="0" w:after="0" w:line="520" w:lineRule="atLeast"/>
              <w:ind w:right="0"/>
              <w:jc w:val="both"/>
              <w:textAlignment w:val="auto"/>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cs="Times New Roman"/>
                <w:b/>
                <w:bCs/>
                <w:color w:val="auto"/>
                <w:sz w:val="24"/>
                <w:szCs w:val="22"/>
                <w:highlight w:val="none"/>
                <w:lang w:val="en-US" w:eastAsia="zh-CN"/>
              </w:rPr>
              <w:t>1</w:t>
            </w:r>
            <w:r>
              <w:rPr>
                <w:rFonts w:hint="default" w:ascii="Times New Roman" w:hAnsi="Times New Roman" w:eastAsia="宋体" w:cs="Times New Roman"/>
                <w:b/>
                <w:bCs/>
                <w:color w:val="auto"/>
                <w:sz w:val="24"/>
                <w:szCs w:val="22"/>
                <w:highlight w:val="none"/>
                <w:lang w:val="en-US" w:eastAsia="zh-CN"/>
              </w:rPr>
              <w:t>.1废气污染源源强核算</w:t>
            </w:r>
          </w:p>
          <w:p w14:paraId="5EF400B5">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1.1.</w:t>
            </w:r>
            <w:r>
              <w:rPr>
                <w:rFonts w:hint="default"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切割、焊接粉尘</w:t>
            </w:r>
          </w:p>
          <w:p w14:paraId="314FD04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参考《排放源统计调查产排污核算方法和系数手册》（公告2021年第24号</w:t>
            </w:r>
            <w:r>
              <w:rPr>
                <w:rFonts w:hint="default" w:ascii="Times New Roman" w:hAnsi="Times New Roman"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中的《33 金属制品业、34 通用设备制造业、35 专用设备制造业、36 汽车制造业、37 铁路、船舶、航空航天和其他运输设备制造业、431 金属制品修理、432 通用设备修理、433 专用设备修理、434 铁路、船舶、航空航天等运输设备修理（不包括电镀工艺）行业系数手册》</w:t>
            </w:r>
            <w:r>
              <w:rPr>
                <w:rFonts w:hint="default" w:ascii="Times New Roman" w:hAnsi="Times New Roman" w:eastAsia="宋体" w:cs="Times New Roman"/>
                <w:color w:val="auto"/>
                <w:sz w:val="24"/>
                <w:szCs w:val="24"/>
                <w:highlight w:val="none"/>
                <w:lang w:val="en-US" w:eastAsia="zh-CN"/>
              </w:rPr>
              <w:t>中04下料、09焊接系数表，本项目</w:t>
            </w:r>
            <w:r>
              <w:rPr>
                <w:rFonts w:hint="default" w:ascii="Times New Roman" w:hAnsi="Times New Roman" w:cs="Times New Roman"/>
                <w:color w:val="auto"/>
                <w:sz w:val="24"/>
                <w:szCs w:val="24"/>
                <w:highlight w:val="none"/>
                <w:lang w:val="en-US" w:eastAsia="zh-CN"/>
              </w:rPr>
              <w:t>切割、焊接过程中</w:t>
            </w:r>
            <w:r>
              <w:rPr>
                <w:rFonts w:hint="default" w:ascii="Times New Roman" w:hAnsi="Times New Roman" w:eastAsia="宋体" w:cs="Times New Roman"/>
                <w:color w:val="auto"/>
                <w:sz w:val="24"/>
                <w:szCs w:val="24"/>
                <w:highlight w:val="none"/>
                <w:lang w:val="en-US" w:eastAsia="zh-CN"/>
              </w:rPr>
              <w:t>颗粒物产污系数见下表：</w:t>
            </w:r>
          </w:p>
          <w:p w14:paraId="113488A5">
            <w:pPr>
              <w:numPr>
                <w:ilvl w:val="0"/>
                <w:numId w:val="0"/>
              </w:numPr>
              <w:adjustRightInd w:val="0"/>
              <w:snapToGrid w:val="0"/>
              <w:spacing w:line="5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xml:space="preserve">   34 通用设备制造业系数表--颗粒物</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2149"/>
              <w:gridCol w:w="1713"/>
              <w:gridCol w:w="1334"/>
              <w:gridCol w:w="1572"/>
            </w:tblGrid>
            <w:tr w14:paraId="759C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2" w:type="pct"/>
                  <w:vAlign w:val="center"/>
                </w:tcPr>
                <w:p w14:paraId="6A14E016">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工段名称</w:t>
                  </w:r>
                </w:p>
              </w:tc>
              <w:tc>
                <w:tcPr>
                  <w:tcW w:w="1371" w:type="pct"/>
                  <w:vAlign w:val="center"/>
                </w:tcPr>
                <w:p w14:paraId="7BE0BA1A">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原料名称</w:t>
                  </w:r>
                </w:p>
              </w:tc>
              <w:tc>
                <w:tcPr>
                  <w:tcW w:w="1093" w:type="pct"/>
                  <w:vAlign w:val="center"/>
                </w:tcPr>
                <w:p w14:paraId="6AF618F1">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工艺名称</w:t>
                  </w:r>
                </w:p>
              </w:tc>
              <w:tc>
                <w:tcPr>
                  <w:tcW w:w="851" w:type="pct"/>
                  <w:vAlign w:val="center"/>
                </w:tcPr>
                <w:p w14:paraId="377C0508">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污染物指标</w:t>
                  </w:r>
                </w:p>
              </w:tc>
              <w:tc>
                <w:tcPr>
                  <w:tcW w:w="1001" w:type="pct"/>
                  <w:vAlign w:val="center"/>
                </w:tcPr>
                <w:p w14:paraId="01CD6821">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产污</w:t>
                  </w:r>
                  <w:r>
                    <w:rPr>
                      <w:rFonts w:hint="default" w:ascii="Times New Roman" w:hAnsi="Times New Roman" w:eastAsia="宋体" w:cs="Times New Roman"/>
                      <w:b w:val="0"/>
                      <w:bCs w:val="0"/>
                      <w:color w:val="auto"/>
                      <w:sz w:val="21"/>
                      <w:szCs w:val="21"/>
                      <w:highlight w:val="none"/>
                      <w:u w:val="none"/>
                      <w:vertAlign w:val="baseline"/>
                      <w:lang w:val="en-US" w:eastAsia="zh-CN"/>
                    </w:rPr>
                    <w:t>系数</w:t>
                  </w:r>
                </w:p>
              </w:tc>
            </w:tr>
            <w:tr w14:paraId="5987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14:paraId="6A11326C">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下料</w:t>
                  </w:r>
                </w:p>
              </w:tc>
              <w:tc>
                <w:tcPr>
                  <w:tcW w:w="1371" w:type="pct"/>
                  <w:vAlign w:val="center"/>
                </w:tcPr>
                <w:p w14:paraId="248A9222">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钢板、铝板、铝合金板、其它金属材料</w:t>
                  </w:r>
                </w:p>
              </w:tc>
              <w:tc>
                <w:tcPr>
                  <w:tcW w:w="1093" w:type="pct"/>
                  <w:vAlign w:val="center"/>
                </w:tcPr>
                <w:p w14:paraId="2EC7F012">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等离子切割</w:t>
                  </w:r>
                </w:p>
              </w:tc>
              <w:tc>
                <w:tcPr>
                  <w:tcW w:w="851" w:type="pct"/>
                  <w:vAlign w:val="center"/>
                </w:tcPr>
                <w:p w14:paraId="41962037">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颗粒物</w:t>
                  </w:r>
                </w:p>
              </w:tc>
              <w:tc>
                <w:tcPr>
                  <w:tcW w:w="1001" w:type="pct"/>
                  <w:vAlign w:val="center"/>
                </w:tcPr>
                <w:p w14:paraId="3DA127C8">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1.10</w:t>
                  </w:r>
                  <w:r>
                    <w:rPr>
                      <w:rFonts w:hint="default" w:ascii="Times New Roman" w:hAnsi="Times New Roman" w:eastAsia="宋体" w:cs="Times New Roman"/>
                      <w:b w:val="0"/>
                      <w:bCs w:val="0"/>
                      <w:color w:val="auto"/>
                      <w:sz w:val="21"/>
                      <w:szCs w:val="21"/>
                      <w:highlight w:val="none"/>
                      <w:u w:val="none"/>
                      <w:vertAlign w:val="baseline"/>
                      <w:lang w:val="en-US" w:eastAsia="zh-CN"/>
                    </w:rPr>
                    <w:t>kg/t-原料</w:t>
                  </w:r>
                </w:p>
              </w:tc>
            </w:tr>
            <w:tr w14:paraId="64B7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14:paraId="24EC8687">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焊接</w:t>
                  </w:r>
                </w:p>
              </w:tc>
              <w:tc>
                <w:tcPr>
                  <w:tcW w:w="1371" w:type="pct"/>
                  <w:vAlign w:val="center"/>
                </w:tcPr>
                <w:p w14:paraId="6653F167">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实芯焊丝</w:t>
                  </w:r>
                </w:p>
              </w:tc>
              <w:tc>
                <w:tcPr>
                  <w:tcW w:w="1093" w:type="pct"/>
                  <w:vAlign w:val="center"/>
                </w:tcPr>
                <w:p w14:paraId="694EE1BE">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二氧化碳保护焊</w:t>
                  </w:r>
                </w:p>
              </w:tc>
              <w:tc>
                <w:tcPr>
                  <w:tcW w:w="851" w:type="pct"/>
                  <w:vAlign w:val="center"/>
                </w:tcPr>
                <w:p w14:paraId="72FE9F4F">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颗粒物</w:t>
                  </w:r>
                </w:p>
              </w:tc>
              <w:tc>
                <w:tcPr>
                  <w:tcW w:w="1001" w:type="pct"/>
                  <w:vAlign w:val="center"/>
                </w:tcPr>
                <w:p w14:paraId="33A9560A">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9.19kg/t-原料</w:t>
                  </w:r>
                </w:p>
              </w:tc>
            </w:tr>
            <w:tr w14:paraId="745A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0EB906B1">
                  <w:pPr>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right="0" w:rightChars="0"/>
                    <w:jc w:val="both"/>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注：本项目</w:t>
                  </w:r>
                  <w:r>
                    <w:rPr>
                      <w:rFonts w:hint="default" w:ascii="Times New Roman" w:hAnsi="Times New Roman" w:cs="Times New Roman"/>
                      <w:b w:val="0"/>
                      <w:bCs w:val="0"/>
                      <w:color w:val="auto"/>
                      <w:sz w:val="21"/>
                      <w:szCs w:val="21"/>
                      <w:highlight w:val="none"/>
                      <w:u w:val="none"/>
                      <w:vertAlign w:val="baseline"/>
                      <w:lang w:val="en-US" w:eastAsia="zh-CN"/>
                    </w:rPr>
                    <w:t>采用实心焊丝，</w:t>
                  </w:r>
                  <w:r>
                    <w:rPr>
                      <w:rFonts w:hint="default" w:ascii="Times New Roman" w:hAnsi="Times New Roman" w:cs="Times New Roman"/>
                      <w:color w:val="auto"/>
                      <w:szCs w:val="21"/>
                      <w:lang w:val="en-US" w:eastAsia="zh-CN"/>
                    </w:rPr>
                    <w:t>激光焊、机器人焊过程产污系数类比</w:t>
                  </w:r>
                  <w:r>
                    <w:rPr>
                      <w:rFonts w:hint="default" w:ascii="Times New Roman" w:hAnsi="Times New Roman" w:eastAsia="宋体" w:cs="Times New Roman"/>
                      <w:b w:val="0"/>
                      <w:bCs w:val="0"/>
                      <w:color w:val="auto"/>
                      <w:sz w:val="21"/>
                      <w:szCs w:val="21"/>
                      <w:highlight w:val="none"/>
                      <w:u w:val="none"/>
                      <w:vertAlign w:val="baseline"/>
                      <w:lang w:val="en-US" w:eastAsia="zh-CN"/>
                    </w:rPr>
                    <w:t>二氧化碳保护焊</w:t>
                  </w:r>
                </w:p>
              </w:tc>
            </w:tr>
          </w:tbl>
          <w:p w14:paraId="37A16E4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本项目年切割型材/板材5000吨，年使用实芯焊丝8吨，经计算，项目切割工序</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lang w:val="en-US" w:eastAsia="zh-CN"/>
              </w:rPr>
              <w:t>产生量为5.5t/a，焊接工序颗粒物产生量为0.0735t/a。</w:t>
            </w:r>
          </w:p>
          <w:p w14:paraId="09274FD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u w:val="single"/>
                <w:lang w:val="en-US" w:eastAsia="zh-CN"/>
              </w:rPr>
            </w:pPr>
            <w:r>
              <w:rPr>
                <w:rFonts w:hint="default" w:ascii="Times New Roman" w:hAnsi="Times New Roman" w:cs="Times New Roman"/>
                <w:b w:val="0"/>
                <w:bCs w:val="0"/>
                <w:color w:val="auto"/>
                <w:sz w:val="24"/>
                <w:szCs w:val="24"/>
                <w:highlight w:val="none"/>
                <w:u w:val="single"/>
                <w:lang w:val="en-US" w:eastAsia="zh-CN"/>
              </w:rPr>
              <w:t>集气设施：环评要求在各生产工序产尘点上方均安装集气装置，集气装置设置围挡，仅操作口预留操作空间，操作空间部位设置软质皮帘，并保持微负压状态，然后通过袋式除尘器处理，处理后通过15m高排气筒排放。根据《大气污染控制工程》（第三版）中集气罩风量计算公式，计算工序所需风量：</w:t>
            </w:r>
          </w:p>
          <w:p w14:paraId="2CD4001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center"/>
              <w:textAlignment w:val="auto"/>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Q=0.75（10X</w:t>
            </w:r>
            <w:r>
              <w:rPr>
                <w:rFonts w:hint="default" w:ascii="Times New Roman" w:hAnsi="Times New Roman" w:cs="Times New Roman"/>
                <w:b w:val="0"/>
                <w:bCs w:val="0"/>
                <w:color w:val="auto"/>
                <w:sz w:val="24"/>
                <w:szCs w:val="24"/>
                <w:highlight w:val="none"/>
                <w:u w:val="none"/>
                <w:vertAlign w:val="superscript"/>
                <w:lang w:val="en-US" w:eastAsia="zh-CN"/>
              </w:rPr>
              <w:t>2</w:t>
            </w:r>
            <w:r>
              <w:rPr>
                <w:rFonts w:hint="default" w:ascii="Times New Roman" w:hAnsi="Times New Roman" w:cs="Times New Roman"/>
                <w:b w:val="0"/>
                <w:bCs w:val="0"/>
                <w:color w:val="auto"/>
                <w:sz w:val="24"/>
                <w:szCs w:val="24"/>
                <w:highlight w:val="none"/>
                <w:u w:val="none"/>
                <w:lang w:val="en-US" w:eastAsia="zh-CN"/>
              </w:rPr>
              <w:t>+A）×V</w:t>
            </w:r>
            <w:r>
              <w:rPr>
                <w:rFonts w:hint="default" w:ascii="Times New Roman" w:hAnsi="Times New Roman" w:cs="Times New Roman"/>
                <w:b w:val="0"/>
                <w:bCs w:val="0"/>
                <w:color w:val="auto"/>
                <w:sz w:val="24"/>
                <w:szCs w:val="24"/>
                <w:highlight w:val="none"/>
                <w:u w:val="none"/>
                <w:vertAlign w:val="subscript"/>
                <w:lang w:val="en-US" w:eastAsia="zh-CN"/>
              </w:rPr>
              <w:t>X</w:t>
            </w:r>
          </w:p>
          <w:p w14:paraId="1B050B4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式中：Q—处理风量，m³/s；</w:t>
            </w:r>
          </w:p>
          <w:p w14:paraId="64793BF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X—</w:t>
            </w:r>
            <w:r>
              <w:rPr>
                <w:rFonts w:hint="default" w:ascii="Times New Roman" w:hAnsi="Times New Roman" w:cs="Times New Roman"/>
                <w:b w:val="0"/>
                <w:bCs w:val="0"/>
                <w:color w:val="auto"/>
                <w:sz w:val="24"/>
                <w:szCs w:val="32"/>
                <w:vertAlign w:val="baseline"/>
                <w:lang w:val="en-US" w:eastAsia="zh-CN"/>
              </w:rPr>
              <w:t>污染物产生点至集气罩口的距离，m；本项目取0.3m</w:t>
            </w:r>
            <w:r>
              <w:rPr>
                <w:rFonts w:hint="default" w:ascii="Times New Roman" w:hAnsi="Times New Roman" w:cs="Times New Roman"/>
                <w:b w:val="0"/>
                <w:bCs w:val="0"/>
                <w:color w:val="auto"/>
                <w:sz w:val="24"/>
                <w:szCs w:val="24"/>
                <w:highlight w:val="none"/>
                <w:u w:val="none"/>
                <w:lang w:val="en-US" w:eastAsia="zh-CN"/>
              </w:rPr>
              <w:t>；</w:t>
            </w:r>
          </w:p>
          <w:p w14:paraId="785FBBE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A—集气罩口面积，m</w:t>
            </w:r>
            <w:r>
              <w:rPr>
                <w:rFonts w:hint="default" w:ascii="Times New Roman" w:hAnsi="Times New Roman" w:cs="Times New Roman"/>
                <w:b w:val="0"/>
                <w:bCs w:val="0"/>
                <w:color w:val="auto"/>
                <w:sz w:val="24"/>
                <w:szCs w:val="24"/>
                <w:highlight w:val="none"/>
                <w:u w:val="none"/>
                <w:vertAlign w:val="superscript"/>
                <w:lang w:val="en-US" w:eastAsia="zh-CN"/>
              </w:rPr>
              <w:t>2</w:t>
            </w:r>
            <w:r>
              <w:rPr>
                <w:rFonts w:hint="default" w:ascii="Times New Roman" w:hAnsi="Times New Roman" w:cs="Times New Roman"/>
                <w:b w:val="0"/>
                <w:bCs w:val="0"/>
                <w:color w:val="auto"/>
                <w:sz w:val="24"/>
                <w:szCs w:val="24"/>
                <w:highlight w:val="none"/>
                <w:u w:val="none"/>
                <w:lang w:val="en-US" w:eastAsia="zh-CN"/>
              </w:rPr>
              <w:t>，单个集气罩口面积为</w:t>
            </w:r>
            <w:r>
              <w:rPr>
                <w:rFonts w:hint="eastAsia" w:ascii="Times New Roman" w:hAnsi="Times New Roman" w:cs="Times New Roman"/>
                <w:b w:val="0"/>
                <w:bCs w:val="0"/>
                <w:color w:val="auto"/>
                <w:sz w:val="24"/>
                <w:szCs w:val="24"/>
                <w:highlight w:val="none"/>
                <w:u w:val="none"/>
                <w:lang w:val="en-US" w:eastAsia="zh-CN"/>
              </w:rPr>
              <w:t>2</w:t>
            </w:r>
            <w:r>
              <w:rPr>
                <w:rFonts w:hint="default" w:ascii="Times New Roman" w:hAnsi="Times New Roman" w:cs="Times New Roman"/>
                <w:b w:val="0"/>
                <w:bCs w:val="0"/>
                <w:color w:val="auto"/>
                <w:sz w:val="24"/>
                <w:szCs w:val="24"/>
                <w:highlight w:val="none"/>
                <w:u w:val="none"/>
                <w:lang w:val="en-US" w:eastAsia="zh-CN"/>
              </w:rPr>
              <w:t>m×</w:t>
            </w:r>
            <w:r>
              <w:rPr>
                <w:rFonts w:hint="eastAsia" w:ascii="Times New Roman" w:hAnsi="Times New Roman" w:cs="Times New Roman"/>
                <w:b w:val="0"/>
                <w:bCs w:val="0"/>
                <w:color w:val="auto"/>
                <w:sz w:val="24"/>
                <w:szCs w:val="24"/>
                <w:highlight w:val="none"/>
                <w:u w:val="none"/>
                <w:lang w:val="en-US" w:eastAsia="zh-CN"/>
              </w:rPr>
              <w:t>3.5</w:t>
            </w:r>
            <w:r>
              <w:rPr>
                <w:rFonts w:hint="default" w:ascii="Times New Roman" w:hAnsi="Times New Roman" w:cs="Times New Roman"/>
                <w:b w:val="0"/>
                <w:bCs w:val="0"/>
                <w:color w:val="auto"/>
                <w:sz w:val="24"/>
                <w:szCs w:val="24"/>
                <w:highlight w:val="none"/>
                <w:u w:val="none"/>
                <w:lang w:val="en-US" w:eastAsia="zh-CN"/>
              </w:rPr>
              <w:t>m；</w:t>
            </w:r>
          </w:p>
          <w:p w14:paraId="392D9CB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Vx—最小控制风速，m/s，以较低的速度散发到较平静的空气中</w:t>
            </w:r>
            <w:r>
              <w:rPr>
                <w:rFonts w:hint="eastAsia" w:cs="Times New Roman"/>
                <w:b w:val="0"/>
                <w:bCs w:val="0"/>
                <w:color w:val="auto"/>
                <w:sz w:val="24"/>
                <w:szCs w:val="24"/>
                <w:highlight w:val="none"/>
                <w:u w:val="none"/>
                <w:lang w:val="en-US" w:eastAsia="zh-CN"/>
              </w:rPr>
              <w:t>，</w:t>
            </w:r>
            <w:r>
              <w:rPr>
                <w:rFonts w:hint="default" w:ascii="Times New Roman" w:hAnsi="Times New Roman" w:cs="Times New Roman"/>
                <w:b w:val="0"/>
                <w:bCs w:val="0"/>
                <w:color w:val="auto"/>
                <w:sz w:val="24"/>
                <w:szCs w:val="24"/>
                <w:highlight w:val="none"/>
                <w:u w:val="none"/>
                <w:lang w:val="en-US" w:eastAsia="zh-CN"/>
              </w:rPr>
              <w:t>一般取0.5-1.0m/s，本项目取0.6m/s。</w:t>
            </w:r>
          </w:p>
          <w:p w14:paraId="05755496">
            <w:pPr>
              <w:numPr>
                <w:ilvl w:val="0"/>
                <w:numId w:val="0"/>
              </w:numPr>
              <w:adjustRightInd w:val="0"/>
              <w:snapToGrid w:val="0"/>
              <w:spacing w:line="520" w:lineRule="exact"/>
              <w:ind w:left="0" w:leftChars="0" w:firstLine="480" w:firstLineChars="200"/>
              <w:jc w:val="both"/>
              <w:rPr>
                <w:rFonts w:hint="default" w:ascii="Times New Roman" w:hAnsi="Times New Roman" w:eastAsia="宋体" w:cs="Times New Roman"/>
                <w:b w:val="0"/>
                <w:bCs w:val="0"/>
                <w:color w:val="auto"/>
                <w:kern w:val="0"/>
                <w:sz w:val="24"/>
                <w:szCs w:val="24"/>
                <w:highlight w:val="none"/>
                <w:u w:val="none"/>
                <w:lang w:val="en-US" w:eastAsia="zh-CN"/>
              </w:rPr>
            </w:pPr>
            <w:r>
              <w:rPr>
                <w:rFonts w:hint="default" w:ascii="Times New Roman" w:hAnsi="Times New Roman" w:cs="Times New Roman"/>
                <w:b w:val="0"/>
                <w:bCs w:val="0"/>
                <w:color w:val="auto"/>
                <w:sz w:val="24"/>
                <w:szCs w:val="32"/>
                <w:vertAlign w:val="baseline"/>
                <w:lang w:val="en-US" w:eastAsia="zh-CN"/>
              </w:rPr>
              <w:t>由上述公示可以算出：每个集气罩风量</w:t>
            </w:r>
            <w:r>
              <w:rPr>
                <w:rFonts w:hint="eastAsia" w:ascii="Times New Roman" w:hAnsi="Times New Roman" w:cs="Times New Roman"/>
                <w:b w:val="0"/>
                <w:bCs w:val="0"/>
                <w:color w:val="auto"/>
                <w:sz w:val="24"/>
                <w:szCs w:val="32"/>
                <w:vertAlign w:val="baseline"/>
                <w:lang w:val="en-US" w:eastAsia="zh-CN"/>
              </w:rPr>
              <w:t>3</w:t>
            </w:r>
            <w:r>
              <w:rPr>
                <w:rFonts w:hint="default" w:ascii="Times New Roman" w:hAnsi="Times New Roman" w:cs="Times New Roman"/>
                <w:b w:val="0"/>
                <w:bCs w:val="0"/>
                <w:color w:val="auto"/>
                <w:sz w:val="24"/>
                <w:szCs w:val="32"/>
                <w:vertAlign w:val="baseline"/>
                <w:lang w:val="en-US" w:eastAsia="zh-CN"/>
              </w:rPr>
              <w:t>.</w:t>
            </w:r>
            <w:r>
              <w:rPr>
                <w:rFonts w:hint="eastAsia" w:ascii="Times New Roman" w:hAnsi="Times New Roman" w:cs="Times New Roman"/>
                <w:b w:val="0"/>
                <w:bCs w:val="0"/>
                <w:color w:val="auto"/>
                <w:sz w:val="24"/>
                <w:szCs w:val="32"/>
                <w:vertAlign w:val="baseline"/>
                <w:lang w:val="en-US" w:eastAsia="zh-CN"/>
              </w:rPr>
              <w:t>5</w:t>
            </w:r>
            <w:r>
              <w:rPr>
                <w:rFonts w:hint="default" w:ascii="Times New Roman" w:hAnsi="Times New Roman" w:cs="Times New Roman"/>
                <w:b w:val="0"/>
                <w:bCs w:val="0"/>
                <w:color w:val="auto"/>
                <w:sz w:val="24"/>
                <w:szCs w:val="32"/>
                <w:vertAlign w:val="baseline"/>
                <w:lang w:val="en-US" w:eastAsia="zh-CN"/>
              </w:rPr>
              <w:t>55m</w:t>
            </w:r>
            <w:r>
              <w:rPr>
                <w:rFonts w:hint="default" w:ascii="Times New Roman" w:hAnsi="Times New Roman" w:cs="Times New Roman"/>
                <w:b w:val="0"/>
                <w:bCs w:val="0"/>
                <w:color w:val="auto"/>
                <w:sz w:val="24"/>
                <w:szCs w:val="32"/>
                <w:vertAlign w:val="superscript"/>
                <w:lang w:val="en-US" w:eastAsia="zh-CN"/>
              </w:rPr>
              <w:t>3</w:t>
            </w:r>
            <w:r>
              <w:rPr>
                <w:rFonts w:hint="default" w:ascii="Times New Roman" w:hAnsi="Times New Roman" w:cs="Times New Roman"/>
                <w:b w:val="0"/>
                <w:bCs w:val="0"/>
                <w:color w:val="auto"/>
                <w:sz w:val="24"/>
                <w:szCs w:val="32"/>
                <w:vertAlign w:val="baseline"/>
                <w:lang w:val="en-US" w:eastAsia="zh-CN"/>
              </w:rPr>
              <w:t>/s，共6个集气罩即</w:t>
            </w:r>
            <w:r>
              <w:rPr>
                <w:rFonts w:hint="eastAsia" w:ascii="Times New Roman" w:hAnsi="Times New Roman" w:cs="Times New Roman"/>
                <w:b w:val="0"/>
                <w:bCs w:val="0"/>
                <w:color w:val="auto"/>
                <w:sz w:val="24"/>
                <w:szCs w:val="32"/>
                <w:vertAlign w:val="baseline"/>
                <w:lang w:val="en-US" w:eastAsia="zh-CN"/>
              </w:rPr>
              <w:t>76788</w:t>
            </w:r>
            <w:r>
              <w:rPr>
                <w:rFonts w:hint="default" w:ascii="Times New Roman" w:hAnsi="Times New Roman" w:cs="Times New Roman"/>
                <w:b w:val="0"/>
                <w:bCs w:val="0"/>
                <w:color w:val="auto"/>
                <w:sz w:val="24"/>
                <w:szCs w:val="32"/>
                <w:vertAlign w:val="baseline"/>
                <w:lang w:val="en-US" w:eastAsia="zh-CN"/>
              </w:rPr>
              <w:t>m</w:t>
            </w:r>
            <w:r>
              <w:rPr>
                <w:rFonts w:hint="default" w:ascii="Times New Roman" w:hAnsi="Times New Roman" w:cs="Times New Roman"/>
                <w:b w:val="0"/>
                <w:bCs w:val="0"/>
                <w:color w:val="auto"/>
                <w:sz w:val="24"/>
                <w:szCs w:val="32"/>
                <w:vertAlign w:val="superscript"/>
                <w:lang w:val="en-US" w:eastAsia="zh-CN"/>
              </w:rPr>
              <w:t>3</w:t>
            </w:r>
            <w:r>
              <w:rPr>
                <w:rFonts w:hint="default" w:ascii="Times New Roman" w:hAnsi="Times New Roman" w:cs="Times New Roman"/>
                <w:b w:val="0"/>
                <w:bCs w:val="0"/>
                <w:color w:val="auto"/>
                <w:sz w:val="24"/>
                <w:szCs w:val="32"/>
                <w:vertAlign w:val="baseline"/>
                <w:lang w:val="en-US" w:eastAsia="zh-CN"/>
              </w:rPr>
              <w:t>/h，评价建议风机风量为</w:t>
            </w:r>
            <w:r>
              <w:rPr>
                <w:rFonts w:hint="eastAsia" w:ascii="Times New Roman" w:hAnsi="Times New Roman" w:cs="Times New Roman"/>
                <w:b w:val="0"/>
                <w:bCs w:val="0"/>
                <w:color w:val="auto"/>
                <w:sz w:val="24"/>
                <w:szCs w:val="32"/>
                <w:vertAlign w:val="baseline"/>
                <w:lang w:val="en-US" w:eastAsia="zh-CN"/>
              </w:rPr>
              <w:t>8</w:t>
            </w:r>
            <w:r>
              <w:rPr>
                <w:rFonts w:hint="default" w:ascii="Times New Roman" w:hAnsi="Times New Roman" w:cs="Times New Roman"/>
                <w:b w:val="0"/>
                <w:bCs w:val="0"/>
                <w:color w:val="auto"/>
                <w:sz w:val="24"/>
                <w:szCs w:val="32"/>
                <w:vertAlign w:val="baseline"/>
                <w:lang w:val="en-US" w:eastAsia="zh-CN"/>
              </w:rPr>
              <w:t>0000m</w:t>
            </w:r>
            <w:r>
              <w:rPr>
                <w:rFonts w:hint="default" w:ascii="Times New Roman" w:hAnsi="Times New Roman" w:cs="Times New Roman"/>
                <w:b w:val="0"/>
                <w:bCs w:val="0"/>
                <w:color w:val="auto"/>
                <w:sz w:val="24"/>
                <w:szCs w:val="32"/>
                <w:vertAlign w:val="superscript"/>
                <w:lang w:val="en-US" w:eastAsia="zh-CN"/>
              </w:rPr>
              <w:t>3</w:t>
            </w:r>
            <w:r>
              <w:rPr>
                <w:rFonts w:hint="default" w:ascii="Times New Roman" w:hAnsi="Times New Roman" w:cs="Times New Roman"/>
                <w:b w:val="0"/>
                <w:bCs w:val="0"/>
                <w:color w:val="auto"/>
                <w:sz w:val="24"/>
                <w:szCs w:val="32"/>
                <w:vertAlign w:val="baseline"/>
                <w:lang w:val="en-US" w:eastAsia="zh-CN"/>
              </w:rPr>
              <w:t>/h。</w:t>
            </w:r>
          </w:p>
          <w:p w14:paraId="7B8B51E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u w:val="single"/>
                <w:lang w:val="en-US" w:eastAsia="zh-CN"/>
              </w:rPr>
            </w:pPr>
            <w:r>
              <w:rPr>
                <w:rFonts w:hint="default" w:ascii="Times New Roman" w:hAnsi="Times New Roman" w:cs="Times New Roman"/>
                <w:b w:val="0"/>
                <w:bCs/>
                <w:color w:val="auto"/>
                <w:sz w:val="24"/>
                <w:u w:val="single"/>
              </w:rPr>
              <w:t>参考《袋式除尘工程通用技术规范》（HJ2020-2012）中集气罩应能实现对烟气（尘）的捕集效果，捕集率不低于：b半密闭罩95%，考虑到实际运行管理情况，本次环评</w:t>
            </w:r>
            <w:r>
              <w:rPr>
                <w:rFonts w:hint="eastAsia" w:cs="Times New Roman"/>
                <w:b w:val="0"/>
                <w:bCs/>
                <w:color w:val="auto"/>
                <w:sz w:val="24"/>
                <w:u w:val="single"/>
                <w:lang w:val="en-US" w:eastAsia="zh-CN"/>
              </w:rPr>
              <w:t>集气装置</w:t>
            </w:r>
            <w:r>
              <w:rPr>
                <w:rFonts w:hint="default" w:ascii="Times New Roman" w:hAnsi="Times New Roman" w:cs="Times New Roman"/>
                <w:b w:val="0"/>
                <w:bCs/>
                <w:color w:val="auto"/>
                <w:sz w:val="24"/>
                <w:u w:val="single"/>
              </w:rPr>
              <w:t>收集效率以90%计</w:t>
            </w:r>
            <w:r>
              <w:rPr>
                <w:rFonts w:hint="eastAsia" w:cs="Times New Roman"/>
                <w:b w:val="0"/>
                <w:bCs/>
                <w:color w:val="auto"/>
                <w:sz w:val="24"/>
                <w:u w:val="single"/>
                <w:lang w:eastAsia="zh-CN"/>
              </w:rPr>
              <w:t>；</w:t>
            </w:r>
            <w:r>
              <w:rPr>
                <w:rFonts w:hint="default" w:ascii="Times New Roman" w:hAnsi="Times New Roman" w:cs="Times New Roman"/>
                <w:b w:val="0"/>
                <w:bCs/>
                <w:color w:val="auto"/>
                <w:sz w:val="24"/>
                <w:u w:val="single"/>
              </w:rPr>
              <w:t>除尘效率以9</w:t>
            </w:r>
            <w:r>
              <w:rPr>
                <w:rFonts w:hint="default" w:ascii="Times New Roman" w:hAnsi="Times New Roman" w:cs="Times New Roman"/>
                <w:b w:val="0"/>
                <w:bCs/>
                <w:color w:val="auto"/>
                <w:sz w:val="24"/>
                <w:u w:val="single"/>
                <w:lang w:val="en-US" w:eastAsia="zh-CN"/>
              </w:rPr>
              <w:t>9%计</w:t>
            </w:r>
            <w:r>
              <w:rPr>
                <w:rFonts w:hint="default" w:ascii="Times New Roman" w:hAnsi="Times New Roman" w:cs="Times New Roman"/>
                <w:b w:val="0"/>
                <w:bCs/>
                <w:color w:val="auto"/>
                <w:sz w:val="24"/>
                <w:u w:val="single"/>
              </w:rPr>
              <w:t>（根据《废气处理工程技术手册》）</w:t>
            </w:r>
            <w:r>
              <w:rPr>
                <w:rFonts w:hint="default" w:ascii="Times New Roman" w:hAnsi="Times New Roman" w:cs="Times New Roman"/>
                <w:b w:val="0"/>
                <w:bCs/>
                <w:color w:val="auto"/>
                <w:sz w:val="24"/>
                <w:u w:val="single"/>
                <w:lang w:eastAsia="zh-CN"/>
              </w:rPr>
              <w:t>，</w:t>
            </w:r>
            <w:r>
              <w:rPr>
                <w:rFonts w:hint="default" w:ascii="Times New Roman" w:hAnsi="Times New Roman" w:cs="Times New Roman"/>
                <w:color w:val="auto"/>
                <w:kern w:val="0"/>
                <w:sz w:val="24"/>
                <w:szCs w:val="24"/>
                <w:highlight w:val="none"/>
                <w:u w:val="single"/>
                <w:lang w:val="en-US" w:eastAsia="zh-CN"/>
              </w:rPr>
              <w:t>经计算，项目有组织颗粒物产生量</w:t>
            </w:r>
            <w:r>
              <w:rPr>
                <w:rFonts w:hint="eastAsia" w:ascii="Times New Roman" w:hAnsi="Times New Roman" w:cs="Times New Roman"/>
                <w:color w:val="auto"/>
                <w:kern w:val="0"/>
                <w:sz w:val="24"/>
                <w:szCs w:val="24"/>
                <w:highlight w:val="none"/>
                <w:u w:val="single"/>
                <w:lang w:val="en-US" w:eastAsia="zh-CN"/>
              </w:rPr>
              <w:t>5.0162</w:t>
            </w:r>
            <w:r>
              <w:rPr>
                <w:rFonts w:hint="default" w:ascii="Times New Roman" w:hAnsi="Times New Roman" w:cs="Times New Roman"/>
                <w:color w:val="auto"/>
                <w:kern w:val="0"/>
                <w:sz w:val="24"/>
                <w:szCs w:val="24"/>
                <w:highlight w:val="none"/>
                <w:u w:val="single"/>
                <w:lang w:val="en-US" w:eastAsia="zh-CN"/>
              </w:rPr>
              <w:t>t/a，无组织颗粒物产生量</w:t>
            </w:r>
            <w:r>
              <w:rPr>
                <w:rFonts w:hint="eastAsia" w:ascii="Times New Roman" w:hAnsi="Times New Roman" w:cs="Times New Roman"/>
                <w:color w:val="auto"/>
                <w:kern w:val="0"/>
                <w:sz w:val="24"/>
                <w:szCs w:val="24"/>
                <w:highlight w:val="none"/>
                <w:u w:val="single"/>
                <w:lang w:val="en-US" w:eastAsia="zh-CN"/>
              </w:rPr>
              <w:t>0.5573</w:t>
            </w:r>
            <w:r>
              <w:rPr>
                <w:rFonts w:hint="default" w:ascii="Times New Roman" w:hAnsi="Times New Roman" w:cs="Times New Roman"/>
                <w:color w:val="auto"/>
                <w:kern w:val="0"/>
                <w:sz w:val="24"/>
                <w:szCs w:val="24"/>
                <w:highlight w:val="none"/>
                <w:u w:val="single"/>
                <w:lang w:val="en-US" w:eastAsia="zh-CN"/>
              </w:rPr>
              <w:t>t/a。根据企业提供生产数据，项目年切割时间2400h、年焊接时间1200h。</w:t>
            </w:r>
          </w:p>
          <w:p w14:paraId="21873E0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szCs w:val="32"/>
                <w:vertAlign w:val="baseline"/>
                <w:lang w:val="en-US" w:eastAsia="zh-CN"/>
              </w:rPr>
              <w:t>此类机加工产生的粉尘主要以金属细屑颗粒物为主，质量和粒径相对较大，</w:t>
            </w:r>
            <w:r>
              <w:rPr>
                <w:rFonts w:hint="default" w:ascii="Times New Roman" w:hAnsi="Times New Roman" w:cs="Times New Roman"/>
                <w:color w:val="auto"/>
                <w:sz w:val="24"/>
                <w:szCs w:val="24"/>
                <w:highlight w:val="none"/>
                <w:vertAlign w:val="baseline"/>
                <w:lang w:val="en-US" w:eastAsia="zh-CN"/>
              </w:rPr>
              <w:t>项目</w:t>
            </w:r>
            <w:r>
              <w:rPr>
                <w:rFonts w:hint="default" w:ascii="Times New Roman" w:hAnsi="Times New Roman" w:cs="Times New Roman"/>
                <w:color w:val="auto"/>
                <w:sz w:val="24"/>
                <w:szCs w:val="24"/>
                <w:highlight w:val="none"/>
                <w:lang w:val="en-US" w:eastAsia="zh-CN"/>
              </w:rPr>
              <w:t>生产车间及窗户密闭，仅有车间门有时打开，沉降在车间内的粉尘及时清扫收集，根据《逸散性工业粉尘控制技术》，密闭厂房对无组织粉尘的阻隔效率通常在70%至90%之间，本项目取70%。</w:t>
            </w:r>
          </w:p>
          <w:p w14:paraId="5C1AC787">
            <w:pPr>
              <w:numPr>
                <w:ilvl w:val="0"/>
                <w:numId w:val="0"/>
              </w:numPr>
              <w:adjustRightInd w:val="0"/>
              <w:snapToGrid w:val="0"/>
              <w:spacing w:line="520" w:lineRule="exact"/>
              <w:ind w:left="0" w:leftChars="0" w:firstLine="482" w:firstLineChars="200"/>
              <w:jc w:val="both"/>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cs="Times New Roman"/>
                <w:b/>
                <w:bCs/>
                <w:color w:val="auto"/>
                <w:kern w:val="0"/>
                <w:sz w:val="24"/>
                <w:szCs w:val="24"/>
                <w:highlight w:val="none"/>
                <w:lang w:val="en-US" w:eastAsia="zh-CN"/>
              </w:rPr>
              <w:t>1.1.2防锈处理废气</w:t>
            </w:r>
          </w:p>
          <w:p w14:paraId="1FA48312">
            <w:pPr>
              <w:numPr>
                <w:ilvl w:val="0"/>
                <w:numId w:val="0"/>
              </w:numPr>
              <w:adjustRightInd w:val="0"/>
              <w:snapToGrid w:val="0"/>
              <w:spacing w:line="520" w:lineRule="exact"/>
              <w:ind w:left="0" w:leftChars="0" w:firstLine="480" w:firstLineChars="200"/>
              <w:jc w:val="both"/>
              <w:rPr>
                <w:rFonts w:hint="default" w:ascii="Times New Roman" w:hAnsi="Times New Roman" w:eastAsia="宋体" w:cs="Times New Roman"/>
                <w:color w:val="auto"/>
                <w:kern w:val="0"/>
                <w:sz w:val="24"/>
                <w:szCs w:val="24"/>
                <w:highlight w:val="none"/>
                <w:u w:val="single"/>
                <w:lang w:val="en-US" w:eastAsia="zh-CN"/>
              </w:rPr>
            </w:pPr>
            <w:r>
              <w:rPr>
                <w:rFonts w:hint="default" w:ascii="Times New Roman" w:hAnsi="Times New Roman" w:eastAsia="宋体" w:cs="Times New Roman"/>
                <w:color w:val="auto"/>
                <w:kern w:val="0"/>
                <w:sz w:val="24"/>
                <w:szCs w:val="24"/>
                <w:highlight w:val="none"/>
                <w:u w:val="single"/>
                <w:lang w:val="en-US" w:eastAsia="zh-CN"/>
              </w:rPr>
              <w:t>根据建设单位提供的MSDS</w:t>
            </w:r>
            <w:r>
              <w:rPr>
                <w:rFonts w:hint="default" w:ascii="Times New Roman" w:hAnsi="Times New Roman" w:cs="Times New Roman"/>
                <w:color w:val="auto"/>
                <w:kern w:val="0"/>
                <w:sz w:val="24"/>
                <w:szCs w:val="24"/>
                <w:highlight w:val="none"/>
                <w:u w:val="single"/>
                <w:lang w:val="en-US" w:eastAsia="zh-CN"/>
              </w:rPr>
              <w:t>及</w:t>
            </w:r>
            <w:r>
              <w:rPr>
                <w:rFonts w:hint="default" w:ascii="Times New Roman" w:hAnsi="Times New Roman" w:eastAsia="宋体" w:cs="Times New Roman"/>
                <w:b w:val="0"/>
                <w:bCs/>
                <w:color w:val="auto"/>
                <w:sz w:val="24"/>
                <w:highlight w:val="none"/>
                <w:u w:val="single"/>
                <w:shd w:val="clear" w:color="auto" w:fill="auto"/>
                <w:lang w:val="en-US" w:eastAsia="zh-CN"/>
              </w:rPr>
              <w:t>VOCs含量检测报告（见附件7）</w:t>
            </w:r>
            <w:r>
              <w:rPr>
                <w:rFonts w:hint="default" w:ascii="Times New Roman" w:hAnsi="Times New Roman" w:eastAsia="宋体" w:cs="Times New Roman"/>
                <w:color w:val="auto"/>
                <w:kern w:val="0"/>
                <w:sz w:val="24"/>
                <w:szCs w:val="24"/>
                <w:highlight w:val="none"/>
                <w:u w:val="single"/>
                <w:lang w:val="en-US" w:eastAsia="zh-CN"/>
              </w:rPr>
              <w:t>，烃类溶剂</w:t>
            </w:r>
            <w:r>
              <w:rPr>
                <w:rFonts w:hint="default" w:ascii="Times New Roman" w:hAnsi="Times New Roman" w:cs="Times New Roman"/>
                <w:color w:val="auto"/>
                <w:kern w:val="0"/>
                <w:sz w:val="24"/>
                <w:szCs w:val="24"/>
                <w:highlight w:val="none"/>
                <w:u w:val="single"/>
                <w:lang w:val="en-US" w:eastAsia="zh-CN"/>
              </w:rPr>
              <w:t>含量约350g/L</w:t>
            </w:r>
            <w:r>
              <w:rPr>
                <w:rFonts w:hint="default" w:ascii="Times New Roman" w:hAnsi="Times New Roman" w:eastAsia="宋体" w:cs="Times New Roman"/>
                <w:color w:val="auto"/>
                <w:kern w:val="0"/>
                <w:sz w:val="24"/>
                <w:szCs w:val="24"/>
                <w:highlight w:val="none"/>
                <w:u w:val="single"/>
                <w:lang w:val="en-US" w:eastAsia="zh-CN"/>
              </w:rPr>
              <w:t>，</w:t>
            </w:r>
            <w:r>
              <w:rPr>
                <w:rFonts w:hint="default" w:ascii="Times New Roman" w:hAnsi="Times New Roman" w:cs="Times New Roman"/>
                <w:color w:val="auto"/>
                <w:kern w:val="0"/>
                <w:sz w:val="24"/>
                <w:szCs w:val="24"/>
                <w:highlight w:val="none"/>
                <w:u w:val="single"/>
                <w:lang w:val="en-US" w:eastAsia="zh-CN"/>
              </w:rPr>
              <w:t>其余为石油蜡等固体成分，本项目</w:t>
            </w:r>
            <w:r>
              <w:rPr>
                <w:rFonts w:hint="default" w:ascii="Times New Roman" w:hAnsi="Times New Roman" w:eastAsia="宋体" w:cs="Times New Roman"/>
                <w:color w:val="auto"/>
                <w:kern w:val="0"/>
                <w:sz w:val="24"/>
                <w:szCs w:val="24"/>
                <w:highlight w:val="none"/>
                <w:u w:val="single"/>
                <w:lang w:val="en-US" w:eastAsia="zh-CN"/>
              </w:rPr>
              <w:t>防锈油用量</w:t>
            </w:r>
            <w:r>
              <w:rPr>
                <w:rFonts w:hint="default" w:ascii="Times New Roman" w:hAnsi="Times New Roman" w:cs="Times New Roman"/>
                <w:color w:val="auto"/>
                <w:kern w:val="0"/>
                <w:sz w:val="24"/>
                <w:szCs w:val="24"/>
                <w:highlight w:val="none"/>
                <w:u w:val="single"/>
                <w:lang w:val="en-US" w:eastAsia="zh-CN"/>
              </w:rPr>
              <w:t>1.2</w:t>
            </w:r>
            <w:r>
              <w:rPr>
                <w:rFonts w:hint="default" w:ascii="Times New Roman" w:hAnsi="Times New Roman" w:eastAsia="宋体" w:cs="Times New Roman"/>
                <w:color w:val="auto"/>
                <w:kern w:val="0"/>
                <w:sz w:val="24"/>
                <w:szCs w:val="24"/>
                <w:highlight w:val="none"/>
                <w:u w:val="single"/>
                <w:lang w:val="en-US" w:eastAsia="zh-CN"/>
              </w:rPr>
              <w:t>t/a，溶剂全部挥发，则产生有机废气</w:t>
            </w:r>
            <w:r>
              <w:rPr>
                <w:rFonts w:hint="default" w:ascii="Times New Roman" w:hAnsi="Times New Roman" w:cs="Times New Roman"/>
                <w:color w:val="auto"/>
                <w:kern w:val="0"/>
                <w:sz w:val="24"/>
                <w:szCs w:val="24"/>
                <w:highlight w:val="none"/>
                <w:u w:val="single"/>
                <w:lang w:val="en-US" w:eastAsia="zh-CN"/>
              </w:rPr>
              <w:t>0.4935</w:t>
            </w:r>
            <w:r>
              <w:rPr>
                <w:rFonts w:hint="default" w:ascii="Times New Roman" w:hAnsi="Times New Roman" w:eastAsia="宋体" w:cs="Times New Roman"/>
                <w:color w:val="auto"/>
                <w:kern w:val="0"/>
                <w:sz w:val="24"/>
                <w:szCs w:val="24"/>
                <w:highlight w:val="none"/>
                <w:u w:val="single"/>
                <w:lang w:val="en-US" w:eastAsia="zh-CN"/>
              </w:rPr>
              <w:t>t/a，以非甲烷总烃计。</w:t>
            </w:r>
          </w:p>
          <w:p w14:paraId="03D63DBB">
            <w:pPr>
              <w:numPr>
                <w:ilvl w:val="0"/>
                <w:numId w:val="0"/>
              </w:numPr>
              <w:adjustRightInd w:val="0"/>
              <w:snapToGrid w:val="0"/>
              <w:spacing w:line="520" w:lineRule="exact"/>
              <w:ind w:left="0" w:leftChars="0" w:firstLine="480" w:firstLineChars="200"/>
              <w:jc w:val="both"/>
              <w:rPr>
                <w:rFonts w:hint="default" w:ascii="Times New Roman" w:hAnsi="Times New Roman" w:eastAsia="宋体" w:cs="Times New Roman"/>
                <w:color w:val="auto"/>
                <w:kern w:val="0"/>
                <w:sz w:val="24"/>
                <w:szCs w:val="24"/>
                <w:highlight w:val="none"/>
                <w:u w:val="single"/>
                <w:lang w:val="en-US" w:eastAsia="zh-CN"/>
              </w:rPr>
            </w:pPr>
            <w:r>
              <w:rPr>
                <w:rFonts w:hint="default" w:ascii="Times New Roman" w:hAnsi="Times New Roman" w:eastAsia="宋体" w:cs="Times New Roman"/>
                <w:color w:val="auto"/>
                <w:kern w:val="0"/>
                <w:sz w:val="24"/>
                <w:szCs w:val="24"/>
                <w:highlight w:val="none"/>
                <w:u w:val="single"/>
                <w:lang w:val="en-US" w:eastAsia="zh-CN"/>
              </w:rPr>
              <w:t>集气设施：</w:t>
            </w:r>
            <w:r>
              <w:rPr>
                <w:rFonts w:hint="eastAsia" w:cs="Times New Roman"/>
                <w:color w:val="auto"/>
                <w:kern w:val="0"/>
                <w:sz w:val="24"/>
                <w:szCs w:val="24"/>
                <w:highlight w:val="none"/>
                <w:u w:val="single"/>
                <w:lang w:val="en-US" w:eastAsia="zh-CN"/>
              </w:rPr>
              <w:t>项目</w:t>
            </w:r>
            <w:r>
              <w:rPr>
                <w:rFonts w:hint="default" w:ascii="Times New Roman" w:hAnsi="Times New Roman" w:cs="Times New Roman"/>
                <w:color w:val="auto"/>
                <w:kern w:val="0"/>
                <w:sz w:val="24"/>
                <w:szCs w:val="24"/>
                <w:highlight w:val="none"/>
                <w:u w:val="single"/>
                <w:lang w:val="en-US" w:eastAsia="zh-CN"/>
              </w:rPr>
              <w:t>设置一座密闭防锈间（5m×3m×10m），企业采取整室负压抽风收集防锈间废气。根据《三废处理工程技术手册—废气卷》，设备风量=房内体积（长×宽×高）×换气次数数（60～100次/h），防锈间的换气次数取</w:t>
            </w:r>
            <w:r>
              <w:rPr>
                <w:rFonts w:hint="eastAsia" w:ascii="Times New Roman" w:hAnsi="Times New Roman" w:cs="Times New Roman"/>
                <w:color w:val="auto"/>
                <w:kern w:val="0"/>
                <w:sz w:val="24"/>
                <w:szCs w:val="24"/>
                <w:highlight w:val="none"/>
                <w:u w:val="single"/>
                <w:lang w:val="en-US" w:eastAsia="zh-CN"/>
              </w:rPr>
              <w:t>6</w:t>
            </w:r>
            <w:r>
              <w:rPr>
                <w:rFonts w:hint="default" w:ascii="Times New Roman" w:hAnsi="Times New Roman" w:cs="Times New Roman"/>
                <w:color w:val="auto"/>
                <w:kern w:val="0"/>
                <w:sz w:val="24"/>
                <w:szCs w:val="24"/>
                <w:highlight w:val="none"/>
                <w:u w:val="single"/>
                <w:lang w:val="en-US" w:eastAsia="zh-CN"/>
              </w:rPr>
              <w:t>0次/h，则防锈间所需的风量为10×5×</w:t>
            </w:r>
            <w:r>
              <w:rPr>
                <w:rFonts w:hint="eastAsia" w:ascii="Times New Roman" w:hAnsi="Times New Roman" w:cs="Times New Roman"/>
                <w:color w:val="auto"/>
                <w:kern w:val="0"/>
                <w:sz w:val="24"/>
                <w:szCs w:val="24"/>
                <w:highlight w:val="none"/>
                <w:u w:val="single"/>
                <w:lang w:val="en-US" w:eastAsia="zh-CN"/>
              </w:rPr>
              <w:t>3</w:t>
            </w:r>
            <w:r>
              <w:rPr>
                <w:rFonts w:hint="default" w:ascii="Times New Roman" w:hAnsi="Times New Roman" w:cs="Times New Roman"/>
                <w:color w:val="auto"/>
                <w:kern w:val="0"/>
                <w:sz w:val="24"/>
                <w:szCs w:val="24"/>
                <w:highlight w:val="none"/>
                <w:u w:val="single"/>
                <w:lang w:val="en-US" w:eastAsia="zh-CN"/>
              </w:rPr>
              <w:t>×</w:t>
            </w:r>
            <w:r>
              <w:rPr>
                <w:rFonts w:hint="eastAsia" w:ascii="Times New Roman" w:hAnsi="Times New Roman" w:cs="Times New Roman"/>
                <w:color w:val="auto"/>
                <w:kern w:val="0"/>
                <w:sz w:val="24"/>
                <w:szCs w:val="24"/>
                <w:highlight w:val="none"/>
                <w:u w:val="single"/>
                <w:lang w:val="en-US" w:eastAsia="zh-CN"/>
              </w:rPr>
              <w:t>6</w:t>
            </w:r>
            <w:r>
              <w:rPr>
                <w:rFonts w:hint="default" w:ascii="Times New Roman" w:hAnsi="Times New Roman" w:cs="Times New Roman"/>
                <w:color w:val="auto"/>
                <w:kern w:val="0"/>
                <w:sz w:val="24"/>
                <w:szCs w:val="24"/>
                <w:highlight w:val="none"/>
                <w:u w:val="single"/>
                <w:lang w:val="en-US" w:eastAsia="zh-CN"/>
              </w:rPr>
              <w:t>0=</w:t>
            </w:r>
            <w:r>
              <w:rPr>
                <w:rFonts w:hint="eastAsia" w:ascii="Times New Roman" w:hAnsi="Times New Roman" w:cs="Times New Roman"/>
                <w:color w:val="auto"/>
                <w:kern w:val="0"/>
                <w:sz w:val="24"/>
                <w:szCs w:val="24"/>
                <w:highlight w:val="none"/>
                <w:u w:val="single"/>
                <w:lang w:val="en-US" w:eastAsia="zh-CN"/>
              </w:rPr>
              <w:t>9</w:t>
            </w:r>
            <w:r>
              <w:rPr>
                <w:rFonts w:hint="default" w:ascii="Times New Roman" w:hAnsi="Times New Roman" w:cs="Times New Roman"/>
                <w:color w:val="auto"/>
                <w:kern w:val="0"/>
                <w:sz w:val="24"/>
                <w:szCs w:val="24"/>
                <w:highlight w:val="none"/>
                <w:u w:val="single"/>
                <w:lang w:val="en-US" w:eastAsia="zh-CN"/>
              </w:rPr>
              <w:t>000m</w:t>
            </w:r>
            <w:r>
              <w:rPr>
                <w:rFonts w:hint="default" w:ascii="Times New Roman" w:hAnsi="Times New Roman" w:cs="Times New Roman"/>
                <w:color w:val="auto"/>
                <w:kern w:val="0"/>
                <w:sz w:val="24"/>
                <w:szCs w:val="24"/>
                <w:highlight w:val="none"/>
                <w:u w:val="single"/>
                <w:vertAlign w:val="superscript"/>
                <w:lang w:val="en-US" w:eastAsia="zh-CN"/>
              </w:rPr>
              <w:t>3</w:t>
            </w:r>
            <w:r>
              <w:rPr>
                <w:rFonts w:hint="default" w:ascii="Times New Roman" w:hAnsi="Times New Roman" w:cs="Times New Roman"/>
                <w:color w:val="auto"/>
                <w:kern w:val="0"/>
                <w:sz w:val="24"/>
                <w:szCs w:val="24"/>
                <w:highlight w:val="none"/>
                <w:u w:val="single"/>
                <w:lang w:val="en-US" w:eastAsia="zh-CN"/>
              </w:rPr>
              <w:t>/h。</w:t>
            </w:r>
          </w:p>
          <w:p w14:paraId="573B2CE2">
            <w:pPr>
              <w:numPr>
                <w:ilvl w:val="0"/>
                <w:numId w:val="0"/>
              </w:numPr>
              <w:adjustRightInd w:val="0"/>
              <w:snapToGrid w:val="0"/>
              <w:spacing w:line="520" w:lineRule="exact"/>
              <w:ind w:firstLine="480" w:firstLineChars="200"/>
              <w:jc w:val="both"/>
              <w:rPr>
                <w:rFonts w:hint="default" w:ascii="Times New Roman" w:hAnsi="Times New Roman" w:eastAsia="宋体" w:cs="Times New Roman"/>
                <w:color w:val="auto"/>
                <w:kern w:val="0"/>
                <w:sz w:val="24"/>
                <w:szCs w:val="24"/>
                <w:highlight w:val="none"/>
                <w:u w:val="single"/>
                <w:lang w:val="en-US" w:eastAsia="zh-CN"/>
              </w:rPr>
            </w:pPr>
            <w:r>
              <w:rPr>
                <w:rFonts w:hint="default" w:ascii="Times New Roman" w:hAnsi="Times New Roman" w:cs="Times New Roman"/>
                <w:color w:val="auto"/>
                <w:kern w:val="0"/>
                <w:sz w:val="24"/>
                <w:szCs w:val="24"/>
                <w:highlight w:val="none"/>
                <w:u w:val="single"/>
                <w:lang w:val="en-US" w:eastAsia="zh-CN"/>
              </w:rPr>
              <w:t>防锈间</w:t>
            </w:r>
            <w:r>
              <w:rPr>
                <w:rFonts w:hint="default" w:ascii="Times New Roman" w:hAnsi="Times New Roman" w:cs="Times New Roman"/>
                <w:b w:val="0"/>
                <w:bCs/>
                <w:color w:val="auto"/>
                <w:sz w:val="24"/>
                <w:u w:val="single"/>
              </w:rPr>
              <w:t>密闭条件下仅有少量废气在开关</w:t>
            </w:r>
            <w:r>
              <w:rPr>
                <w:rFonts w:hint="default" w:ascii="Times New Roman" w:hAnsi="Times New Roman" w:cs="Times New Roman"/>
                <w:color w:val="auto"/>
                <w:kern w:val="0"/>
                <w:sz w:val="24"/>
                <w:szCs w:val="24"/>
                <w:highlight w:val="none"/>
                <w:u w:val="single"/>
                <w:lang w:val="en-US" w:eastAsia="zh-CN"/>
              </w:rPr>
              <w:t>防锈间</w:t>
            </w:r>
            <w:r>
              <w:rPr>
                <w:rFonts w:hint="default" w:ascii="Times New Roman" w:hAnsi="Times New Roman" w:cs="Times New Roman"/>
                <w:b w:val="0"/>
                <w:bCs/>
                <w:color w:val="auto"/>
                <w:sz w:val="24"/>
                <w:u w:val="single"/>
              </w:rPr>
              <w:t>过程中通过无组织方式逸散，参考《广东省工业源挥发性有机物减排量核算方法》中表4.5-1，</w:t>
            </w:r>
            <w:r>
              <w:rPr>
                <w:rFonts w:hint="default" w:ascii="Times New Roman" w:hAnsi="Times New Roman" w:cs="Times New Roman"/>
                <w:color w:val="auto"/>
                <w:kern w:val="0"/>
                <w:sz w:val="24"/>
                <w:szCs w:val="24"/>
                <w:highlight w:val="none"/>
                <w:u w:val="single"/>
                <w:lang w:val="en-US" w:eastAsia="zh-CN"/>
              </w:rPr>
              <w:t>防锈间</w:t>
            </w:r>
            <w:r>
              <w:rPr>
                <w:rFonts w:hint="default" w:ascii="Times New Roman" w:hAnsi="Times New Roman" w:cs="Times New Roman"/>
                <w:b w:val="0"/>
                <w:bCs/>
                <w:color w:val="auto"/>
                <w:sz w:val="24"/>
                <w:u w:val="single"/>
              </w:rPr>
              <w:t>废气收集效率按95%计，5%无组织排放。</w:t>
            </w:r>
            <w:r>
              <w:rPr>
                <w:rFonts w:hint="default" w:ascii="Times New Roman" w:hAnsi="Times New Roman" w:cs="Times New Roman"/>
                <w:b w:val="0"/>
                <w:bCs/>
                <w:color w:val="auto"/>
                <w:sz w:val="24"/>
                <w:u w:val="single"/>
                <w:lang w:val="en-US" w:eastAsia="zh-CN"/>
              </w:rPr>
              <w:t>活性炭+分子筛吸附效率以90%计</w:t>
            </w:r>
            <w:r>
              <w:rPr>
                <w:rFonts w:hint="default" w:ascii="Times New Roman" w:hAnsi="Times New Roman" w:cs="Times New Roman"/>
                <w:b w:val="0"/>
                <w:bCs/>
                <w:color w:val="auto"/>
                <w:sz w:val="24"/>
                <w:u w:val="single"/>
              </w:rPr>
              <w:t>（根据《废气处理工程技术手册》</w:t>
            </w:r>
            <w:r>
              <w:rPr>
                <w:rFonts w:hint="eastAsia" w:cs="Times New Roman"/>
                <w:b w:val="0"/>
                <w:bCs/>
                <w:color w:val="auto"/>
                <w:sz w:val="24"/>
                <w:u w:val="single"/>
                <w:lang w:eastAsia="zh-CN"/>
              </w:rPr>
              <w:t>，</w:t>
            </w:r>
            <w:r>
              <w:rPr>
                <w:rFonts w:hint="default" w:ascii="Times New Roman" w:hAnsi="Times New Roman" w:cs="Times New Roman"/>
                <w:color w:val="auto"/>
                <w:kern w:val="0"/>
                <w:sz w:val="24"/>
                <w:szCs w:val="24"/>
                <w:highlight w:val="none"/>
                <w:u w:val="single"/>
                <w:lang w:val="en-US" w:eastAsia="zh-CN"/>
              </w:rPr>
              <w:t>其中活性炭吸附效率75%、分子筛吸附效率60%）</w:t>
            </w:r>
            <w:r>
              <w:rPr>
                <w:rFonts w:hint="default" w:ascii="Times New Roman" w:hAnsi="Times New Roman" w:eastAsia="宋体" w:cs="Times New Roman"/>
                <w:color w:val="auto"/>
                <w:kern w:val="0"/>
                <w:sz w:val="24"/>
                <w:szCs w:val="24"/>
                <w:highlight w:val="none"/>
                <w:u w:val="single"/>
                <w:lang w:val="en-US" w:eastAsia="zh-CN"/>
              </w:rPr>
              <w:t>，</w:t>
            </w:r>
            <w:r>
              <w:rPr>
                <w:rFonts w:hint="default" w:ascii="Times New Roman" w:hAnsi="Times New Roman" w:cs="Times New Roman"/>
                <w:b w:val="0"/>
                <w:bCs w:val="0"/>
                <w:color w:val="auto"/>
                <w:sz w:val="24"/>
                <w:szCs w:val="24"/>
                <w:highlight w:val="none"/>
                <w:u w:val="single"/>
                <w:lang w:val="en-US" w:eastAsia="zh-CN"/>
              </w:rPr>
              <w:t>处理后通过15m排气筒排放</w:t>
            </w:r>
            <w:r>
              <w:rPr>
                <w:rFonts w:hint="default" w:ascii="Times New Roman" w:hAnsi="Times New Roman" w:eastAsia="宋体" w:cs="Times New Roman"/>
                <w:color w:val="auto"/>
                <w:kern w:val="0"/>
                <w:sz w:val="24"/>
                <w:szCs w:val="24"/>
                <w:highlight w:val="none"/>
                <w:u w:val="single"/>
                <w:lang w:val="en-US" w:eastAsia="zh-CN"/>
              </w:rPr>
              <w:t>。</w:t>
            </w:r>
            <w:r>
              <w:rPr>
                <w:rFonts w:hint="default" w:ascii="Times New Roman" w:hAnsi="Times New Roman" w:cs="Times New Roman"/>
                <w:color w:val="auto"/>
                <w:kern w:val="0"/>
                <w:sz w:val="24"/>
                <w:szCs w:val="24"/>
                <w:highlight w:val="none"/>
                <w:u w:val="single"/>
                <w:lang w:val="en-US" w:eastAsia="zh-CN"/>
              </w:rPr>
              <w:t>经计算，项目有组织非甲烷总烃产生量</w:t>
            </w:r>
            <w:r>
              <w:rPr>
                <w:rFonts w:hint="eastAsia" w:ascii="Times New Roman" w:hAnsi="Times New Roman" w:cs="Times New Roman"/>
                <w:color w:val="auto"/>
                <w:kern w:val="0"/>
                <w:sz w:val="24"/>
                <w:szCs w:val="24"/>
                <w:highlight w:val="none"/>
                <w:u w:val="single"/>
                <w:lang w:val="en-US" w:eastAsia="zh-CN"/>
              </w:rPr>
              <w:t>0.4688</w:t>
            </w:r>
            <w:r>
              <w:rPr>
                <w:rFonts w:hint="default" w:ascii="Times New Roman" w:hAnsi="Times New Roman" w:cs="Times New Roman"/>
                <w:color w:val="auto"/>
                <w:kern w:val="0"/>
                <w:sz w:val="24"/>
                <w:szCs w:val="24"/>
                <w:highlight w:val="none"/>
                <w:u w:val="single"/>
                <w:lang w:val="en-US" w:eastAsia="zh-CN"/>
              </w:rPr>
              <w:t>t/a，无组织非甲烷总烃产生量0.0</w:t>
            </w:r>
            <w:r>
              <w:rPr>
                <w:rFonts w:hint="eastAsia" w:ascii="Times New Roman" w:hAnsi="Times New Roman" w:cs="Times New Roman"/>
                <w:color w:val="auto"/>
                <w:kern w:val="0"/>
                <w:sz w:val="24"/>
                <w:szCs w:val="24"/>
                <w:highlight w:val="none"/>
                <w:u w:val="single"/>
                <w:lang w:val="en-US" w:eastAsia="zh-CN"/>
              </w:rPr>
              <w:t>247</w:t>
            </w:r>
            <w:r>
              <w:rPr>
                <w:rFonts w:hint="default" w:ascii="Times New Roman" w:hAnsi="Times New Roman" w:cs="Times New Roman"/>
                <w:color w:val="auto"/>
                <w:kern w:val="0"/>
                <w:sz w:val="24"/>
                <w:szCs w:val="24"/>
                <w:highlight w:val="none"/>
                <w:u w:val="single"/>
                <w:lang w:val="en-US" w:eastAsia="zh-CN"/>
              </w:rPr>
              <w:t>t/a。根据企业提供生产数据，项目防锈处理时间约</w:t>
            </w:r>
            <w:r>
              <w:rPr>
                <w:rFonts w:hint="eastAsia" w:ascii="Times New Roman" w:hAnsi="Times New Roman" w:cs="Times New Roman"/>
                <w:color w:val="auto"/>
                <w:kern w:val="0"/>
                <w:sz w:val="24"/>
                <w:szCs w:val="24"/>
                <w:highlight w:val="none"/>
                <w:u w:val="single"/>
                <w:lang w:val="en-US" w:eastAsia="zh-CN"/>
              </w:rPr>
              <w:t>8</w:t>
            </w:r>
            <w:r>
              <w:rPr>
                <w:rFonts w:hint="default" w:ascii="Times New Roman" w:hAnsi="Times New Roman" w:cs="Times New Roman"/>
                <w:color w:val="auto"/>
                <w:kern w:val="0"/>
                <w:sz w:val="24"/>
                <w:szCs w:val="24"/>
                <w:highlight w:val="none"/>
                <w:u w:val="single"/>
                <w:lang w:val="en-US" w:eastAsia="zh-CN"/>
              </w:rPr>
              <w:t>00h。</w:t>
            </w:r>
          </w:p>
          <w:p w14:paraId="71BE15CD">
            <w:pPr>
              <w:numPr>
                <w:ilvl w:val="0"/>
                <w:numId w:val="0"/>
              </w:numPr>
              <w:adjustRightInd w:val="0"/>
              <w:snapToGrid w:val="0"/>
              <w:spacing w:line="520" w:lineRule="exact"/>
              <w:ind w:left="0" w:leftChars="0" w:firstLine="482" w:firstLineChars="200"/>
              <w:jc w:val="both"/>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1.1.3 危废间废气</w:t>
            </w:r>
          </w:p>
          <w:p w14:paraId="0D233989">
            <w:pPr>
              <w:numPr>
                <w:ilvl w:val="0"/>
                <w:numId w:val="0"/>
              </w:numPr>
              <w:adjustRightInd w:val="0"/>
              <w:snapToGrid w:val="0"/>
              <w:spacing w:line="520" w:lineRule="exact"/>
              <w:ind w:left="0" w:leftChars="0" w:firstLine="480" w:firstLineChars="20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运营期危险废物经分类收集后均存放于密闭容器内，储存过程中不进行处理和分装，基本无废气产生，危险废物暂存过程中可能会挥发产生少量的有机废气，因产生量较少，且均在密闭房间内密闭存储，本次评价不对危废暂存间废气进行定量分析。危废暂存间废气通过管道连接到主管道，在管道上安装风阀，风阀一般处于关闭状态，定时开启风阀，换气后关闭风阀，故危废暂存间收集系统风量不计入活性炭</w:t>
            </w:r>
            <w:r>
              <w:rPr>
                <w:rFonts w:hint="eastAsia" w:cs="Times New Roman"/>
                <w:b w:val="0"/>
                <w:bCs w:val="0"/>
                <w:color w:val="auto"/>
                <w:sz w:val="24"/>
                <w:szCs w:val="24"/>
                <w:highlight w:val="none"/>
                <w:lang w:val="en-US" w:eastAsia="zh-CN"/>
              </w:rPr>
              <w:t>+分子筛</w:t>
            </w:r>
            <w:r>
              <w:rPr>
                <w:rFonts w:hint="default" w:ascii="Times New Roman" w:hAnsi="Times New Roman" w:cs="Times New Roman"/>
                <w:b w:val="0"/>
                <w:bCs w:val="0"/>
                <w:color w:val="auto"/>
                <w:sz w:val="24"/>
                <w:szCs w:val="24"/>
                <w:highlight w:val="none"/>
                <w:lang w:val="en-US" w:eastAsia="zh-CN"/>
              </w:rPr>
              <w:t>吸附装置废气收集风量。</w:t>
            </w:r>
          </w:p>
          <w:p w14:paraId="4AF553FA">
            <w:pPr>
              <w:numPr>
                <w:ilvl w:val="0"/>
                <w:numId w:val="0"/>
              </w:numPr>
              <w:adjustRightInd w:val="0"/>
              <w:snapToGrid w:val="0"/>
              <w:spacing w:line="520" w:lineRule="exact"/>
              <w:ind w:left="0" w:leftChars="0" w:firstLine="480" w:firstLineChars="20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项目废气污染源源强核算结果见下表。</w:t>
            </w:r>
          </w:p>
          <w:p w14:paraId="456EDDF6">
            <w:pPr>
              <w:numPr>
                <w:ilvl w:val="0"/>
                <w:numId w:val="0"/>
              </w:numPr>
              <w:adjustRightInd w:val="0"/>
              <w:snapToGrid w:val="0"/>
              <w:spacing w:line="520" w:lineRule="exact"/>
              <w:ind w:left="0" w:leftChars="0" w:firstLine="600" w:firstLineChars="200"/>
              <w:jc w:val="both"/>
              <w:rPr>
                <w:rFonts w:hint="default" w:ascii="Times New Roman" w:hAnsi="Times New Roman" w:eastAsia="宋体" w:cs="Times New Roman"/>
                <w:snapToGrid w:val="0"/>
                <w:color w:val="auto"/>
                <w:sz w:val="30"/>
                <w:szCs w:val="30"/>
                <w:highlight w:val="none"/>
                <w:vertAlign w:val="baseline"/>
                <w:lang w:val="en-US"/>
              </w:rPr>
            </w:pPr>
          </w:p>
        </w:tc>
      </w:tr>
    </w:tbl>
    <w:p w14:paraId="18D1CB24">
      <w:pPr>
        <w:pStyle w:val="25"/>
        <w:keepNext w:val="0"/>
        <w:keepLines w:val="0"/>
        <w:pageBreakBefore w:val="0"/>
        <w:widowControl/>
        <w:kinsoku/>
        <w:wordWrap/>
        <w:overflowPunct/>
        <w:topLinePunct w:val="0"/>
        <w:autoSpaceDE/>
        <w:autoSpaceDN/>
        <w:bidi w:val="0"/>
        <w:adjustRightInd/>
        <w:snapToGrid/>
        <w:spacing w:after="157" w:afterLines="50" w:afterAutospacing="0"/>
        <w:jc w:val="center"/>
        <w:textAlignment w:val="auto"/>
        <w:outlineLvl w:val="0"/>
        <w:rPr>
          <w:rFonts w:hint="default" w:ascii="Times New Roman" w:hAnsi="Times New Roman" w:eastAsia="宋体" w:cs="Times New Roman"/>
          <w:snapToGrid w:val="0"/>
          <w:color w:val="auto"/>
          <w:sz w:val="30"/>
          <w:szCs w:val="30"/>
          <w:highlight w:val="none"/>
        </w:rPr>
        <w:sectPr>
          <w:pgSz w:w="11907" w:h="16840"/>
          <w:pgMar w:top="1440" w:right="1800" w:bottom="1440" w:left="1800" w:header="851" w:footer="851" w:gutter="0"/>
          <w:pgNumType w:fmt="decimal"/>
          <w:cols w:space="720" w:num="1"/>
          <w:docGrid w:linePitch="312" w:charSpace="0"/>
        </w:sectPr>
      </w:pP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12980"/>
      </w:tblGrid>
      <w:tr w14:paraId="3B5C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3" w:hRule="atLeast"/>
        </w:trPr>
        <w:tc>
          <w:tcPr>
            <w:tcW w:w="177" w:type="pct"/>
            <w:vAlign w:val="center"/>
          </w:tcPr>
          <w:p w14:paraId="726496A2">
            <w:pPr>
              <w:bidi w:val="0"/>
              <w:jc w:val="center"/>
              <w:rPr>
                <w:rFonts w:hint="default" w:ascii="Times New Roman" w:hAnsi="Times New Roman" w:eastAsia="宋体" w:cs="Times New Roman"/>
                <w:snapToGrid w:val="0"/>
                <w:color w:val="auto"/>
                <w:sz w:val="30"/>
                <w:szCs w:val="30"/>
                <w:highlight w:val="none"/>
                <w:vertAlign w:val="baseline"/>
              </w:rPr>
            </w:pPr>
          </w:p>
        </w:tc>
        <w:tc>
          <w:tcPr>
            <w:tcW w:w="4822" w:type="pct"/>
          </w:tcPr>
          <w:p w14:paraId="6DAAD2B6">
            <w:pPr>
              <w:numPr>
                <w:ilvl w:val="0"/>
                <w:numId w:val="0"/>
              </w:numPr>
              <w:adjustRightInd w:val="0"/>
              <w:snapToGrid w:val="0"/>
              <w:spacing w:line="5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表4-3   </w:t>
            </w:r>
            <w:r>
              <w:rPr>
                <w:rFonts w:hint="eastAsia" w:ascii="Times New Roman" w:hAnsi="Times New Roman" w:eastAsia="宋体" w:cs="Times New Roman"/>
                <w:color w:val="auto"/>
                <w:sz w:val="21"/>
                <w:szCs w:val="20"/>
                <w:highlight w:val="none"/>
                <w:lang w:val="en-US" w:eastAsia="zh-CN"/>
              </w:rPr>
              <w:t>废气污染源源强核算结果一览表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716"/>
              <w:gridCol w:w="954"/>
              <w:gridCol w:w="913"/>
              <w:gridCol w:w="1117"/>
              <w:gridCol w:w="913"/>
              <w:gridCol w:w="760"/>
              <w:gridCol w:w="1390"/>
              <w:gridCol w:w="905"/>
              <w:gridCol w:w="867"/>
              <w:gridCol w:w="1099"/>
              <w:gridCol w:w="1135"/>
              <w:gridCol w:w="895"/>
            </w:tblGrid>
            <w:tr w14:paraId="2B42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26" w:type="pct"/>
                  <w:vMerge w:val="restart"/>
                  <w:noWrap w:val="0"/>
                  <w:vAlign w:val="center"/>
                </w:tcPr>
                <w:p w14:paraId="0170ECF6">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产排污</w:t>
                  </w:r>
                  <w:r>
                    <w:rPr>
                      <w:rFonts w:hint="eastAsia" w:cs="Times New Roman"/>
                      <w:color w:val="auto"/>
                      <w:sz w:val="21"/>
                      <w:szCs w:val="21"/>
                      <w:highlight w:val="none"/>
                      <w:vertAlign w:val="baseline"/>
                      <w:lang w:val="en-US" w:eastAsia="zh-CN"/>
                    </w:rPr>
                    <w:t xml:space="preserve"> </w:t>
                  </w:r>
                  <w:r>
                    <w:rPr>
                      <w:rFonts w:hint="eastAsia" w:ascii="Times New Roman" w:hAnsi="Times New Roman" w:eastAsia="宋体" w:cs="Times New Roman"/>
                      <w:color w:val="auto"/>
                      <w:sz w:val="21"/>
                      <w:szCs w:val="21"/>
                      <w:highlight w:val="none"/>
                      <w:vertAlign w:val="baseline"/>
                      <w:lang w:val="en-US" w:eastAsia="zh-CN"/>
                    </w:rPr>
                    <w:t>环节</w:t>
                  </w:r>
                </w:p>
              </w:tc>
              <w:tc>
                <w:tcPr>
                  <w:tcW w:w="281" w:type="pct"/>
                  <w:vMerge w:val="restart"/>
                  <w:noWrap w:val="0"/>
                  <w:vAlign w:val="center"/>
                </w:tcPr>
                <w:p w14:paraId="1D95D6E1">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排放方式</w:t>
                  </w:r>
                </w:p>
              </w:tc>
              <w:tc>
                <w:tcPr>
                  <w:tcW w:w="374" w:type="pct"/>
                  <w:vMerge w:val="restart"/>
                  <w:noWrap w:val="0"/>
                  <w:vAlign w:val="center"/>
                </w:tcPr>
                <w:p w14:paraId="128414FC">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污染物</w:t>
                  </w:r>
                </w:p>
              </w:tc>
              <w:tc>
                <w:tcPr>
                  <w:tcW w:w="1154" w:type="pct"/>
                  <w:gridSpan w:val="3"/>
                  <w:noWrap w:val="0"/>
                  <w:vAlign w:val="center"/>
                </w:tcPr>
                <w:p w14:paraId="1923A5DE">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污染物产生情况</w:t>
                  </w:r>
                </w:p>
              </w:tc>
              <w:tc>
                <w:tcPr>
                  <w:tcW w:w="1198" w:type="pct"/>
                  <w:gridSpan w:val="3"/>
                  <w:noWrap w:val="0"/>
                  <w:vAlign w:val="center"/>
                </w:tcPr>
                <w:p w14:paraId="74E43B4C">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污染物治理设施</w:t>
                  </w:r>
                </w:p>
              </w:tc>
              <w:tc>
                <w:tcPr>
                  <w:tcW w:w="1216" w:type="pct"/>
                  <w:gridSpan w:val="3"/>
                  <w:noWrap w:val="0"/>
                  <w:vAlign w:val="center"/>
                </w:tcPr>
                <w:p w14:paraId="48BC4E29">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污染物排放情况</w:t>
                  </w:r>
                </w:p>
              </w:tc>
              <w:tc>
                <w:tcPr>
                  <w:tcW w:w="349" w:type="pct"/>
                  <w:vMerge w:val="restart"/>
                  <w:noWrap w:val="0"/>
                  <w:vAlign w:val="center"/>
                </w:tcPr>
                <w:p w14:paraId="2C2978E1">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排气筒编号</w:t>
                  </w:r>
                </w:p>
              </w:tc>
            </w:tr>
            <w:tr w14:paraId="2F0E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26" w:type="pct"/>
                  <w:vMerge w:val="continue"/>
                  <w:noWrap w:val="0"/>
                  <w:vAlign w:val="center"/>
                </w:tcPr>
                <w:p w14:paraId="2BE28226">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81" w:type="pct"/>
                  <w:vMerge w:val="continue"/>
                  <w:noWrap w:val="0"/>
                  <w:vAlign w:val="center"/>
                </w:tcPr>
                <w:p w14:paraId="3918F281">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374" w:type="pct"/>
                  <w:vMerge w:val="continue"/>
                  <w:noWrap w:val="0"/>
                  <w:vAlign w:val="center"/>
                </w:tcPr>
                <w:p w14:paraId="1E3DF969">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358" w:type="pct"/>
                  <w:noWrap w:val="0"/>
                  <w:vAlign w:val="center"/>
                </w:tcPr>
                <w:p w14:paraId="1C23762E">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量</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t/a</w:t>
                  </w:r>
                </w:p>
              </w:tc>
              <w:tc>
                <w:tcPr>
                  <w:tcW w:w="438" w:type="pct"/>
                  <w:noWrap w:val="0"/>
                  <w:vAlign w:val="center"/>
                </w:tcPr>
                <w:p w14:paraId="29568AAB">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速率</w:t>
                  </w:r>
                  <w:r>
                    <w:rPr>
                      <w:rFonts w:hint="eastAsia" w:cs="Times New Roman"/>
                      <w:color w:val="auto"/>
                      <w:sz w:val="21"/>
                      <w:szCs w:val="21"/>
                      <w:highlight w:val="none"/>
                      <w:vertAlign w:val="baseline"/>
                      <w:lang w:val="en-US" w:eastAsia="zh-CN"/>
                    </w:rPr>
                    <w:t>（大值）/</w:t>
                  </w:r>
                  <w:r>
                    <w:rPr>
                      <w:rFonts w:hint="default" w:ascii="Times New Roman" w:hAnsi="Times New Roman" w:eastAsia="宋体" w:cs="Times New Roman"/>
                      <w:color w:val="auto"/>
                      <w:sz w:val="21"/>
                      <w:szCs w:val="21"/>
                      <w:highlight w:val="none"/>
                      <w:vertAlign w:val="baseline"/>
                      <w:lang w:val="en-US" w:eastAsia="zh-CN"/>
                    </w:rPr>
                    <w:t>kg/h</w:t>
                  </w:r>
                </w:p>
              </w:tc>
              <w:tc>
                <w:tcPr>
                  <w:tcW w:w="358" w:type="pct"/>
                  <w:noWrap w:val="0"/>
                  <w:vAlign w:val="center"/>
                </w:tcPr>
                <w:p w14:paraId="20E2A883">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浓度</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298" w:type="pct"/>
                  <w:noWrap w:val="0"/>
                  <w:vAlign w:val="center"/>
                </w:tcPr>
                <w:p w14:paraId="13444971">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风量/m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/h</w:t>
                  </w:r>
                </w:p>
              </w:tc>
              <w:tc>
                <w:tcPr>
                  <w:tcW w:w="545" w:type="pct"/>
                  <w:noWrap w:val="0"/>
                  <w:vAlign w:val="center"/>
                </w:tcPr>
                <w:p w14:paraId="544FEF69">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措施</w:t>
                  </w:r>
                </w:p>
              </w:tc>
              <w:tc>
                <w:tcPr>
                  <w:tcW w:w="354" w:type="pct"/>
                  <w:noWrap w:val="0"/>
                  <w:vAlign w:val="center"/>
                </w:tcPr>
                <w:p w14:paraId="4C3E8A85">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去除效率</w:t>
                  </w:r>
                  <w:r>
                    <w:rPr>
                      <w:rFonts w:hint="eastAsia" w:cs="Times New Roman"/>
                      <w:color w:val="auto"/>
                      <w:sz w:val="21"/>
                      <w:szCs w:val="21"/>
                      <w:highlight w:val="none"/>
                      <w:vertAlign w:val="baseline"/>
                      <w:lang w:val="en-US" w:eastAsia="zh-CN"/>
                    </w:rPr>
                    <w:t>/%</w:t>
                  </w:r>
                </w:p>
              </w:tc>
              <w:tc>
                <w:tcPr>
                  <w:tcW w:w="340" w:type="pct"/>
                  <w:noWrap w:val="0"/>
                  <w:vAlign w:val="center"/>
                </w:tcPr>
                <w:p w14:paraId="794EAC94">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排放量</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t/a</w:t>
                  </w:r>
                </w:p>
              </w:tc>
              <w:tc>
                <w:tcPr>
                  <w:tcW w:w="431" w:type="pct"/>
                  <w:noWrap w:val="0"/>
                  <w:vAlign w:val="center"/>
                </w:tcPr>
                <w:p w14:paraId="2447CC9A">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速率</w:t>
                  </w:r>
                  <w:r>
                    <w:rPr>
                      <w:rFonts w:hint="eastAsia" w:cs="Times New Roman"/>
                      <w:color w:val="auto"/>
                      <w:sz w:val="21"/>
                      <w:szCs w:val="21"/>
                      <w:highlight w:val="none"/>
                      <w:vertAlign w:val="baseline"/>
                      <w:lang w:val="en-US" w:eastAsia="zh-CN"/>
                    </w:rPr>
                    <w:t>（大值）/</w:t>
                  </w:r>
                  <w:r>
                    <w:rPr>
                      <w:rFonts w:hint="default" w:ascii="Times New Roman" w:hAnsi="Times New Roman" w:eastAsia="宋体" w:cs="Times New Roman"/>
                      <w:color w:val="auto"/>
                      <w:sz w:val="21"/>
                      <w:szCs w:val="21"/>
                      <w:highlight w:val="none"/>
                      <w:vertAlign w:val="baseline"/>
                      <w:lang w:val="en-US" w:eastAsia="zh-CN"/>
                    </w:rPr>
                    <w:t>kg/h</w:t>
                  </w:r>
                </w:p>
              </w:tc>
              <w:tc>
                <w:tcPr>
                  <w:tcW w:w="445" w:type="pct"/>
                  <w:noWrap w:val="0"/>
                  <w:vAlign w:val="center"/>
                </w:tcPr>
                <w:p w14:paraId="19623ECB">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浓度</w:t>
                  </w:r>
                  <w:r>
                    <w:rPr>
                      <w:rFonts w:hint="eastAsia" w:cs="Times New Roman"/>
                      <w:color w:val="auto"/>
                      <w:sz w:val="21"/>
                      <w:szCs w:val="21"/>
                      <w:highlight w:val="none"/>
                      <w:vertAlign w:val="baseline"/>
                      <w:lang w:val="en-US" w:eastAsia="zh-CN"/>
                    </w:rPr>
                    <w:t>（大值）</w:t>
                  </w:r>
                  <w:r>
                    <w:rPr>
                      <w:rFonts w:hint="default" w:ascii="Times New Roman" w:hAnsi="Times New Roman" w:eastAsia="宋体" w:cs="Times New Roman"/>
                      <w:color w:val="auto"/>
                      <w:sz w:val="21"/>
                      <w:szCs w:val="21"/>
                      <w:highlight w:val="none"/>
                      <w:vertAlign w:val="baseli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349" w:type="pct"/>
                  <w:vMerge w:val="continue"/>
                  <w:noWrap w:val="0"/>
                  <w:vAlign w:val="center"/>
                </w:tcPr>
                <w:p w14:paraId="3B3B7FBF">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14:paraId="787E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426" w:type="pct"/>
                  <w:noWrap w:val="0"/>
                  <w:vAlign w:val="center"/>
                </w:tcPr>
                <w:p w14:paraId="57A01A0F">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切割工序</w:t>
                  </w:r>
                </w:p>
              </w:tc>
              <w:tc>
                <w:tcPr>
                  <w:tcW w:w="281" w:type="pct"/>
                  <w:noWrap w:val="0"/>
                  <w:vAlign w:val="center"/>
                </w:tcPr>
                <w:p w14:paraId="014B5DFC">
                  <w:pPr>
                    <w:keepNext w:val="0"/>
                    <w:keepLines w:val="0"/>
                    <w:pageBreakBefore w:val="0"/>
                    <w:widowControl/>
                    <w:suppressLineNumbers w:val="0"/>
                    <w:kinsoku/>
                    <w:wordWrap/>
                    <w:overflowPunct/>
                    <w:topLinePunct w:val="0"/>
                    <w:autoSpaceDE/>
                    <w:autoSpaceDN/>
                    <w:bidi w:val="0"/>
                    <w:adjustRightInd/>
                    <w:spacing w:before="48" w:beforeLines="15" w:after="48" w:afterLines="15"/>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有组织</w:t>
                  </w:r>
                </w:p>
              </w:tc>
              <w:tc>
                <w:tcPr>
                  <w:tcW w:w="374" w:type="pct"/>
                  <w:noWrap w:val="0"/>
                  <w:vAlign w:val="center"/>
                </w:tcPr>
                <w:p w14:paraId="304BB0D6">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颗粒物</w:t>
                  </w:r>
                </w:p>
              </w:tc>
              <w:tc>
                <w:tcPr>
                  <w:tcW w:w="913" w:type="dxa"/>
                  <w:noWrap w:val="0"/>
                  <w:vAlign w:val="center"/>
                </w:tcPr>
                <w:p w14:paraId="76E60622">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4.9500 </w:t>
                  </w:r>
                </w:p>
              </w:tc>
              <w:tc>
                <w:tcPr>
                  <w:tcW w:w="1117" w:type="dxa"/>
                  <w:noWrap w:val="0"/>
                  <w:vAlign w:val="center"/>
                </w:tcPr>
                <w:p w14:paraId="0C0A6233">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2.0625 </w:t>
                  </w:r>
                </w:p>
              </w:tc>
              <w:tc>
                <w:tcPr>
                  <w:tcW w:w="913" w:type="dxa"/>
                  <w:noWrap w:val="0"/>
                  <w:vAlign w:val="center"/>
                </w:tcPr>
                <w:p w14:paraId="3A549FB1">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25.78 </w:t>
                  </w:r>
                </w:p>
              </w:tc>
              <w:tc>
                <w:tcPr>
                  <w:tcW w:w="298" w:type="pct"/>
                  <w:vMerge w:val="restart"/>
                  <w:noWrap w:val="0"/>
                  <w:vAlign w:val="center"/>
                </w:tcPr>
                <w:p w14:paraId="1AD615F6">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80000</w:t>
                  </w:r>
                </w:p>
              </w:tc>
              <w:tc>
                <w:tcPr>
                  <w:tcW w:w="545" w:type="pct"/>
                  <w:vMerge w:val="restart"/>
                  <w:noWrap w:val="0"/>
                  <w:vAlign w:val="center"/>
                </w:tcPr>
                <w:p w14:paraId="0A5B0C09">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袋式除尘</w:t>
                  </w:r>
                </w:p>
              </w:tc>
              <w:tc>
                <w:tcPr>
                  <w:tcW w:w="354" w:type="pct"/>
                  <w:vMerge w:val="restart"/>
                  <w:noWrap w:val="0"/>
                  <w:vAlign w:val="center"/>
                </w:tcPr>
                <w:p w14:paraId="7939595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99</w:t>
                  </w:r>
                </w:p>
              </w:tc>
              <w:tc>
                <w:tcPr>
                  <w:tcW w:w="340" w:type="pct"/>
                  <w:vMerge w:val="restart"/>
                  <w:noWrap w:val="0"/>
                  <w:vAlign w:val="center"/>
                </w:tcPr>
                <w:p w14:paraId="4795BA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0.0502</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431" w:type="pct"/>
                  <w:vMerge w:val="restart"/>
                  <w:noWrap w:val="0"/>
                  <w:vAlign w:val="center"/>
                </w:tcPr>
                <w:p w14:paraId="7C1EC6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0.0212</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445" w:type="pct"/>
                  <w:vMerge w:val="restart"/>
                  <w:noWrap w:val="0"/>
                  <w:vAlign w:val="center"/>
                </w:tcPr>
                <w:p w14:paraId="03006C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27</w:t>
                  </w:r>
                </w:p>
              </w:tc>
              <w:tc>
                <w:tcPr>
                  <w:tcW w:w="349" w:type="pct"/>
                  <w:vMerge w:val="restart"/>
                  <w:noWrap w:val="0"/>
                  <w:vAlign w:val="center"/>
                </w:tcPr>
                <w:p w14:paraId="3A639580">
                  <w:pPr>
                    <w:keepNext w:val="0"/>
                    <w:keepLines w:val="0"/>
                    <w:pageBreakBefore w:val="0"/>
                    <w:widowControl/>
                    <w:suppressLineNumbers w:val="0"/>
                    <w:kinsoku/>
                    <w:wordWrap/>
                    <w:overflowPunct/>
                    <w:topLinePunct w:val="0"/>
                    <w:autoSpaceDE/>
                    <w:autoSpaceDN/>
                    <w:bidi w:val="0"/>
                    <w:adjustRightInd/>
                    <w:spacing w:before="48" w:beforeLines="15" w:after="48" w:afterLines="15"/>
                    <w:jc w:val="center"/>
                    <w:textAlignment w:val="auto"/>
                    <w:rPr>
                      <w:rFonts w:hint="default"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DA001</w:t>
                  </w:r>
                </w:p>
              </w:tc>
            </w:tr>
            <w:tr w14:paraId="3249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426" w:type="pct"/>
                  <w:noWrap w:val="0"/>
                  <w:vAlign w:val="center"/>
                </w:tcPr>
                <w:p w14:paraId="383F3F59">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焊接工序</w:t>
                  </w:r>
                </w:p>
              </w:tc>
              <w:tc>
                <w:tcPr>
                  <w:tcW w:w="281" w:type="pct"/>
                  <w:noWrap w:val="0"/>
                  <w:vAlign w:val="center"/>
                </w:tcPr>
                <w:p w14:paraId="636EA6AB">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cs="Times New Roman"/>
                      <w:b w:val="0"/>
                      <w:bCs w:val="0"/>
                      <w:color w:val="auto"/>
                      <w:sz w:val="21"/>
                      <w:szCs w:val="21"/>
                      <w:highlight w:val="none"/>
                      <w:u w:val="none"/>
                      <w:lang w:val="en-US" w:eastAsia="zh-CN"/>
                    </w:rPr>
                  </w:pPr>
                  <w:r>
                    <w:rPr>
                      <w:rFonts w:hint="eastAsia" w:cs="Times New Roman"/>
                      <w:color w:val="auto"/>
                      <w:kern w:val="0"/>
                      <w:sz w:val="21"/>
                      <w:szCs w:val="21"/>
                      <w:highlight w:val="none"/>
                      <w:vertAlign w:val="baseline"/>
                      <w:lang w:val="en-US" w:eastAsia="zh-CN" w:bidi="ar-SA"/>
                    </w:rPr>
                    <w:t>有组织</w:t>
                  </w:r>
                </w:p>
              </w:tc>
              <w:tc>
                <w:tcPr>
                  <w:tcW w:w="374" w:type="pct"/>
                  <w:noWrap w:val="0"/>
                  <w:vAlign w:val="center"/>
                </w:tcPr>
                <w:p w14:paraId="4BED5079">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颗粒物</w:t>
                  </w:r>
                </w:p>
              </w:tc>
              <w:tc>
                <w:tcPr>
                  <w:tcW w:w="913" w:type="dxa"/>
                  <w:noWrap w:val="0"/>
                  <w:vAlign w:val="center"/>
                </w:tcPr>
                <w:p w14:paraId="09AF36C4">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0.0662 </w:t>
                  </w:r>
                </w:p>
              </w:tc>
              <w:tc>
                <w:tcPr>
                  <w:tcW w:w="1117" w:type="dxa"/>
                  <w:noWrap w:val="0"/>
                  <w:vAlign w:val="center"/>
                </w:tcPr>
                <w:p w14:paraId="765F783C">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0.0552 </w:t>
                  </w:r>
                </w:p>
              </w:tc>
              <w:tc>
                <w:tcPr>
                  <w:tcW w:w="913" w:type="dxa"/>
                  <w:noWrap w:val="0"/>
                  <w:vAlign w:val="center"/>
                </w:tcPr>
                <w:p w14:paraId="6ABDF151">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0.69 </w:t>
                  </w:r>
                </w:p>
              </w:tc>
              <w:tc>
                <w:tcPr>
                  <w:tcW w:w="298" w:type="pct"/>
                  <w:vMerge w:val="continue"/>
                  <w:noWrap w:val="0"/>
                  <w:vAlign w:val="center"/>
                </w:tcPr>
                <w:p w14:paraId="067C0436">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45" w:type="pct"/>
                  <w:vMerge w:val="continue"/>
                  <w:noWrap w:val="0"/>
                  <w:vAlign w:val="center"/>
                </w:tcPr>
                <w:p w14:paraId="744415A3">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354" w:type="pct"/>
                  <w:vMerge w:val="continue"/>
                  <w:noWrap w:val="0"/>
                  <w:vAlign w:val="center"/>
                </w:tcPr>
                <w:p w14:paraId="71AE724D">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340" w:type="pct"/>
                  <w:vMerge w:val="continue"/>
                  <w:noWrap w:val="0"/>
                  <w:vAlign w:val="center"/>
                </w:tcPr>
                <w:p w14:paraId="309E9499">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1" w:type="pct"/>
                  <w:vMerge w:val="continue"/>
                  <w:noWrap w:val="0"/>
                  <w:vAlign w:val="center"/>
                </w:tcPr>
                <w:p w14:paraId="290C41EA">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45" w:type="pct"/>
                  <w:vMerge w:val="continue"/>
                  <w:noWrap w:val="0"/>
                  <w:vAlign w:val="center"/>
                </w:tcPr>
                <w:p w14:paraId="5A0DBC17">
                  <w:pPr>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349" w:type="pct"/>
                  <w:vMerge w:val="continue"/>
                  <w:noWrap w:val="0"/>
                  <w:vAlign w:val="center"/>
                </w:tcPr>
                <w:p w14:paraId="5E07B871">
                  <w:pPr>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cs="Times New Roman"/>
                      <w:color w:val="auto"/>
                      <w:kern w:val="0"/>
                      <w:sz w:val="21"/>
                      <w:szCs w:val="21"/>
                      <w:highlight w:val="none"/>
                      <w:vertAlign w:val="baseline"/>
                      <w:lang w:val="en-US" w:eastAsia="zh-CN" w:bidi="ar-SA"/>
                    </w:rPr>
                  </w:pPr>
                </w:p>
              </w:tc>
            </w:tr>
            <w:tr w14:paraId="3F59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426" w:type="pct"/>
                  <w:noWrap w:val="0"/>
                  <w:vAlign w:val="center"/>
                </w:tcPr>
                <w:p w14:paraId="7264161B">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防锈工序</w:t>
                  </w:r>
                </w:p>
              </w:tc>
              <w:tc>
                <w:tcPr>
                  <w:tcW w:w="281" w:type="pct"/>
                  <w:noWrap w:val="0"/>
                  <w:vAlign w:val="center"/>
                </w:tcPr>
                <w:p w14:paraId="3C2B32F9">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有组织</w:t>
                  </w:r>
                </w:p>
              </w:tc>
              <w:tc>
                <w:tcPr>
                  <w:tcW w:w="374" w:type="pct"/>
                  <w:noWrap w:val="0"/>
                  <w:vAlign w:val="center"/>
                </w:tcPr>
                <w:p w14:paraId="31611440">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非甲烷总烃</w:t>
                  </w:r>
                </w:p>
              </w:tc>
              <w:tc>
                <w:tcPr>
                  <w:tcW w:w="913" w:type="dxa"/>
                  <w:noWrap w:val="0"/>
                  <w:vAlign w:val="center"/>
                </w:tcPr>
                <w:p w14:paraId="5DD6EDFB">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0.4688</w:t>
                  </w:r>
                </w:p>
              </w:tc>
              <w:tc>
                <w:tcPr>
                  <w:tcW w:w="1117" w:type="dxa"/>
                  <w:noWrap w:val="0"/>
                  <w:vAlign w:val="center"/>
                </w:tcPr>
                <w:p w14:paraId="29CACD4E">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0.5860</w:t>
                  </w:r>
                </w:p>
              </w:tc>
              <w:tc>
                <w:tcPr>
                  <w:tcW w:w="913" w:type="dxa"/>
                  <w:noWrap w:val="0"/>
                  <w:vAlign w:val="center"/>
                </w:tcPr>
                <w:p w14:paraId="5C22D4E1">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65.11 </w:t>
                  </w:r>
                </w:p>
              </w:tc>
              <w:tc>
                <w:tcPr>
                  <w:tcW w:w="298" w:type="pct"/>
                  <w:noWrap w:val="0"/>
                  <w:vAlign w:val="center"/>
                </w:tcPr>
                <w:p w14:paraId="78ED63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90</w:t>
                  </w:r>
                  <w:r>
                    <w:rPr>
                      <w:rFonts w:hint="eastAsia" w:ascii="Times New Roman" w:hAnsi="Times New Roman" w:eastAsia="宋体" w:cs="Times New Roman"/>
                      <w:i w:val="0"/>
                      <w:iCs w:val="0"/>
                      <w:color w:val="auto"/>
                      <w:kern w:val="0"/>
                      <w:sz w:val="21"/>
                      <w:szCs w:val="21"/>
                      <w:u w:val="none"/>
                      <w:lang w:val="en-US" w:eastAsia="zh-CN" w:bidi="ar"/>
                    </w:rPr>
                    <w:t>00</w:t>
                  </w:r>
                </w:p>
              </w:tc>
              <w:tc>
                <w:tcPr>
                  <w:tcW w:w="545" w:type="pct"/>
                  <w:noWrap w:val="0"/>
                  <w:vAlign w:val="center"/>
                </w:tcPr>
                <w:p w14:paraId="7F0BD703">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活性炭+分子筛吸附</w:t>
                  </w:r>
                </w:p>
              </w:tc>
              <w:tc>
                <w:tcPr>
                  <w:tcW w:w="354" w:type="pct"/>
                  <w:noWrap w:val="0"/>
                  <w:vAlign w:val="center"/>
                </w:tcPr>
                <w:p w14:paraId="5EA12469">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90</w:t>
                  </w:r>
                </w:p>
              </w:tc>
              <w:tc>
                <w:tcPr>
                  <w:tcW w:w="867" w:type="dxa"/>
                  <w:noWrap w:val="0"/>
                  <w:vAlign w:val="center"/>
                </w:tcPr>
                <w:p w14:paraId="782E11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w:t>
                  </w:r>
                  <w:r>
                    <w:rPr>
                      <w:rFonts w:hint="eastAsia" w:cs="Times New Roman"/>
                      <w:i w:val="0"/>
                      <w:iCs w:val="0"/>
                      <w:color w:val="auto"/>
                      <w:kern w:val="0"/>
                      <w:sz w:val="21"/>
                      <w:szCs w:val="21"/>
                      <w:u w:val="none"/>
                      <w:lang w:val="en-US" w:eastAsia="zh-CN" w:bidi="ar"/>
                    </w:rPr>
                    <w:t>69</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099" w:type="dxa"/>
                  <w:noWrap w:val="0"/>
                  <w:vAlign w:val="center"/>
                </w:tcPr>
                <w:p w14:paraId="1D6CA1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0.0052</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135" w:type="dxa"/>
                  <w:noWrap w:val="0"/>
                  <w:vAlign w:val="center"/>
                </w:tcPr>
                <w:p w14:paraId="297E66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0.58</w:t>
                  </w:r>
                </w:p>
              </w:tc>
              <w:tc>
                <w:tcPr>
                  <w:tcW w:w="349" w:type="pct"/>
                  <w:noWrap w:val="0"/>
                  <w:vAlign w:val="center"/>
                </w:tcPr>
                <w:p w14:paraId="4E584767">
                  <w:pPr>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bidi="ar-SA"/>
                    </w:rPr>
                    <w:t>DA002</w:t>
                  </w:r>
                </w:p>
              </w:tc>
            </w:tr>
            <w:tr w14:paraId="24A9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426" w:type="pct"/>
                  <w:vMerge w:val="restart"/>
                  <w:noWrap w:val="0"/>
                  <w:vAlign w:val="center"/>
                </w:tcPr>
                <w:p w14:paraId="37421C3B">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厂界</w:t>
                  </w:r>
                  <w:r>
                    <w:rPr>
                      <w:rFonts w:hint="eastAsia" w:cs="Times New Roman"/>
                      <w:color w:val="auto"/>
                      <w:sz w:val="21"/>
                      <w:szCs w:val="21"/>
                      <w:highlight w:val="none"/>
                      <w:vertAlign w:val="superscript"/>
                      <w:lang w:val="en-US" w:eastAsia="zh-CN"/>
                    </w:rPr>
                    <w:t>①</w:t>
                  </w:r>
                </w:p>
              </w:tc>
              <w:tc>
                <w:tcPr>
                  <w:tcW w:w="281" w:type="pct"/>
                  <w:vMerge w:val="restart"/>
                  <w:noWrap w:val="0"/>
                  <w:vAlign w:val="center"/>
                </w:tcPr>
                <w:p w14:paraId="02A60D0A">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无组织</w:t>
                  </w:r>
                </w:p>
              </w:tc>
              <w:tc>
                <w:tcPr>
                  <w:tcW w:w="374" w:type="pct"/>
                  <w:noWrap w:val="0"/>
                  <w:vAlign w:val="center"/>
                </w:tcPr>
                <w:p w14:paraId="7F78822A">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颗粒物</w:t>
                  </w:r>
                </w:p>
              </w:tc>
              <w:tc>
                <w:tcPr>
                  <w:tcW w:w="358" w:type="pct"/>
                  <w:shd w:val="clear" w:color="auto" w:fill="auto"/>
                  <w:noWrap w:val="0"/>
                  <w:vAlign w:val="center"/>
                </w:tcPr>
                <w:p w14:paraId="2EC7BB2D">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0.5573</w:t>
                  </w:r>
                </w:p>
              </w:tc>
              <w:tc>
                <w:tcPr>
                  <w:tcW w:w="438" w:type="pct"/>
                  <w:noWrap w:val="0"/>
                  <w:vAlign w:val="center"/>
                </w:tcPr>
                <w:p w14:paraId="4B7E6F7C">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0.2353</w:t>
                  </w:r>
                </w:p>
              </w:tc>
              <w:tc>
                <w:tcPr>
                  <w:tcW w:w="358" w:type="pct"/>
                  <w:noWrap w:val="0"/>
                  <w:vAlign w:val="center"/>
                </w:tcPr>
                <w:p w14:paraId="1FC4E112">
                  <w:pPr>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298" w:type="pct"/>
                  <w:noWrap w:val="0"/>
                  <w:vAlign w:val="center"/>
                </w:tcPr>
                <w:p w14:paraId="0B4B2A4F">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545" w:type="pct"/>
                  <w:noWrap w:val="0"/>
                  <w:vAlign w:val="center"/>
                </w:tcPr>
                <w:p w14:paraId="0D6D7189">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车间密闭，</w:t>
                  </w:r>
                  <w:r>
                    <w:rPr>
                      <w:rFonts w:hint="eastAsia"/>
                      <w:color w:val="auto"/>
                      <w:sz w:val="21"/>
                      <w:szCs w:val="21"/>
                      <w:highlight w:val="none"/>
                      <w:lang w:val="en-US" w:eastAsia="zh-CN"/>
                    </w:rPr>
                    <w:t>定期清扫</w:t>
                  </w:r>
                </w:p>
              </w:tc>
              <w:tc>
                <w:tcPr>
                  <w:tcW w:w="354" w:type="pct"/>
                  <w:noWrap w:val="0"/>
                  <w:vAlign w:val="center"/>
                </w:tcPr>
                <w:p w14:paraId="3019DAFC">
                  <w:pPr>
                    <w:pStyle w:val="15"/>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70</w:t>
                  </w:r>
                </w:p>
              </w:tc>
              <w:tc>
                <w:tcPr>
                  <w:tcW w:w="867" w:type="dxa"/>
                  <w:noWrap w:val="0"/>
                  <w:vAlign w:val="center"/>
                </w:tcPr>
                <w:p w14:paraId="62DD6A1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0.1672</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099" w:type="dxa"/>
                  <w:noWrap w:val="0"/>
                  <w:vAlign w:val="center"/>
                </w:tcPr>
                <w:p w14:paraId="26C465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0.0706</w:t>
                  </w:r>
                </w:p>
              </w:tc>
              <w:tc>
                <w:tcPr>
                  <w:tcW w:w="445" w:type="pct"/>
                  <w:noWrap w:val="0"/>
                  <w:vAlign w:val="center"/>
                </w:tcPr>
                <w:p w14:paraId="3FF9B8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1.38E-0</w:t>
                  </w:r>
                  <w:r>
                    <w:rPr>
                      <w:rFonts w:hint="eastAsia" w:cs="Times New Roman"/>
                      <w:i w:val="0"/>
                      <w:iCs w:val="0"/>
                      <w:color w:val="auto"/>
                      <w:kern w:val="0"/>
                      <w:sz w:val="21"/>
                      <w:szCs w:val="21"/>
                      <w:highlight w:val="none"/>
                      <w:u w:val="none"/>
                      <w:lang w:val="en-US" w:eastAsia="zh-CN" w:bidi="ar"/>
                    </w:rPr>
                    <w:t>3</w:t>
                  </w:r>
                </w:p>
              </w:tc>
              <w:tc>
                <w:tcPr>
                  <w:tcW w:w="349" w:type="pct"/>
                  <w:noWrap w:val="0"/>
                  <w:vAlign w:val="center"/>
                </w:tcPr>
                <w:p w14:paraId="2762936F">
                  <w:pPr>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26E7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426" w:type="pct"/>
                  <w:vMerge w:val="continue"/>
                  <w:noWrap w:val="0"/>
                  <w:vAlign w:val="center"/>
                </w:tcPr>
                <w:p w14:paraId="51805C3A">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color w:val="auto"/>
                      <w:sz w:val="21"/>
                      <w:szCs w:val="21"/>
                      <w:highlight w:val="none"/>
                      <w:vertAlign w:val="baseline"/>
                      <w:lang w:val="en-US" w:eastAsia="zh-CN"/>
                    </w:rPr>
                  </w:pPr>
                </w:p>
              </w:tc>
              <w:tc>
                <w:tcPr>
                  <w:tcW w:w="281" w:type="pct"/>
                  <w:vMerge w:val="continue"/>
                  <w:noWrap w:val="0"/>
                  <w:vAlign w:val="center"/>
                </w:tcPr>
                <w:p w14:paraId="193475B2">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cs="Times New Roman"/>
                      <w:color w:val="auto"/>
                      <w:sz w:val="21"/>
                      <w:szCs w:val="21"/>
                      <w:highlight w:val="none"/>
                      <w:vertAlign w:val="baseline"/>
                      <w:lang w:val="en-US" w:eastAsia="zh-CN"/>
                    </w:rPr>
                  </w:pPr>
                </w:p>
              </w:tc>
              <w:tc>
                <w:tcPr>
                  <w:tcW w:w="374" w:type="pct"/>
                  <w:noWrap w:val="0"/>
                  <w:vAlign w:val="center"/>
                </w:tcPr>
                <w:p w14:paraId="28E0B35C">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非甲烷总烃</w:t>
                  </w:r>
                </w:p>
              </w:tc>
              <w:tc>
                <w:tcPr>
                  <w:tcW w:w="913" w:type="dxa"/>
                  <w:noWrap w:val="0"/>
                  <w:vAlign w:val="center"/>
                </w:tcPr>
                <w:p w14:paraId="39BAAA78">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0.0247</w:t>
                  </w:r>
                </w:p>
              </w:tc>
              <w:tc>
                <w:tcPr>
                  <w:tcW w:w="1117" w:type="dxa"/>
                  <w:noWrap w:val="0"/>
                  <w:vAlign w:val="center"/>
                </w:tcPr>
                <w:p w14:paraId="31452305">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0.0309</w:t>
                  </w:r>
                  <w:r>
                    <w:rPr>
                      <w:rFonts w:hint="eastAsia" w:ascii="Times New Roman" w:hAnsi="Times New Roman" w:eastAsia="宋体" w:cs="Times New Roman"/>
                      <w:color w:val="auto"/>
                      <w:sz w:val="21"/>
                      <w:szCs w:val="21"/>
                      <w:highlight w:val="none"/>
                      <w:vertAlign w:val="baseline"/>
                      <w:lang w:val="en-US" w:eastAsia="zh-CN"/>
                    </w:rPr>
                    <w:t xml:space="preserve"> </w:t>
                  </w:r>
                </w:p>
              </w:tc>
              <w:tc>
                <w:tcPr>
                  <w:tcW w:w="358" w:type="pct"/>
                  <w:noWrap w:val="0"/>
                  <w:vAlign w:val="center"/>
                </w:tcPr>
                <w:p w14:paraId="2A72E1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298" w:type="pct"/>
                  <w:noWrap w:val="0"/>
                  <w:vAlign w:val="center"/>
                </w:tcPr>
                <w:p w14:paraId="67E8E5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545" w:type="pct"/>
                  <w:noWrap w:val="0"/>
                  <w:vAlign w:val="center"/>
                </w:tcPr>
                <w:p w14:paraId="51825E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354" w:type="pct"/>
                  <w:noWrap w:val="0"/>
                  <w:vAlign w:val="center"/>
                </w:tcPr>
                <w:p w14:paraId="696379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867" w:type="dxa"/>
                  <w:shd w:val="clear" w:color="auto" w:fill="auto"/>
                  <w:noWrap w:val="0"/>
                  <w:vAlign w:val="center"/>
                </w:tcPr>
                <w:p w14:paraId="19341074">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vertAlign w:val="baseline"/>
                      <w:lang w:val="en-US" w:eastAsia="zh-CN"/>
                    </w:rPr>
                    <w:t>0.0247</w:t>
                  </w:r>
                </w:p>
              </w:tc>
              <w:tc>
                <w:tcPr>
                  <w:tcW w:w="1099" w:type="dxa"/>
                  <w:shd w:val="clear" w:color="auto" w:fill="auto"/>
                  <w:noWrap w:val="0"/>
                  <w:vAlign w:val="center"/>
                </w:tcPr>
                <w:p w14:paraId="16856A9C">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vertAlign w:val="baseline"/>
                      <w:lang w:val="en-US" w:eastAsia="zh-CN"/>
                    </w:rPr>
                    <w:t>0.0309</w:t>
                  </w:r>
                  <w:r>
                    <w:rPr>
                      <w:rFonts w:hint="eastAsia" w:ascii="Times New Roman" w:hAnsi="Times New Roman" w:eastAsia="宋体" w:cs="Times New Roman"/>
                      <w:color w:val="auto"/>
                      <w:sz w:val="21"/>
                      <w:szCs w:val="21"/>
                      <w:highlight w:val="none"/>
                      <w:vertAlign w:val="baseline"/>
                      <w:lang w:val="en-US" w:eastAsia="zh-CN"/>
                    </w:rPr>
                    <w:t xml:space="preserve"> </w:t>
                  </w:r>
                </w:p>
              </w:tc>
              <w:tc>
                <w:tcPr>
                  <w:tcW w:w="445" w:type="pct"/>
                  <w:noWrap w:val="0"/>
                  <w:vAlign w:val="center"/>
                </w:tcPr>
                <w:p w14:paraId="53350F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64</w:t>
                  </w:r>
                  <w:r>
                    <w:rPr>
                      <w:rFonts w:hint="default" w:ascii="Times New Roman" w:hAnsi="Times New Roman" w:eastAsia="宋体" w:cs="Times New Roman"/>
                      <w:i w:val="0"/>
                      <w:iCs w:val="0"/>
                      <w:color w:val="auto"/>
                      <w:kern w:val="0"/>
                      <w:sz w:val="21"/>
                      <w:szCs w:val="21"/>
                      <w:highlight w:val="none"/>
                      <w:u w:val="none"/>
                      <w:lang w:val="en-US" w:eastAsia="zh-CN" w:bidi="ar"/>
                    </w:rPr>
                    <w:t>E-0</w:t>
                  </w:r>
                  <w:r>
                    <w:rPr>
                      <w:rFonts w:hint="eastAsia" w:cs="Times New Roman"/>
                      <w:i w:val="0"/>
                      <w:iCs w:val="0"/>
                      <w:color w:val="auto"/>
                      <w:kern w:val="0"/>
                      <w:sz w:val="21"/>
                      <w:szCs w:val="21"/>
                      <w:highlight w:val="none"/>
                      <w:u w:val="none"/>
                      <w:lang w:val="en-US" w:eastAsia="zh-CN" w:bidi="ar"/>
                    </w:rPr>
                    <w:t>3</w:t>
                  </w:r>
                </w:p>
              </w:tc>
              <w:tc>
                <w:tcPr>
                  <w:tcW w:w="349" w:type="pct"/>
                  <w:noWrap w:val="0"/>
                  <w:vAlign w:val="center"/>
                </w:tcPr>
                <w:p w14:paraId="4F7DFFEF">
                  <w:pPr>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3019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000" w:type="pct"/>
                  <w:gridSpan w:val="13"/>
                  <w:noWrap w:val="0"/>
                  <w:vAlign w:val="center"/>
                </w:tcPr>
                <w:p w14:paraId="5AFC5117">
                  <w:pPr>
                    <w:keepNext w:val="0"/>
                    <w:keepLines w:val="0"/>
                    <w:pageBreakBefore w:val="0"/>
                    <w:widowControl/>
                    <w:kinsoku/>
                    <w:wordWrap/>
                    <w:overflowPunct/>
                    <w:topLinePunct w:val="0"/>
                    <w:autoSpaceDE/>
                    <w:autoSpaceDN/>
                    <w:bidi w:val="0"/>
                    <w:adjustRightInd/>
                    <w:snapToGrid w:val="0"/>
                    <w:spacing w:before="48" w:beforeLines="15" w:after="48" w:afterLines="15" w:line="240" w:lineRule="auto"/>
                    <w:ind w:right="0" w:rightChars="0"/>
                    <w:jc w:val="both"/>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注：①无组织生产车间污染物排放浓度采用EIAProA2018预测所得。</w:t>
                  </w:r>
                </w:p>
              </w:tc>
            </w:tr>
          </w:tbl>
          <w:p w14:paraId="2AABA837">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1.2 废气达标排放分析</w:t>
            </w:r>
          </w:p>
          <w:p w14:paraId="7A356FD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 xml:space="preserve">  废气排放口基本情况一览表</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477"/>
              <w:gridCol w:w="1492"/>
              <w:gridCol w:w="1495"/>
              <w:gridCol w:w="1482"/>
              <w:gridCol w:w="1742"/>
              <w:gridCol w:w="1204"/>
              <w:gridCol w:w="1457"/>
            </w:tblGrid>
            <w:tr w14:paraId="3CDD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pct"/>
                  <w:vMerge w:val="restart"/>
                  <w:vAlign w:val="center"/>
                </w:tcPr>
                <w:p w14:paraId="25FF90F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排放口编号</w:t>
                  </w:r>
                </w:p>
              </w:tc>
              <w:tc>
                <w:tcPr>
                  <w:tcW w:w="971" w:type="pct"/>
                  <w:vMerge w:val="restart"/>
                  <w:vAlign w:val="center"/>
                </w:tcPr>
                <w:p w14:paraId="13679D0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排放口名称</w:t>
                  </w:r>
                </w:p>
              </w:tc>
              <w:tc>
                <w:tcPr>
                  <w:tcW w:w="1171" w:type="pct"/>
                  <w:gridSpan w:val="2"/>
                  <w:vAlign w:val="center"/>
                </w:tcPr>
                <w:p w14:paraId="5573CE4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排放口地理坐标</w:t>
                  </w:r>
                </w:p>
              </w:tc>
              <w:tc>
                <w:tcPr>
                  <w:tcW w:w="581" w:type="pct"/>
                  <w:vMerge w:val="restart"/>
                  <w:vAlign w:val="center"/>
                </w:tcPr>
                <w:p w14:paraId="36DBE0A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排气筒高度</w:t>
                  </w:r>
                </w:p>
              </w:tc>
              <w:tc>
                <w:tcPr>
                  <w:tcW w:w="683" w:type="pct"/>
                  <w:vMerge w:val="restart"/>
                  <w:vAlign w:val="center"/>
                </w:tcPr>
                <w:p w14:paraId="337811D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排气筒出口内径</w:t>
                  </w:r>
                </w:p>
              </w:tc>
              <w:tc>
                <w:tcPr>
                  <w:tcW w:w="472" w:type="pct"/>
                  <w:vMerge w:val="restart"/>
                  <w:vAlign w:val="center"/>
                </w:tcPr>
                <w:p w14:paraId="37F885E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排气温度</w:t>
                  </w:r>
                </w:p>
              </w:tc>
              <w:tc>
                <w:tcPr>
                  <w:tcW w:w="571" w:type="pct"/>
                  <w:vMerge w:val="restart"/>
                  <w:vAlign w:val="center"/>
                </w:tcPr>
                <w:p w14:paraId="1E1D79D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排放口类型</w:t>
                  </w:r>
                </w:p>
              </w:tc>
            </w:tr>
            <w:tr w14:paraId="7FDF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pct"/>
                  <w:vMerge w:val="continue"/>
                  <w:vAlign w:val="center"/>
                </w:tcPr>
                <w:p w14:paraId="5097AE6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71" w:type="pct"/>
                  <w:vMerge w:val="continue"/>
                  <w:vAlign w:val="center"/>
                </w:tcPr>
                <w:p w14:paraId="2F59A46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85" w:type="pct"/>
                  <w:vAlign w:val="center"/>
                </w:tcPr>
                <w:p w14:paraId="084EFD5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经度</w:t>
                  </w:r>
                </w:p>
              </w:tc>
              <w:tc>
                <w:tcPr>
                  <w:tcW w:w="585" w:type="pct"/>
                  <w:vAlign w:val="center"/>
                </w:tcPr>
                <w:p w14:paraId="4B3B2CE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纬度</w:t>
                  </w:r>
                </w:p>
              </w:tc>
              <w:tc>
                <w:tcPr>
                  <w:tcW w:w="581" w:type="pct"/>
                  <w:vMerge w:val="continue"/>
                  <w:vAlign w:val="center"/>
                </w:tcPr>
                <w:p w14:paraId="39FD8DB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83" w:type="pct"/>
                  <w:vMerge w:val="continue"/>
                  <w:vAlign w:val="center"/>
                </w:tcPr>
                <w:p w14:paraId="0838B54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72" w:type="pct"/>
                  <w:vMerge w:val="continue"/>
                  <w:vAlign w:val="center"/>
                </w:tcPr>
                <w:p w14:paraId="269738E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71" w:type="pct"/>
                  <w:vMerge w:val="continue"/>
                  <w:vAlign w:val="center"/>
                </w:tcPr>
                <w:p w14:paraId="059F06E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220B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14:paraId="74D5427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DA001</w:t>
                  </w:r>
                </w:p>
              </w:tc>
              <w:tc>
                <w:tcPr>
                  <w:tcW w:w="971" w:type="pct"/>
                  <w:vAlign w:val="center"/>
                </w:tcPr>
                <w:p w14:paraId="0902A69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切割、焊接工序</w:t>
                  </w:r>
                  <w:r>
                    <w:rPr>
                      <w:rFonts w:hint="default" w:ascii="Times New Roman" w:hAnsi="Times New Roman" w:cs="Times New Roman"/>
                      <w:color w:val="auto"/>
                      <w:sz w:val="21"/>
                      <w:szCs w:val="21"/>
                      <w:highlight w:val="none"/>
                      <w:lang w:val="en-US" w:eastAsia="zh-CN" w:bidi="ar-SA"/>
                    </w:rPr>
                    <w:t>排放口</w:t>
                  </w:r>
                </w:p>
              </w:tc>
              <w:tc>
                <w:tcPr>
                  <w:tcW w:w="585" w:type="pct"/>
                  <w:vAlign w:val="center"/>
                </w:tcPr>
                <w:p w14:paraId="5908DAF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115.119292</w:t>
                  </w:r>
                </w:p>
              </w:tc>
              <w:tc>
                <w:tcPr>
                  <w:tcW w:w="585" w:type="pct"/>
                  <w:vAlign w:val="center"/>
                </w:tcPr>
                <w:p w14:paraId="1FCDA2D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35.832373</w:t>
                  </w:r>
                </w:p>
              </w:tc>
              <w:tc>
                <w:tcPr>
                  <w:tcW w:w="581" w:type="pct"/>
                  <w:vAlign w:val="center"/>
                </w:tcPr>
                <w:p w14:paraId="6CF04EF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w:t>
                  </w:r>
                  <w:r>
                    <w:rPr>
                      <w:rFonts w:hint="default" w:ascii="Times New Roman" w:hAnsi="Times New Roman" w:cs="Times New Roman"/>
                      <w:color w:val="auto"/>
                      <w:sz w:val="21"/>
                      <w:szCs w:val="21"/>
                      <w:highlight w:val="none"/>
                      <w:vertAlign w:val="baseline"/>
                      <w:lang w:val="en-US" w:eastAsia="zh-CN"/>
                    </w:rPr>
                    <w:t>m</w:t>
                  </w:r>
                </w:p>
              </w:tc>
              <w:tc>
                <w:tcPr>
                  <w:tcW w:w="683" w:type="pct"/>
                  <w:vAlign w:val="center"/>
                </w:tcPr>
                <w:p w14:paraId="1E264F1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baseline"/>
                      <w:lang w:val="en-US" w:eastAsia="zh-CN"/>
                    </w:rPr>
                    <w:t>m</w:t>
                  </w:r>
                </w:p>
              </w:tc>
              <w:tc>
                <w:tcPr>
                  <w:tcW w:w="472" w:type="pct"/>
                  <w:vAlign w:val="center"/>
                </w:tcPr>
                <w:p w14:paraId="4B21EA1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常温</w:t>
                  </w:r>
                </w:p>
              </w:tc>
              <w:tc>
                <w:tcPr>
                  <w:tcW w:w="571" w:type="pct"/>
                  <w:vAlign w:val="center"/>
                </w:tcPr>
                <w:p w14:paraId="39A4A96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一般排放口</w:t>
                  </w:r>
                </w:p>
              </w:tc>
            </w:tr>
            <w:tr w14:paraId="74BD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14:paraId="31C8E16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DA002</w:t>
                  </w:r>
                </w:p>
              </w:tc>
              <w:tc>
                <w:tcPr>
                  <w:tcW w:w="971" w:type="pct"/>
                  <w:vAlign w:val="center"/>
                </w:tcPr>
                <w:p w14:paraId="7387D22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防锈工序排放口</w:t>
                  </w:r>
                </w:p>
              </w:tc>
              <w:tc>
                <w:tcPr>
                  <w:tcW w:w="585" w:type="pct"/>
                  <w:vAlign w:val="center"/>
                </w:tcPr>
                <w:p w14:paraId="7E745DC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115.119834</w:t>
                  </w:r>
                </w:p>
              </w:tc>
              <w:tc>
                <w:tcPr>
                  <w:tcW w:w="585" w:type="pct"/>
                  <w:vAlign w:val="center"/>
                </w:tcPr>
                <w:p w14:paraId="59AEC10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35.832625</w:t>
                  </w:r>
                </w:p>
              </w:tc>
              <w:tc>
                <w:tcPr>
                  <w:tcW w:w="581" w:type="pct"/>
                  <w:vAlign w:val="center"/>
                </w:tcPr>
                <w:p w14:paraId="0C4B5CE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w:t>
                  </w:r>
                  <w:r>
                    <w:rPr>
                      <w:rFonts w:hint="default" w:ascii="Times New Roman" w:hAnsi="Times New Roman" w:cs="Times New Roman"/>
                      <w:color w:val="auto"/>
                      <w:sz w:val="21"/>
                      <w:szCs w:val="21"/>
                      <w:highlight w:val="none"/>
                      <w:vertAlign w:val="baseline"/>
                      <w:lang w:val="en-US" w:eastAsia="zh-CN"/>
                    </w:rPr>
                    <w:t>m</w:t>
                  </w:r>
                </w:p>
              </w:tc>
              <w:tc>
                <w:tcPr>
                  <w:tcW w:w="683" w:type="pct"/>
                  <w:vAlign w:val="center"/>
                </w:tcPr>
                <w:p w14:paraId="4FBEE7D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0.3m</w:t>
                  </w:r>
                </w:p>
              </w:tc>
              <w:tc>
                <w:tcPr>
                  <w:tcW w:w="472" w:type="pct"/>
                  <w:shd w:val="clear" w:color="auto" w:fill="auto"/>
                  <w:vAlign w:val="center"/>
                </w:tcPr>
                <w:p w14:paraId="57B4285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常温</w:t>
                  </w:r>
                </w:p>
              </w:tc>
              <w:tc>
                <w:tcPr>
                  <w:tcW w:w="571" w:type="pct"/>
                  <w:shd w:val="clear" w:color="auto" w:fill="auto"/>
                  <w:vAlign w:val="center"/>
                </w:tcPr>
                <w:p w14:paraId="5D2EEF5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一般排放口</w:t>
                  </w:r>
                </w:p>
              </w:tc>
            </w:tr>
          </w:tbl>
          <w:p w14:paraId="3044198B">
            <w:pPr>
              <w:numPr>
                <w:ilvl w:val="0"/>
                <w:numId w:val="0"/>
              </w:numPr>
              <w:adjustRightInd w:val="0"/>
              <w:snapToGrid w:val="0"/>
              <w:spacing w:line="520" w:lineRule="exact"/>
              <w:jc w:val="center"/>
              <w:rPr>
                <w:rFonts w:hint="default" w:ascii="Times New Roman" w:hAnsi="Times New Roman" w:eastAsia="宋体" w:cs="Times New Roman"/>
                <w:color w:val="auto"/>
                <w:sz w:val="21"/>
                <w:szCs w:val="21"/>
                <w:highlight w:val="none"/>
                <w:lang w:val="en-US" w:eastAsia="zh-CN"/>
              </w:rPr>
            </w:pPr>
          </w:p>
          <w:p w14:paraId="3E03E32A">
            <w:pPr>
              <w:numPr>
                <w:ilvl w:val="0"/>
                <w:numId w:val="0"/>
              </w:numPr>
              <w:adjustRightInd w:val="0"/>
              <w:snapToGrid w:val="0"/>
              <w:spacing w:line="520" w:lineRule="exact"/>
              <w:jc w:val="center"/>
              <w:rPr>
                <w:rFonts w:hint="default" w:ascii="Times New Roman" w:hAnsi="Times New Roman" w:eastAsia="宋体" w:cs="Times New Roman"/>
                <w:color w:val="auto"/>
                <w:sz w:val="21"/>
                <w:szCs w:val="21"/>
                <w:highlight w:val="none"/>
                <w:lang w:val="en-US" w:eastAsia="zh-CN"/>
              </w:rPr>
            </w:pPr>
          </w:p>
          <w:p w14:paraId="69857366">
            <w:pPr>
              <w:numPr>
                <w:ilvl w:val="0"/>
                <w:numId w:val="0"/>
              </w:numPr>
              <w:adjustRightInd w:val="0"/>
              <w:snapToGrid w:val="0"/>
              <w:spacing w:line="5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 xml:space="preserve">  废气达标情况分析</w:t>
            </w:r>
          </w:p>
          <w:tbl>
            <w:tblPr>
              <w:tblStyle w:val="2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2246"/>
              <w:gridCol w:w="1267"/>
              <w:gridCol w:w="1519"/>
              <w:gridCol w:w="1522"/>
              <w:gridCol w:w="1382"/>
              <w:gridCol w:w="1384"/>
              <w:gridCol w:w="1754"/>
              <w:gridCol w:w="783"/>
            </w:tblGrid>
            <w:tr w14:paraId="7085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6" w:type="pct"/>
                  <w:vMerge w:val="restart"/>
                  <w:vAlign w:val="center"/>
                </w:tcPr>
                <w:p w14:paraId="2B215AC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排放口编号</w:t>
                  </w:r>
                </w:p>
              </w:tc>
              <w:tc>
                <w:tcPr>
                  <w:tcW w:w="881" w:type="pct"/>
                  <w:vMerge w:val="restart"/>
                  <w:vAlign w:val="center"/>
                </w:tcPr>
                <w:p w14:paraId="32DE27D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排放口名称</w:t>
                  </w:r>
                </w:p>
              </w:tc>
              <w:tc>
                <w:tcPr>
                  <w:tcW w:w="497" w:type="pct"/>
                  <w:vMerge w:val="restart"/>
                  <w:vAlign w:val="center"/>
                </w:tcPr>
                <w:p w14:paraId="62AF7DB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污染物种类</w:t>
                  </w:r>
                </w:p>
              </w:tc>
              <w:tc>
                <w:tcPr>
                  <w:tcW w:w="1193" w:type="pct"/>
                  <w:gridSpan w:val="2"/>
                  <w:vAlign w:val="center"/>
                </w:tcPr>
                <w:p w14:paraId="29C9071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污染物排放情况</w:t>
                  </w:r>
                </w:p>
              </w:tc>
              <w:tc>
                <w:tcPr>
                  <w:tcW w:w="1085" w:type="pct"/>
                  <w:gridSpan w:val="2"/>
                  <w:vAlign w:val="center"/>
                </w:tcPr>
                <w:p w14:paraId="3F1A77C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污染物排放标准限值</w:t>
                  </w:r>
                </w:p>
              </w:tc>
              <w:tc>
                <w:tcPr>
                  <w:tcW w:w="688" w:type="pct"/>
                  <w:vMerge w:val="restart"/>
                  <w:vAlign w:val="center"/>
                </w:tcPr>
                <w:p w14:paraId="2B9E736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承诺更加严格的排放限值/</w:t>
                  </w:r>
                  <w:r>
                    <w:rPr>
                      <w:rFonts w:hint="default" w:ascii="Times New Roman" w:hAnsi="Times New Roman" w:eastAsia="宋体" w:cs="Times New Roman"/>
                      <w:color w:val="auto"/>
                      <w:sz w:val="21"/>
                      <w:szCs w:val="21"/>
                      <w:highlight w:val="none"/>
                      <w:vertAlign w:val="baseli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307" w:type="pct"/>
                  <w:vMerge w:val="restart"/>
                  <w:vAlign w:val="center"/>
                </w:tcPr>
                <w:p w14:paraId="4A451DF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达标情况</w:t>
                  </w:r>
                </w:p>
              </w:tc>
            </w:tr>
            <w:tr w14:paraId="5EA3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46" w:type="pct"/>
                  <w:vMerge w:val="continue"/>
                  <w:vAlign w:val="center"/>
                </w:tcPr>
                <w:p w14:paraId="741AB1B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81" w:type="pct"/>
                  <w:vMerge w:val="continue"/>
                  <w:vAlign w:val="center"/>
                </w:tcPr>
                <w:p w14:paraId="2995F2F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497" w:type="pct"/>
                  <w:vMerge w:val="continue"/>
                  <w:vAlign w:val="center"/>
                </w:tcPr>
                <w:p w14:paraId="7C62556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596" w:type="pct"/>
                  <w:vAlign w:val="center"/>
                </w:tcPr>
                <w:p w14:paraId="2CFE2A3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排放速率</w:t>
                  </w:r>
                  <w:r>
                    <w:rPr>
                      <w:rFonts w:hint="eastAsia" w:cs="Times New Roman"/>
                      <w:color w:val="auto"/>
                      <w:sz w:val="21"/>
                      <w:szCs w:val="21"/>
                      <w:highlight w:val="none"/>
                      <w:vertAlign w:val="baseline"/>
                      <w:lang w:val="en-US" w:eastAsia="zh-CN"/>
                    </w:rPr>
                    <w:t>（大值）</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kg/h</w:t>
                  </w:r>
                </w:p>
              </w:tc>
              <w:tc>
                <w:tcPr>
                  <w:tcW w:w="597" w:type="pct"/>
                  <w:vAlign w:val="center"/>
                </w:tcPr>
                <w:p w14:paraId="7C15156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排放浓度</w:t>
                  </w:r>
                  <w:r>
                    <w:rPr>
                      <w:rFonts w:hint="eastAsia" w:cs="Times New Roman"/>
                      <w:color w:val="auto"/>
                      <w:sz w:val="21"/>
                      <w:szCs w:val="21"/>
                      <w:highlight w:val="none"/>
                      <w:vertAlign w:val="baseline"/>
                      <w:lang w:val="en-US" w:eastAsia="zh-CN"/>
                    </w:rPr>
                    <w:t>（大值）</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542" w:type="pct"/>
                  <w:vAlign w:val="center"/>
                </w:tcPr>
                <w:p w14:paraId="106ECA8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速率限值</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kg/h</w:t>
                  </w:r>
                </w:p>
              </w:tc>
              <w:tc>
                <w:tcPr>
                  <w:tcW w:w="543" w:type="pct"/>
                  <w:vAlign w:val="center"/>
                </w:tcPr>
                <w:p w14:paraId="1F941BF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浓度限值</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688" w:type="pct"/>
                  <w:vMerge w:val="continue"/>
                  <w:vAlign w:val="center"/>
                </w:tcPr>
                <w:p w14:paraId="3FDBE39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307" w:type="pct"/>
                  <w:vMerge w:val="continue"/>
                  <w:vAlign w:val="center"/>
                </w:tcPr>
                <w:p w14:paraId="5D7A3F0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r>
            <w:tr w14:paraId="1F6B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6" w:type="pct"/>
                  <w:vAlign w:val="center"/>
                </w:tcPr>
                <w:p w14:paraId="0718665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DA001</w:t>
                  </w:r>
                </w:p>
              </w:tc>
              <w:tc>
                <w:tcPr>
                  <w:tcW w:w="881" w:type="pct"/>
                  <w:vAlign w:val="center"/>
                </w:tcPr>
                <w:p w14:paraId="7867A00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切割、焊接工序</w:t>
                  </w:r>
                  <w:r>
                    <w:rPr>
                      <w:rFonts w:hint="default" w:ascii="Times New Roman" w:hAnsi="Times New Roman" w:cs="Times New Roman"/>
                      <w:color w:val="auto"/>
                      <w:sz w:val="21"/>
                      <w:szCs w:val="21"/>
                      <w:highlight w:val="none"/>
                      <w:lang w:val="en-US" w:eastAsia="zh-CN" w:bidi="ar-SA"/>
                    </w:rPr>
                    <w:t>排放口</w:t>
                  </w:r>
                </w:p>
              </w:tc>
              <w:tc>
                <w:tcPr>
                  <w:tcW w:w="497" w:type="pct"/>
                  <w:vAlign w:val="center"/>
                </w:tcPr>
                <w:p w14:paraId="2FE386EA">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596" w:type="pct"/>
                  <w:vAlign w:val="center"/>
                </w:tcPr>
                <w:p w14:paraId="3DD5A43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0.0212</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597" w:type="pct"/>
                  <w:vAlign w:val="center"/>
                </w:tcPr>
                <w:p w14:paraId="713717E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27</w:t>
                  </w:r>
                </w:p>
              </w:tc>
              <w:tc>
                <w:tcPr>
                  <w:tcW w:w="542" w:type="pct"/>
                  <w:vAlign w:val="center"/>
                </w:tcPr>
                <w:p w14:paraId="27A2DDB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1.75</w:t>
                  </w:r>
                </w:p>
              </w:tc>
              <w:tc>
                <w:tcPr>
                  <w:tcW w:w="543" w:type="pct"/>
                  <w:vAlign w:val="center"/>
                </w:tcPr>
                <w:p w14:paraId="4760C6E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1</w:t>
                  </w:r>
                  <w:r>
                    <w:rPr>
                      <w:rFonts w:hint="eastAsia" w:cs="Times New Roman"/>
                      <w:color w:val="auto"/>
                      <w:kern w:val="2"/>
                      <w:sz w:val="21"/>
                      <w:szCs w:val="21"/>
                      <w:highlight w:val="none"/>
                      <w:vertAlign w:val="baseline"/>
                      <w:lang w:val="en-US" w:eastAsia="zh-CN" w:bidi="ar-SA"/>
                    </w:rPr>
                    <w:t>2</w:t>
                  </w:r>
                  <w:r>
                    <w:rPr>
                      <w:rFonts w:hint="default" w:ascii="Times New Roman" w:hAnsi="Times New Roman" w:cs="Times New Roman"/>
                      <w:color w:val="auto"/>
                      <w:kern w:val="2"/>
                      <w:sz w:val="21"/>
                      <w:szCs w:val="21"/>
                      <w:highlight w:val="none"/>
                      <w:vertAlign w:val="baseline"/>
                      <w:lang w:val="en-US" w:eastAsia="zh-CN" w:bidi="ar-SA"/>
                    </w:rPr>
                    <w:t>0</w:t>
                  </w:r>
                </w:p>
              </w:tc>
              <w:tc>
                <w:tcPr>
                  <w:tcW w:w="688" w:type="pct"/>
                  <w:vAlign w:val="center"/>
                </w:tcPr>
                <w:p w14:paraId="5F78410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10</w:t>
                  </w:r>
                </w:p>
              </w:tc>
              <w:tc>
                <w:tcPr>
                  <w:tcW w:w="307" w:type="pct"/>
                  <w:vAlign w:val="center"/>
                </w:tcPr>
                <w:p w14:paraId="4E38AF3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r w14:paraId="23B3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6" w:type="pct"/>
                  <w:vAlign w:val="center"/>
                </w:tcPr>
                <w:p w14:paraId="66A301A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DA002</w:t>
                  </w:r>
                </w:p>
              </w:tc>
              <w:tc>
                <w:tcPr>
                  <w:tcW w:w="881" w:type="pct"/>
                  <w:vAlign w:val="center"/>
                </w:tcPr>
                <w:p w14:paraId="7A5987D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防锈工序排放口</w:t>
                  </w:r>
                </w:p>
              </w:tc>
              <w:tc>
                <w:tcPr>
                  <w:tcW w:w="497" w:type="pct"/>
                  <w:vAlign w:val="center"/>
                </w:tcPr>
                <w:p w14:paraId="6A7AF97C">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非甲烷总烃</w:t>
                  </w:r>
                </w:p>
              </w:tc>
              <w:tc>
                <w:tcPr>
                  <w:tcW w:w="596" w:type="pct"/>
                  <w:shd w:val="clear" w:color="auto" w:fill="auto"/>
                  <w:vAlign w:val="center"/>
                </w:tcPr>
                <w:p w14:paraId="54FDEDA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0.0052</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597" w:type="pct"/>
                  <w:shd w:val="clear" w:color="auto" w:fill="auto"/>
                  <w:vAlign w:val="center"/>
                </w:tcPr>
                <w:p w14:paraId="487F7C1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0.58</w:t>
                  </w:r>
                </w:p>
              </w:tc>
              <w:tc>
                <w:tcPr>
                  <w:tcW w:w="542" w:type="pct"/>
                  <w:vAlign w:val="center"/>
                </w:tcPr>
                <w:p w14:paraId="5B57828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543" w:type="pct"/>
                  <w:vAlign w:val="center"/>
                </w:tcPr>
                <w:p w14:paraId="62D03C5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120</w:t>
                  </w:r>
                </w:p>
              </w:tc>
              <w:tc>
                <w:tcPr>
                  <w:tcW w:w="688" w:type="pct"/>
                  <w:vAlign w:val="center"/>
                </w:tcPr>
                <w:p w14:paraId="24182BE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30</w:t>
                  </w:r>
                </w:p>
              </w:tc>
              <w:tc>
                <w:tcPr>
                  <w:tcW w:w="307" w:type="pct"/>
                  <w:vAlign w:val="center"/>
                </w:tcPr>
                <w:p w14:paraId="6E25FEB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达标</w:t>
                  </w:r>
                </w:p>
              </w:tc>
            </w:tr>
            <w:tr w14:paraId="002C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46" w:type="pct"/>
                  <w:vMerge w:val="restart"/>
                  <w:vAlign w:val="center"/>
                </w:tcPr>
                <w:p w14:paraId="66FC443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无组织废气</w:t>
                  </w:r>
                </w:p>
              </w:tc>
              <w:tc>
                <w:tcPr>
                  <w:tcW w:w="881" w:type="pct"/>
                  <w:vMerge w:val="restart"/>
                  <w:vAlign w:val="center"/>
                </w:tcPr>
                <w:p w14:paraId="1D863ED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厂界</w:t>
                  </w:r>
                </w:p>
              </w:tc>
              <w:tc>
                <w:tcPr>
                  <w:tcW w:w="497" w:type="pct"/>
                  <w:shd w:val="clear" w:color="auto" w:fill="auto"/>
                  <w:vAlign w:val="center"/>
                </w:tcPr>
                <w:p w14:paraId="254CE65D">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颗粒物</w:t>
                  </w:r>
                </w:p>
              </w:tc>
              <w:tc>
                <w:tcPr>
                  <w:tcW w:w="596" w:type="pct"/>
                  <w:shd w:val="clear" w:color="auto" w:fill="auto"/>
                  <w:vAlign w:val="center"/>
                </w:tcPr>
                <w:p w14:paraId="44F4E61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0.0706</w:t>
                  </w:r>
                </w:p>
              </w:tc>
              <w:tc>
                <w:tcPr>
                  <w:tcW w:w="597" w:type="pct"/>
                  <w:shd w:val="clear" w:color="auto" w:fill="auto"/>
                  <w:vAlign w:val="center"/>
                </w:tcPr>
                <w:p w14:paraId="2C012EF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1.38E-0</w:t>
                  </w:r>
                  <w:r>
                    <w:rPr>
                      <w:rFonts w:hint="eastAsia" w:cs="Times New Roman"/>
                      <w:i w:val="0"/>
                      <w:iCs w:val="0"/>
                      <w:color w:val="auto"/>
                      <w:kern w:val="0"/>
                      <w:sz w:val="21"/>
                      <w:szCs w:val="21"/>
                      <w:highlight w:val="none"/>
                      <w:u w:val="none"/>
                      <w:lang w:val="en-US" w:eastAsia="zh-CN" w:bidi="ar"/>
                    </w:rPr>
                    <w:t>3</w:t>
                  </w:r>
                </w:p>
              </w:tc>
              <w:tc>
                <w:tcPr>
                  <w:tcW w:w="542" w:type="pct"/>
                  <w:vAlign w:val="center"/>
                </w:tcPr>
                <w:p w14:paraId="03EE9E3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543" w:type="pct"/>
                  <w:vAlign w:val="center"/>
                </w:tcPr>
                <w:p w14:paraId="512ECB9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1.0</w:t>
                  </w:r>
                </w:p>
              </w:tc>
              <w:tc>
                <w:tcPr>
                  <w:tcW w:w="688" w:type="pct"/>
                  <w:vAlign w:val="center"/>
                </w:tcPr>
                <w:p w14:paraId="5F381CA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307" w:type="pct"/>
                  <w:shd w:val="clear" w:color="auto" w:fill="auto"/>
                  <w:vAlign w:val="center"/>
                </w:tcPr>
                <w:p w14:paraId="37CBBB7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达标</w:t>
                  </w:r>
                </w:p>
              </w:tc>
            </w:tr>
            <w:tr w14:paraId="325C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46" w:type="pct"/>
                  <w:vMerge w:val="continue"/>
                  <w:vAlign w:val="center"/>
                </w:tcPr>
                <w:p w14:paraId="37DC4EA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cs="Times New Roman"/>
                      <w:b w:val="0"/>
                      <w:bCs/>
                      <w:color w:val="auto"/>
                      <w:sz w:val="21"/>
                      <w:szCs w:val="21"/>
                      <w:highlight w:val="none"/>
                      <w:vertAlign w:val="baseline"/>
                      <w:lang w:val="en-US" w:eastAsia="zh-CN"/>
                    </w:rPr>
                  </w:pPr>
                </w:p>
              </w:tc>
              <w:tc>
                <w:tcPr>
                  <w:tcW w:w="881" w:type="pct"/>
                  <w:vMerge w:val="continue"/>
                  <w:vAlign w:val="center"/>
                </w:tcPr>
                <w:p w14:paraId="49C29AC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cs="Times New Roman"/>
                      <w:b w:val="0"/>
                      <w:bCs/>
                      <w:color w:val="auto"/>
                      <w:sz w:val="21"/>
                      <w:szCs w:val="21"/>
                      <w:highlight w:val="none"/>
                      <w:vertAlign w:val="baseline"/>
                      <w:lang w:val="en-US" w:eastAsia="zh-CN"/>
                    </w:rPr>
                  </w:pPr>
                </w:p>
              </w:tc>
              <w:tc>
                <w:tcPr>
                  <w:tcW w:w="497" w:type="pct"/>
                  <w:shd w:val="clear" w:color="auto" w:fill="auto"/>
                  <w:vAlign w:val="center"/>
                </w:tcPr>
                <w:p w14:paraId="69EF6037">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非甲烷总烃</w:t>
                  </w:r>
                </w:p>
              </w:tc>
              <w:tc>
                <w:tcPr>
                  <w:tcW w:w="596" w:type="pct"/>
                  <w:shd w:val="clear" w:color="auto" w:fill="auto"/>
                  <w:vAlign w:val="center"/>
                </w:tcPr>
                <w:p w14:paraId="69D897CD">
                  <w:pPr>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vertAlign w:val="baseline"/>
                      <w:lang w:val="en-US" w:eastAsia="zh-CN"/>
                    </w:rPr>
                    <w:t>0.0309</w:t>
                  </w:r>
                  <w:r>
                    <w:rPr>
                      <w:rFonts w:hint="eastAsia" w:ascii="Times New Roman" w:hAnsi="Times New Roman" w:eastAsia="宋体" w:cs="Times New Roman"/>
                      <w:color w:val="auto"/>
                      <w:sz w:val="21"/>
                      <w:szCs w:val="21"/>
                      <w:highlight w:val="none"/>
                      <w:vertAlign w:val="baseline"/>
                      <w:lang w:val="en-US" w:eastAsia="zh-CN"/>
                    </w:rPr>
                    <w:t xml:space="preserve"> </w:t>
                  </w:r>
                </w:p>
              </w:tc>
              <w:tc>
                <w:tcPr>
                  <w:tcW w:w="597" w:type="pct"/>
                  <w:shd w:val="clear" w:color="auto" w:fill="auto"/>
                  <w:vAlign w:val="center"/>
                </w:tcPr>
                <w:p w14:paraId="2DF1D7C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64</w:t>
                  </w:r>
                  <w:r>
                    <w:rPr>
                      <w:rFonts w:hint="default" w:ascii="Times New Roman" w:hAnsi="Times New Roman" w:eastAsia="宋体" w:cs="Times New Roman"/>
                      <w:i w:val="0"/>
                      <w:iCs w:val="0"/>
                      <w:color w:val="auto"/>
                      <w:kern w:val="0"/>
                      <w:sz w:val="21"/>
                      <w:szCs w:val="21"/>
                      <w:highlight w:val="none"/>
                      <w:u w:val="none"/>
                      <w:lang w:val="en-US" w:eastAsia="zh-CN" w:bidi="ar"/>
                    </w:rPr>
                    <w:t>E-0</w:t>
                  </w:r>
                  <w:r>
                    <w:rPr>
                      <w:rFonts w:hint="eastAsia" w:cs="Times New Roman"/>
                      <w:i w:val="0"/>
                      <w:iCs w:val="0"/>
                      <w:color w:val="auto"/>
                      <w:kern w:val="0"/>
                      <w:sz w:val="21"/>
                      <w:szCs w:val="21"/>
                      <w:highlight w:val="none"/>
                      <w:u w:val="none"/>
                      <w:lang w:val="en-US" w:eastAsia="zh-CN" w:bidi="ar"/>
                    </w:rPr>
                    <w:t>3</w:t>
                  </w:r>
                </w:p>
              </w:tc>
              <w:tc>
                <w:tcPr>
                  <w:tcW w:w="542" w:type="pct"/>
                  <w:vAlign w:val="center"/>
                </w:tcPr>
                <w:p w14:paraId="5E0C66D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543" w:type="pct"/>
                  <w:vAlign w:val="center"/>
                </w:tcPr>
                <w:p w14:paraId="63F93D6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2.0</w:t>
                  </w:r>
                </w:p>
              </w:tc>
              <w:tc>
                <w:tcPr>
                  <w:tcW w:w="688" w:type="pct"/>
                  <w:vAlign w:val="center"/>
                </w:tcPr>
                <w:p w14:paraId="0859EBF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307" w:type="pct"/>
                  <w:shd w:val="clear" w:color="auto" w:fill="auto"/>
                  <w:vAlign w:val="center"/>
                </w:tcPr>
                <w:p w14:paraId="67A2ED9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达标</w:t>
                  </w:r>
                </w:p>
              </w:tc>
            </w:tr>
          </w:tbl>
          <w:p w14:paraId="786833F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val="0"/>
                <w:bCs w:val="0"/>
                <w:color w:val="auto"/>
                <w:sz w:val="24"/>
                <w:szCs w:val="22"/>
                <w:highlight w:val="none"/>
                <w:lang w:val="en-US" w:eastAsia="zh-CN"/>
              </w:rPr>
            </w:pPr>
            <w:r>
              <w:rPr>
                <w:rFonts w:hint="default" w:ascii="Times New Roman" w:hAnsi="Times New Roman" w:cs="Times New Roman"/>
                <w:b w:val="0"/>
                <w:bCs w:val="0"/>
                <w:color w:val="auto"/>
                <w:sz w:val="24"/>
                <w:szCs w:val="24"/>
                <w:highlight w:val="none"/>
                <w:lang w:val="en-US" w:eastAsia="zh-CN"/>
              </w:rPr>
              <w:t>由上表可知，</w:t>
            </w:r>
            <w:r>
              <w:rPr>
                <w:rFonts w:hint="eastAsia" w:cs="Times New Roman"/>
                <w:b w:val="0"/>
                <w:bCs w:val="0"/>
                <w:color w:val="auto"/>
                <w:sz w:val="24"/>
                <w:szCs w:val="24"/>
                <w:highlight w:val="none"/>
                <w:lang w:val="en-US" w:eastAsia="zh-CN"/>
              </w:rPr>
              <w:t>本项目颗粒物、非甲烷总烃排放满足《大气污染物综合排放标准》（GB 16297-1996）表2二级标准、《关于全省开展工业企业挥发性有机物专项治理工作中排放建议值的通知》（豫环攻坚办〔2017〕162号）及</w:t>
            </w:r>
            <w:r>
              <w:rPr>
                <w:rFonts w:hint="eastAsia" w:ascii="Times New Roman" w:hAnsi="Times New Roman" w:eastAsia="宋体" w:cs="Times New Roman"/>
                <w:b w:val="0"/>
                <w:bCs w:val="0"/>
                <w:color w:val="auto"/>
                <w:kern w:val="0"/>
                <w:sz w:val="24"/>
                <w:szCs w:val="24"/>
                <w:highlight w:val="none"/>
                <w:vertAlign w:val="baseline"/>
                <w:lang w:val="en-US" w:eastAsia="zh-CN" w:bidi="ar-SA"/>
              </w:rPr>
              <w:t>《河南省重污染天气通用行业应急减排措施制定技术指南（2024年修订稿）》引领性</w:t>
            </w:r>
            <w:r>
              <w:rPr>
                <w:rFonts w:hint="eastAsia" w:cs="Times New Roman"/>
                <w:b w:val="0"/>
                <w:bCs w:val="0"/>
                <w:color w:val="auto"/>
                <w:sz w:val="24"/>
                <w:szCs w:val="24"/>
                <w:highlight w:val="none"/>
                <w:lang w:val="en-US" w:eastAsia="zh-CN"/>
              </w:rPr>
              <w:t>指标要求</w:t>
            </w:r>
            <w:r>
              <w:rPr>
                <w:rFonts w:hint="default" w:ascii="Times New Roman" w:hAnsi="Times New Roman" w:cs="Times New Roman"/>
                <w:b w:val="0"/>
                <w:bCs w:val="0"/>
                <w:color w:val="auto"/>
                <w:sz w:val="24"/>
                <w:szCs w:val="24"/>
                <w:highlight w:val="none"/>
                <w:lang w:val="en-US" w:eastAsia="zh-CN"/>
              </w:rPr>
              <w:t>。</w:t>
            </w:r>
          </w:p>
          <w:p w14:paraId="437F173B">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1.3 非正常排放污染源</w:t>
            </w:r>
          </w:p>
          <w:p w14:paraId="1169761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s="Times New Roman"/>
                <w:b w:val="0"/>
                <w:bCs w:val="0"/>
                <w:color w:val="auto"/>
                <w:sz w:val="24"/>
                <w:szCs w:val="22"/>
                <w:highlight w:val="none"/>
                <w:lang w:val="en-US" w:eastAsia="zh-CN"/>
              </w:rPr>
            </w:pPr>
            <w:r>
              <w:rPr>
                <w:rFonts w:hint="eastAsia" w:cs="Times New Roman"/>
                <w:b w:val="0"/>
                <w:bCs w:val="0"/>
                <w:color w:val="auto"/>
                <w:sz w:val="24"/>
                <w:szCs w:val="22"/>
                <w:highlight w:val="none"/>
                <w:lang w:val="en-US" w:eastAsia="zh-CN"/>
              </w:rPr>
              <w:t>根据上述分析，本项目生产过程中的废气污染物非正常排放主要考虑废气污染防治措施达不到应有效率情况下的排放，本报告按最不利情况分析，出现上述情况致使废气处理设施处理效率为0%。</w:t>
            </w:r>
          </w:p>
          <w:p w14:paraId="467E992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s="Times New Roman"/>
                <w:b w:val="0"/>
                <w:bCs w:val="0"/>
                <w:color w:val="auto"/>
                <w:sz w:val="24"/>
                <w:szCs w:val="22"/>
                <w:highlight w:val="none"/>
                <w:lang w:val="en-US" w:eastAsia="zh-CN"/>
              </w:rPr>
            </w:pPr>
            <w:r>
              <w:rPr>
                <w:rFonts w:hint="eastAsia" w:cs="Times New Roman"/>
                <w:b w:val="0"/>
                <w:bCs w:val="0"/>
                <w:color w:val="auto"/>
                <w:sz w:val="24"/>
                <w:szCs w:val="22"/>
                <w:highlight w:val="none"/>
                <w:lang w:val="en-US" w:eastAsia="zh-CN"/>
              </w:rPr>
              <w:t>本项目非正常排放源强、发生频次和排放方式见表4-6。</w:t>
            </w:r>
          </w:p>
          <w:p w14:paraId="68613A5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val="0"/>
                <w:bCs w:val="0"/>
                <w:color w:val="auto"/>
                <w:sz w:val="21"/>
                <w:szCs w:val="20"/>
                <w:highlight w:val="none"/>
                <w:lang w:val="en-US" w:eastAsia="zh-CN"/>
              </w:rPr>
            </w:pPr>
            <w:r>
              <w:rPr>
                <w:rFonts w:hint="eastAsia" w:ascii="Times New Roman" w:hAnsi="Times New Roman" w:eastAsia="宋体" w:cs="Times New Roman"/>
                <w:b w:val="0"/>
                <w:bCs w:val="0"/>
                <w:color w:val="auto"/>
                <w:sz w:val="21"/>
                <w:szCs w:val="20"/>
                <w:highlight w:val="none"/>
                <w:lang w:val="en-US" w:eastAsia="zh-CN"/>
              </w:rPr>
              <w:t>表4-</w:t>
            </w:r>
            <w:r>
              <w:rPr>
                <w:rFonts w:hint="eastAsia" w:cs="Times New Roman"/>
                <w:b w:val="0"/>
                <w:bCs w:val="0"/>
                <w:color w:val="auto"/>
                <w:sz w:val="21"/>
                <w:szCs w:val="20"/>
                <w:highlight w:val="none"/>
                <w:lang w:val="en-US" w:eastAsia="zh-CN"/>
              </w:rPr>
              <w:t>6</w:t>
            </w:r>
            <w:r>
              <w:rPr>
                <w:rFonts w:hint="eastAsia" w:ascii="Times New Roman" w:hAnsi="Times New Roman" w:eastAsia="宋体" w:cs="Times New Roman"/>
                <w:b w:val="0"/>
                <w:bCs w:val="0"/>
                <w:color w:val="auto"/>
                <w:sz w:val="21"/>
                <w:szCs w:val="20"/>
                <w:highlight w:val="none"/>
                <w:lang w:val="en-US" w:eastAsia="zh-CN"/>
              </w:rPr>
              <w:t xml:space="preserve">  非正常工况污染物排放情况</w:t>
            </w:r>
          </w:p>
          <w:tbl>
            <w:tblPr>
              <w:tblStyle w:val="2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99"/>
              <w:gridCol w:w="1535"/>
              <w:gridCol w:w="1783"/>
              <w:gridCol w:w="2010"/>
              <w:gridCol w:w="1622"/>
              <w:gridCol w:w="1364"/>
              <w:gridCol w:w="2107"/>
            </w:tblGrid>
            <w:tr w14:paraId="6BF1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vAlign w:val="center"/>
                </w:tcPr>
                <w:p w14:paraId="569CE99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非正常排放源</w:t>
                  </w:r>
                </w:p>
              </w:tc>
              <w:tc>
                <w:tcPr>
                  <w:tcW w:w="470" w:type="pct"/>
                  <w:vAlign w:val="center"/>
                </w:tcPr>
                <w:p w14:paraId="03B99F9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非正常排放方式</w:t>
                  </w:r>
                </w:p>
              </w:tc>
              <w:tc>
                <w:tcPr>
                  <w:tcW w:w="602" w:type="pct"/>
                  <w:vAlign w:val="center"/>
                </w:tcPr>
                <w:p w14:paraId="502164C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污染物</w:t>
                  </w:r>
                </w:p>
              </w:tc>
              <w:tc>
                <w:tcPr>
                  <w:tcW w:w="699" w:type="pct"/>
                  <w:vAlign w:val="center"/>
                </w:tcPr>
                <w:p w14:paraId="3333110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非正常排放</w:t>
                  </w:r>
                  <w:r>
                    <w:rPr>
                      <w:rFonts w:hint="eastAsia" w:cs="Times New Roman"/>
                      <w:color w:val="auto"/>
                      <w:sz w:val="21"/>
                      <w:szCs w:val="21"/>
                      <w:highlight w:val="none"/>
                      <w:vertAlign w:val="baseline"/>
                      <w:lang w:val="en-US" w:eastAsia="zh-CN"/>
                    </w:rPr>
                    <w:t>浓度/</w:t>
                  </w:r>
                  <w:r>
                    <w:rPr>
                      <w:rFonts w:hint="default" w:ascii="Times New Roman" w:hAnsi="Times New Roman" w:eastAsia="宋体" w:cs="Times New Roman"/>
                      <w:color w:val="auto"/>
                      <w:sz w:val="21"/>
                      <w:szCs w:val="21"/>
                      <w:highlight w:val="none"/>
                      <w:vertAlign w:val="baseli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788" w:type="pct"/>
                  <w:vAlign w:val="center"/>
                </w:tcPr>
                <w:p w14:paraId="7B75D71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非正常排放速率</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kg/h</w:t>
                  </w:r>
                </w:p>
              </w:tc>
              <w:tc>
                <w:tcPr>
                  <w:tcW w:w="636" w:type="pct"/>
                  <w:vAlign w:val="center"/>
                </w:tcPr>
                <w:p w14:paraId="03B683E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单次持续时间</w:t>
                  </w:r>
                  <w:r>
                    <w:rPr>
                      <w:rFonts w:hint="eastAsia" w:cs="Times New Roman"/>
                      <w:color w:val="auto"/>
                      <w:sz w:val="21"/>
                      <w:szCs w:val="21"/>
                      <w:highlight w:val="none"/>
                      <w:vertAlign w:val="baseline"/>
                      <w:lang w:val="en-US" w:eastAsia="zh-CN"/>
                    </w:rPr>
                    <w:t>/h</w:t>
                  </w:r>
                </w:p>
              </w:tc>
              <w:tc>
                <w:tcPr>
                  <w:tcW w:w="535" w:type="pct"/>
                  <w:vAlign w:val="center"/>
                </w:tcPr>
                <w:p w14:paraId="1B68864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年发生频次</w:t>
                  </w:r>
                </w:p>
              </w:tc>
              <w:tc>
                <w:tcPr>
                  <w:tcW w:w="826" w:type="pct"/>
                  <w:vAlign w:val="center"/>
                </w:tcPr>
                <w:p w14:paraId="50A3DB8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ascii="Times New Roman" w:hAnsi="Times New Roman" w:eastAsia="宋体" w:cs="Times New Roman"/>
                      <w:bCs/>
                      <w:color w:val="auto"/>
                      <w:szCs w:val="21"/>
                      <w:highlight w:val="none"/>
                    </w:rPr>
                    <w:t>应对措施</w:t>
                  </w:r>
                </w:p>
              </w:tc>
            </w:tr>
            <w:tr w14:paraId="0630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Align w:val="center"/>
                </w:tcPr>
                <w:p w14:paraId="7C7B711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DA001</w:t>
                  </w:r>
                </w:p>
              </w:tc>
              <w:tc>
                <w:tcPr>
                  <w:tcW w:w="470" w:type="pct"/>
                  <w:vMerge w:val="restart"/>
                  <w:vAlign w:val="center"/>
                </w:tcPr>
                <w:p w14:paraId="34D39A1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废气处理设施故障</w:t>
                  </w:r>
                </w:p>
              </w:tc>
              <w:tc>
                <w:tcPr>
                  <w:tcW w:w="602" w:type="pct"/>
                  <w:vAlign w:val="center"/>
                </w:tcPr>
                <w:p w14:paraId="67E677C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颗粒物</w:t>
                  </w:r>
                </w:p>
              </w:tc>
              <w:tc>
                <w:tcPr>
                  <w:tcW w:w="1783" w:type="dxa"/>
                  <w:vAlign w:val="center"/>
                </w:tcPr>
                <w:p w14:paraId="4440384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26.47</w:t>
                  </w:r>
                </w:p>
              </w:tc>
              <w:tc>
                <w:tcPr>
                  <w:tcW w:w="2010" w:type="dxa"/>
                  <w:vAlign w:val="center"/>
                </w:tcPr>
                <w:p w14:paraId="758B9DA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2.1177</w:t>
                  </w:r>
                </w:p>
              </w:tc>
              <w:tc>
                <w:tcPr>
                  <w:tcW w:w="636" w:type="pct"/>
                  <w:vAlign w:val="center"/>
                </w:tcPr>
                <w:p w14:paraId="4A71ACF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0.5</w:t>
                  </w:r>
                </w:p>
              </w:tc>
              <w:tc>
                <w:tcPr>
                  <w:tcW w:w="535" w:type="pct"/>
                  <w:vAlign w:val="center"/>
                </w:tcPr>
                <w:p w14:paraId="638210F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2次</w:t>
                  </w:r>
                </w:p>
              </w:tc>
              <w:tc>
                <w:tcPr>
                  <w:tcW w:w="826" w:type="pct"/>
                  <w:vMerge w:val="restart"/>
                  <w:vAlign w:val="center"/>
                </w:tcPr>
                <w:p w14:paraId="0CC8621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应立即停止生产运行，直至恢复正常</w:t>
                  </w:r>
                </w:p>
              </w:tc>
            </w:tr>
            <w:tr w14:paraId="79A1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Align w:val="center"/>
                </w:tcPr>
                <w:p w14:paraId="10F86B2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DA002</w:t>
                  </w:r>
                </w:p>
              </w:tc>
              <w:tc>
                <w:tcPr>
                  <w:tcW w:w="470" w:type="pct"/>
                  <w:vMerge w:val="continue"/>
                  <w:vAlign w:val="center"/>
                </w:tcPr>
                <w:p w14:paraId="47CAEE7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02" w:type="pct"/>
                  <w:vAlign w:val="center"/>
                </w:tcPr>
                <w:p w14:paraId="50C0E32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非甲烷总烃</w:t>
                  </w:r>
                </w:p>
              </w:tc>
              <w:tc>
                <w:tcPr>
                  <w:tcW w:w="699" w:type="pct"/>
                  <w:vAlign w:val="center"/>
                </w:tcPr>
                <w:p w14:paraId="6975479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65.11</w:t>
                  </w:r>
                </w:p>
              </w:tc>
              <w:tc>
                <w:tcPr>
                  <w:tcW w:w="788" w:type="pct"/>
                  <w:vAlign w:val="center"/>
                </w:tcPr>
                <w:p w14:paraId="1C52618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0.5860</w:t>
                  </w:r>
                </w:p>
              </w:tc>
              <w:tc>
                <w:tcPr>
                  <w:tcW w:w="636" w:type="pct"/>
                  <w:vAlign w:val="center"/>
                </w:tcPr>
                <w:p w14:paraId="63D0FBC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0.5</w:t>
                  </w:r>
                </w:p>
              </w:tc>
              <w:tc>
                <w:tcPr>
                  <w:tcW w:w="535" w:type="pct"/>
                  <w:vAlign w:val="center"/>
                </w:tcPr>
                <w:p w14:paraId="3F36F9C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2次</w:t>
                  </w:r>
                </w:p>
              </w:tc>
              <w:tc>
                <w:tcPr>
                  <w:tcW w:w="826" w:type="pct"/>
                  <w:vMerge w:val="continue"/>
                  <w:vAlign w:val="center"/>
                </w:tcPr>
                <w:p w14:paraId="019F3E8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cs="Times New Roman"/>
                      <w:color w:val="auto"/>
                      <w:sz w:val="21"/>
                      <w:szCs w:val="21"/>
                      <w:highlight w:val="none"/>
                      <w:vertAlign w:val="baseline"/>
                      <w:lang w:val="en-US" w:eastAsia="zh-CN"/>
                    </w:rPr>
                  </w:pPr>
                </w:p>
              </w:tc>
            </w:tr>
          </w:tbl>
          <w:p w14:paraId="402B6904">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default" w:ascii="Times New Roman" w:hAnsi="Times New Roman" w:eastAsia="宋体" w:cs="Times New Roman"/>
                <w:snapToGrid w:val="0"/>
                <w:color w:val="auto"/>
                <w:sz w:val="30"/>
                <w:szCs w:val="30"/>
                <w:highlight w:val="none"/>
                <w:vertAlign w:val="baseline"/>
              </w:rPr>
            </w:pPr>
          </w:p>
        </w:tc>
      </w:tr>
    </w:tbl>
    <w:p w14:paraId="26DC9123">
      <w:pPr>
        <w:pStyle w:val="25"/>
        <w:keepNext w:val="0"/>
        <w:keepLines w:val="0"/>
        <w:pageBreakBefore w:val="0"/>
        <w:widowControl/>
        <w:kinsoku/>
        <w:wordWrap/>
        <w:overflowPunct/>
        <w:topLinePunct w:val="0"/>
        <w:autoSpaceDE/>
        <w:autoSpaceDN/>
        <w:bidi w:val="0"/>
        <w:adjustRightInd/>
        <w:snapToGrid/>
        <w:spacing w:after="157" w:afterLines="50" w:afterAutospacing="0"/>
        <w:jc w:val="center"/>
        <w:textAlignment w:val="auto"/>
        <w:outlineLvl w:val="0"/>
        <w:rPr>
          <w:rFonts w:hint="default" w:ascii="Times New Roman" w:hAnsi="Times New Roman" w:eastAsia="宋体" w:cs="Times New Roman"/>
          <w:snapToGrid w:val="0"/>
          <w:color w:val="auto"/>
          <w:sz w:val="30"/>
          <w:szCs w:val="30"/>
          <w:highlight w:val="none"/>
        </w:rPr>
        <w:sectPr>
          <w:pgSz w:w="16840" w:h="11907" w:orient="landscape"/>
          <w:pgMar w:top="1440" w:right="1800" w:bottom="1440" w:left="1800" w:header="851" w:footer="851" w:gutter="0"/>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8048"/>
      </w:tblGrid>
      <w:tr w14:paraId="2013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1" w:hRule="atLeast"/>
        </w:trPr>
        <w:tc>
          <w:tcPr>
            <w:tcW w:w="475" w:type="dxa"/>
          </w:tcPr>
          <w:p w14:paraId="21861517">
            <w:pPr>
              <w:pStyle w:val="25"/>
              <w:keepNext w:val="0"/>
              <w:keepLines w:val="0"/>
              <w:pageBreakBefore w:val="0"/>
              <w:widowControl/>
              <w:kinsoku/>
              <w:wordWrap/>
              <w:overflowPunct/>
              <w:topLinePunct w:val="0"/>
              <w:autoSpaceDE/>
              <w:autoSpaceDN/>
              <w:bidi w:val="0"/>
              <w:adjustRightInd/>
              <w:snapToGrid/>
              <w:spacing w:after="157" w:afterLines="50" w:afterAutospacing="0"/>
              <w:jc w:val="center"/>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8048" w:type="dxa"/>
          </w:tcPr>
          <w:p w14:paraId="1E70B34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非正常工况下污染物排放量增加，项目废气污染物产生量较小，且非正常工况持续时间较短，不会对周围环境产生较大影响。为确保项目废气处理装置正常运行，建设单位在日常运行过程中，拟采取如下措施：</w:t>
            </w:r>
          </w:p>
          <w:p w14:paraId="6C8C62F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①由公司委派专人负责巡检废气处理装置，做好巡检记录。</w:t>
            </w:r>
          </w:p>
          <w:p w14:paraId="526EE80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②当发现废气处理设施故障并导致废气非正常排放时，应立即停止生产，待废气处理装置故障排除后并可正常运行时方可恢复生产等。</w:t>
            </w:r>
          </w:p>
          <w:p w14:paraId="5A1F079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③按照环评要求定期对废气处理装置进行维护保养，保证废气处理装置的正常运行，以减少废气的非正常排放。</w:t>
            </w:r>
          </w:p>
          <w:p w14:paraId="4456C26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在建设单位措施落实到位的情况下，可以最大程度上避免非正常工况下废气排放对周围环境产生不利影响。</w:t>
            </w:r>
          </w:p>
          <w:p w14:paraId="1FCDA8CC">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b/>
                <w:bCs/>
                <w:color w:val="auto"/>
                <w:sz w:val="24"/>
                <w:szCs w:val="22"/>
                <w:highlight w:val="none"/>
                <w:lang w:val="en-US" w:eastAsia="zh-CN"/>
              </w:rPr>
            </w:pPr>
            <w:r>
              <w:rPr>
                <w:rFonts w:hint="default" w:ascii="Times New Roman" w:hAnsi="Times New Roman" w:cs="Times New Roman"/>
                <w:b/>
                <w:bCs/>
                <w:color w:val="auto"/>
                <w:sz w:val="24"/>
                <w:szCs w:val="22"/>
                <w:highlight w:val="none"/>
                <w:lang w:val="en-US" w:eastAsia="zh-CN"/>
              </w:rPr>
              <w:t>1.4 废气处理设施技术可行性</w:t>
            </w:r>
          </w:p>
          <w:p w14:paraId="5A4EE8D2">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default" w:ascii="Times New Roman" w:hAnsi="Times New Roman" w:cs="Times New Roman"/>
                <w:b/>
                <w:bCs w:val="0"/>
                <w:caps w:val="0"/>
                <w:smallCaps w:val="0"/>
                <w:strike w:val="0"/>
                <w:dstrike w:val="0"/>
                <w:color w:val="auto"/>
                <w:sz w:val="24"/>
                <w:szCs w:val="24"/>
                <w:highlight w:val="none"/>
                <w:lang w:val="en-US" w:eastAsia="zh-CN"/>
              </w:rPr>
            </w:pPr>
            <w:r>
              <w:rPr>
                <w:rFonts w:hint="eastAsia" w:ascii="Times New Roman" w:hAnsi="Times New Roman" w:cs="Times New Roman"/>
                <w:b/>
                <w:bCs w:val="0"/>
                <w:caps w:val="0"/>
                <w:smallCaps w:val="0"/>
                <w:strike w:val="0"/>
                <w:dstrike w:val="0"/>
                <w:color w:val="auto"/>
                <w:sz w:val="24"/>
                <w:szCs w:val="24"/>
                <w:highlight w:val="none"/>
                <w:lang w:val="en-US" w:eastAsia="zh-CN"/>
              </w:rPr>
              <w:t>1.4.1 除尘设施技术可行性</w:t>
            </w:r>
          </w:p>
          <w:p w14:paraId="281F3AF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val="0"/>
                <w:bCs w:val="0"/>
                <w:color w:val="auto"/>
                <w:sz w:val="24"/>
                <w:szCs w:val="22"/>
                <w:highlight w:val="none"/>
                <w:u w:val="none"/>
                <w:lang w:val="en-US" w:eastAsia="zh-CN"/>
              </w:rPr>
            </w:pPr>
            <w:r>
              <w:rPr>
                <w:rFonts w:hint="default" w:ascii="Times New Roman" w:hAnsi="Times New Roman" w:cs="Times New Roman"/>
                <w:b w:val="0"/>
                <w:bCs w:val="0"/>
                <w:color w:val="auto"/>
                <w:sz w:val="24"/>
                <w:szCs w:val="22"/>
                <w:highlight w:val="none"/>
                <w:u w:val="none"/>
                <w:lang w:val="en-US" w:eastAsia="zh-CN"/>
              </w:rPr>
              <w:t>袋式除尘器工作原理：含尘气体由除尘器下部进气管道，经导流板进入灰斗时，由于导流板的碰撞和气体速度的降低等作用，粗粒粉尘将落入灰斗中，其余细小颗粒粉尘随气体进入滤袋室，由于滤料纤维及织物的惯性、扩散、阻隔、钩挂、静电等作用，粉尘被阻留在滤袋内，净化后的气体逸出袋外，经排气管排出。滤袋上的积灰用气体逆洗法去除，清除下来的粉尘下到灰斗，经双层卸灰阀排到输灰装置。滤袋上的积灰也可以采用喷吹脉冲气流的方法去除，从而达到清灰的目的，清除下来的粉尘由排灰装置排走。</w:t>
            </w:r>
          </w:p>
          <w:p w14:paraId="749CC307">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both"/>
              <w:textAlignment w:val="auto"/>
              <w:rPr>
                <w:rFonts w:hint="default" w:ascii="Times New Roman" w:hAnsi="Times New Roman" w:cs="Times New Roman"/>
                <w:b/>
                <w:bCs/>
                <w:color w:val="auto"/>
                <w:sz w:val="24"/>
                <w:szCs w:val="22"/>
                <w:highlight w:val="none"/>
                <w:u w:val="none"/>
                <w:lang w:val="en-US" w:eastAsia="zh-CN"/>
              </w:rPr>
            </w:pPr>
            <w:r>
              <w:rPr>
                <w:rFonts w:hint="eastAsia" w:ascii="Times New Roman" w:hAnsi="Times New Roman" w:cs="Times New Roman"/>
                <w:b/>
                <w:bCs/>
                <w:color w:val="auto"/>
                <w:sz w:val="24"/>
                <w:szCs w:val="22"/>
                <w:highlight w:val="none"/>
                <w:u w:val="none"/>
                <w:lang w:val="en-US" w:eastAsia="zh-CN"/>
              </w:rPr>
              <w:t>1.4.2 有机废气处理设施技术可行性</w:t>
            </w:r>
          </w:p>
          <w:p w14:paraId="6F52D552">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Times New Roman" w:hAnsi="Times New Roman" w:cs="Times New Roman"/>
                <w:b w:val="0"/>
                <w:bCs w:val="0"/>
                <w:color w:val="auto"/>
                <w:sz w:val="24"/>
                <w:szCs w:val="22"/>
                <w:highlight w:val="none"/>
                <w:u w:val="none"/>
                <w:lang w:val="en-US" w:eastAsia="zh-CN"/>
              </w:rPr>
            </w:pPr>
            <w:r>
              <w:rPr>
                <w:rFonts w:hint="eastAsia" w:ascii="Times New Roman" w:hAnsi="Times New Roman" w:cs="Times New Roman"/>
                <w:b w:val="0"/>
                <w:bCs w:val="0"/>
                <w:color w:val="auto"/>
                <w:sz w:val="24"/>
                <w:szCs w:val="22"/>
                <w:highlight w:val="none"/>
                <w:u w:val="none"/>
                <w:lang w:val="en-US" w:eastAsia="zh-CN"/>
              </w:rPr>
              <w:t>活性炭</w:t>
            </w:r>
            <w:r>
              <w:rPr>
                <w:rFonts w:hint="default" w:ascii="Times New Roman" w:hAnsi="Times New Roman" w:cs="Times New Roman"/>
                <w:b w:val="0"/>
                <w:bCs w:val="0"/>
                <w:color w:val="auto"/>
                <w:sz w:val="24"/>
                <w:szCs w:val="22"/>
                <w:highlight w:val="none"/>
                <w:u w:val="none"/>
                <w:lang w:val="en-US" w:eastAsia="zh-CN"/>
              </w:rPr>
              <w:t>工作原理：</w:t>
            </w:r>
            <w:r>
              <w:rPr>
                <w:rFonts w:hint="eastAsia" w:ascii="Times New Roman" w:hAnsi="Times New Roman" w:cs="Times New Roman"/>
                <w:b w:val="0"/>
                <w:bCs w:val="0"/>
                <w:color w:val="auto"/>
                <w:sz w:val="24"/>
                <w:szCs w:val="22"/>
                <w:highlight w:val="none"/>
                <w:u w:val="none"/>
                <w:lang w:val="en-US" w:eastAsia="zh-CN"/>
              </w:rPr>
              <w:t>活性炭是一种主要由含碳材料制成的外观呈黑色，内部孔隙结构发达、比表面积大、吸附能力强的一类微晶质碳素材料。活性炭材料中有大量肉眼看不见的微孔，1克活性炭材料中微孔，将其展开后表面积可高达800-1500m</w:t>
            </w:r>
            <w:r>
              <w:rPr>
                <w:rFonts w:hint="eastAsia" w:ascii="Times New Roman" w:hAnsi="Times New Roman" w:cs="Times New Roman"/>
                <w:b w:val="0"/>
                <w:bCs w:val="0"/>
                <w:color w:val="auto"/>
                <w:sz w:val="24"/>
                <w:szCs w:val="22"/>
                <w:highlight w:val="none"/>
                <w:u w:val="none"/>
                <w:vertAlign w:val="superscript"/>
                <w:lang w:val="en-US" w:eastAsia="zh-CN"/>
              </w:rPr>
              <w:t>2</w:t>
            </w:r>
            <w:r>
              <w:rPr>
                <w:rFonts w:hint="eastAsia" w:ascii="Times New Roman" w:hAnsi="Times New Roman" w:cs="Times New Roman"/>
                <w:b w:val="0"/>
                <w:bCs w:val="0"/>
                <w:color w:val="auto"/>
                <w:sz w:val="24"/>
                <w:szCs w:val="22"/>
                <w:highlight w:val="none"/>
                <w:u w:val="none"/>
                <w:lang w:val="en-US" w:eastAsia="zh-CN"/>
              </w:rPr>
              <w:t>，特殊用途的更高。正是这些高度发达，如人体毛细血管般的孔隙结构，使活性炭拥有了优良的吸附性能。由于分子之间拥有相互吸引的作用力，当一个分子被活性炭内孔捕捉进入到活性炭内孔隙中后，由于分子之间相互吸引的原因，会导致更多的分子不断被吸引，直到填满活性炭内孔隙为止。在活性炭吸附器的设计上，采用立式多层设计。选用蜂窝活性炭为吸附剂，具有吸附性能好，流体阻力小等特点。活性炭吸附床内装活性炭层及气流分布器，以浓缩净化有机气体，活性炭模块化装填。活性炭选用蜂窝状活性炭（活性炭碘值在800mg/g及以上）。</w:t>
            </w:r>
          </w:p>
          <w:p w14:paraId="4A0D42E6">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b w:val="0"/>
                <w:bCs w:val="0"/>
                <w:color w:val="auto"/>
                <w:sz w:val="24"/>
                <w:szCs w:val="22"/>
                <w:highlight w:val="none"/>
                <w:u w:val="none"/>
                <w:lang w:val="en-US" w:eastAsia="zh-CN"/>
              </w:rPr>
            </w:pPr>
            <w:r>
              <w:rPr>
                <w:rFonts w:hint="eastAsia" w:cs="Times New Roman"/>
                <w:b w:val="0"/>
                <w:bCs w:val="0"/>
                <w:color w:val="auto"/>
                <w:sz w:val="24"/>
                <w:szCs w:val="22"/>
                <w:highlight w:val="none"/>
                <w:u w:val="none"/>
                <w:lang w:val="en-US" w:eastAsia="zh-CN"/>
              </w:rPr>
              <w:t>分子筛工作原理：分子筛是一种具有均匀微孔结构的吸附材料，其核心原理是基于孔径筛分效应和表面吸附作用，选择性吸附气体或液体混合物中特定大小的分子。只有动力学直径小于分子筛孔径的分子才能进入孔道并被吸附，更大的分子被阻挡在外，分子筛表面带负电，对极性分子（如水、NH</w:t>
            </w:r>
            <w:r>
              <w:rPr>
                <w:rFonts w:hint="eastAsia" w:cs="Times New Roman"/>
                <w:b w:val="0"/>
                <w:bCs w:val="0"/>
                <w:color w:val="auto"/>
                <w:sz w:val="24"/>
                <w:szCs w:val="22"/>
                <w:highlight w:val="none"/>
                <w:u w:val="none"/>
                <w:vertAlign w:val="subscript"/>
                <w:lang w:val="en-US" w:eastAsia="zh-CN"/>
              </w:rPr>
              <w:t>3</w:t>
            </w:r>
            <w:r>
              <w:rPr>
                <w:rFonts w:hint="eastAsia" w:cs="Times New Roman"/>
                <w:b w:val="0"/>
                <w:bCs w:val="0"/>
                <w:color w:val="auto"/>
                <w:sz w:val="24"/>
                <w:szCs w:val="22"/>
                <w:highlight w:val="none"/>
                <w:u w:val="none"/>
                <w:lang w:val="en-US" w:eastAsia="zh-CN"/>
              </w:rPr>
              <w:t>、CO</w:t>
            </w:r>
            <w:r>
              <w:rPr>
                <w:rFonts w:hint="eastAsia" w:cs="Times New Roman"/>
                <w:b w:val="0"/>
                <w:bCs w:val="0"/>
                <w:color w:val="auto"/>
                <w:sz w:val="24"/>
                <w:szCs w:val="22"/>
                <w:highlight w:val="none"/>
                <w:u w:val="none"/>
                <w:vertAlign w:val="subscript"/>
                <w:lang w:val="en-US" w:eastAsia="zh-CN"/>
              </w:rPr>
              <w:t>2</w:t>
            </w:r>
            <w:r>
              <w:rPr>
                <w:rFonts w:hint="eastAsia" w:cs="Times New Roman"/>
                <w:b w:val="0"/>
                <w:bCs w:val="0"/>
                <w:color w:val="auto"/>
                <w:sz w:val="24"/>
                <w:szCs w:val="22"/>
                <w:highlight w:val="none"/>
                <w:u w:val="none"/>
                <w:lang w:val="en-US" w:eastAsia="zh-CN"/>
              </w:rPr>
              <w:t>）或可极化分子（如不饱和烃）有更强吸附力，交换不同阳离子可改变孔道内的电场分布，影响吸附选择性，非极性分子通过范德华力被吸附，在微孔中发生毛细管凝聚（尤其在低温高压下）。</w:t>
            </w:r>
          </w:p>
          <w:p w14:paraId="211B435F">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b w:val="0"/>
                <w:bCs w:val="0"/>
                <w:color w:val="auto"/>
                <w:sz w:val="24"/>
                <w:szCs w:val="22"/>
                <w:highlight w:val="none"/>
                <w:u w:val="none"/>
                <w:lang w:val="en-US" w:eastAsia="zh-CN"/>
              </w:rPr>
            </w:pPr>
            <w:r>
              <w:rPr>
                <w:rFonts w:hint="eastAsia" w:ascii="Times New Roman" w:hAnsi="Times New Roman" w:cs="Times New Roman"/>
                <w:b w:val="0"/>
                <w:bCs w:val="0"/>
                <w:color w:val="auto"/>
                <w:sz w:val="24"/>
                <w:szCs w:val="22"/>
                <w:highlight w:val="none"/>
                <w:u w:val="none"/>
                <w:lang w:val="en-US" w:eastAsia="zh-CN"/>
              </w:rPr>
              <w:t>参照</w:t>
            </w:r>
            <w:r>
              <w:rPr>
                <w:rFonts w:hint="default" w:ascii="Times New Roman" w:hAnsi="Times New Roman" w:cs="Times New Roman"/>
                <w:b w:val="0"/>
                <w:bCs w:val="0"/>
                <w:color w:val="auto"/>
                <w:sz w:val="24"/>
                <w:szCs w:val="22"/>
                <w:highlight w:val="none"/>
                <w:u w:val="none"/>
                <w:lang w:val="en-US" w:eastAsia="zh-CN"/>
              </w:rPr>
              <w:t>《排污许可证申请与核发技术规范</w:t>
            </w:r>
            <w:r>
              <w:rPr>
                <w:rFonts w:hint="eastAsia" w:ascii="Times New Roman" w:hAnsi="Times New Roman" w:cs="Times New Roman"/>
                <w:b w:val="0"/>
                <w:bCs w:val="0"/>
                <w:color w:val="auto"/>
                <w:sz w:val="24"/>
                <w:szCs w:val="22"/>
                <w:highlight w:val="none"/>
                <w:u w:val="none"/>
                <w:lang w:val="en-US" w:eastAsia="zh-CN"/>
              </w:rPr>
              <w:t xml:space="preserve"> 总则</w:t>
            </w:r>
            <w:r>
              <w:rPr>
                <w:rFonts w:hint="default" w:ascii="Times New Roman" w:hAnsi="Times New Roman" w:cs="Times New Roman"/>
                <w:b w:val="0"/>
                <w:bCs w:val="0"/>
                <w:color w:val="auto"/>
                <w:sz w:val="24"/>
                <w:szCs w:val="22"/>
                <w:highlight w:val="none"/>
                <w:u w:val="none"/>
                <w:lang w:val="en-US" w:eastAsia="zh-CN"/>
              </w:rPr>
              <w:t>》（HJ</w:t>
            </w:r>
            <w:r>
              <w:rPr>
                <w:rFonts w:hint="eastAsia" w:ascii="Times New Roman" w:hAnsi="Times New Roman" w:cs="Times New Roman"/>
                <w:b w:val="0"/>
                <w:bCs w:val="0"/>
                <w:color w:val="auto"/>
                <w:sz w:val="24"/>
                <w:szCs w:val="22"/>
                <w:highlight w:val="none"/>
                <w:u w:val="none"/>
                <w:lang w:val="en-US" w:eastAsia="zh-CN"/>
              </w:rPr>
              <w:t>1034-2019</w:t>
            </w:r>
            <w:r>
              <w:rPr>
                <w:rFonts w:hint="default" w:ascii="Times New Roman" w:hAnsi="Times New Roman" w:cs="Times New Roman"/>
                <w:b w:val="0"/>
                <w:bCs w:val="0"/>
                <w:color w:val="auto"/>
                <w:sz w:val="24"/>
                <w:szCs w:val="22"/>
                <w:highlight w:val="none"/>
                <w:u w:val="none"/>
                <w:lang w:val="en-US" w:eastAsia="zh-CN"/>
              </w:rPr>
              <w:t>）</w:t>
            </w:r>
            <w:r>
              <w:rPr>
                <w:rFonts w:hint="eastAsia" w:ascii="Times New Roman" w:hAnsi="Times New Roman" w:cs="Times New Roman"/>
                <w:b w:val="0"/>
                <w:bCs w:val="0"/>
                <w:color w:val="auto"/>
                <w:sz w:val="24"/>
                <w:szCs w:val="22"/>
                <w:highlight w:val="none"/>
                <w:u w:val="none"/>
                <w:lang w:val="en-US" w:eastAsia="zh-CN"/>
              </w:rPr>
              <w:t>及《排污许可证申请与核发技术规范 铁路、船舶、航空航天和其他运输设备制造业》（HJ1124-2020）</w:t>
            </w:r>
            <w:r>
              <w:rPr>
                <w:rFonts w:hint="default" w:ascii="Times New Roman" w:hAnsi="Times New Roman" w:cs="Times New Roman"/>
                <w:b w:val="0"/>
                <w:bCs w:val="0"/>
                <w:color w:val="auto"/>
                <w:sz w:val="24"/>
                <w:szCs w:val="22"/>
                <w:highlight w:val="none"/>
                <w:u w:val="none"/>
                <w:lang w:val="en-US" w:eastAsia="zh-CN"/>
              </w:rPr>
              <w:t>中污染防治可行技术</w:t>
            </w:r>
            <w:r>
              <w:rPr>
                <w:rFonts w:hint="eastAsia" w:ascii="Times New Roman" w:hAnsi="Times New Roman" w:cs="Times New Roman"/>
                <w:b w:val="0"/>
                <w:bCs w:val="0"/>
                <w:color w:val="auto"/>
                <w:sz w:val="24"/>
                <w:szCs w:val="22"/>
                <w:highlight w:val="none"/>
                <w:u w:val="none"/>
                <w:lang w:val="en-US" w:eastAsia="zh-CN"/>
              </w:rPr>
              <w:t>，切割、焊接过程</w:t>
            </w:r>
            <w:r>
              <w:rPr>
                <w:rFonts w:hint="default" w:ascii="Times New Roman" w:hAnsi="Times New Roman" w:cs="Times New Roman"/>
                <w:b w:val="0"/>
                <w:bCs w:val="0"/>
                <w:color w:val="auto"/>
                <w:sz w:val="24"/>
                <w:szCs w:val="22"/>
                <w:highlight w:val="none"/>
                <w:u w:val="none"/>
                <w:lang w:val="en-US" w:eastAsia="zh-CN"/>
              </w:rPr>
              <w:t>产生的</w:t>
            </w:r>
            <w:r>
              <w:rPr>
                <w:rFonts w:hint="eastAsia" w:ascii="Times New Roman" w:hAnsi="Times New Roman" w:cs="Times New Roman"/>
                <w:b w:val="0"/>
                <w:bCs w:val="0"/>
                <w:color w:val="auto"/>
                <w:sz w:val="24"/>
                <w:szCs w:val="22"/>
                <w:highlight w:val="none"/>
                <w:u w:val="none"/>
                <w:lang w:val="en-US" w:eastAsia="zh-CN"/>
              </w:rPr>
              <w:t>颗粒物</w:t>
            </w:r>
            <w:r>
              <w:rPr>
                <w:rFonts w:hint="default" w:ascii="Times New Roman" w:hAnsi="Times New Roman" w:cs="Times New Roman"/>
                <w:b w:val="0"/>
                <w:bCs w:val="0"/>
                <w:color w:val="auto"/>
                <w:sz w:val="24"/>
                <w:szCs w:val="22"/>
                <w:highlight w:val="none"/>
                <w:u w:val="none"/>
                <w:lang w:val="en-US" w:eastAsia="zh-CN"/>
              </w:rPr>
              <w:t>适宜采用的污染防治设施为</w:t>
            </w:r>
            <w:r>
              <w:rPr>
                <w:rFonts w:hint="eastAsia" w:ascii="Times New Roman" w:hAnsi="Times New Roman" w:cs="Times New Roman"/>
                <w:b w:val="0"/>
                <w:bCs w:val="0"/>
                <w:color w:val="auto"/>
                <w:sz w:val="24"/>
                <w:szCs w:val="22"/>
                <w:highlight w:val="none"/>
                <w:u w:val="none"/>
                <w:lang w:val="en-US" w:eastAsia="zh-CN"/>
              </w:rPr>
              <w:t>袋式除尘、静电除尘等</w:t>
            </w:r>
            <w:r>
              <w:rPr>
                <w:rFonts w:hint="default" w:ascii="Times New Roman" w:hAnsi="Times New Roman" w:cs="Times New Roman"/>
                <w:b w:val="0"/>
                <w:bCs w:val="0"/>
                <w:color w:val="auto"/>
                <w:sz w:val="24"/>
                <w:szCs w:val="22"/>
                <w:highlight w:val="none"/>
                <w:u w:val="none"/>
                <w:lang w:val="en-US" w:eastAsia="zh-CN"/>
              </w:rPr>
              <w:t>；</w:t>
            </w:r>
            <w:r>
              <w:rPr>
                <w:rFonts w:hint="eastAsia" w:ascii="Times New Roman" w:hAnsi="Times New Roman" w:cs="Times New Roman"/>
                <w:b w:val="0"/>
                <w:bCs w:val="0"/>
                <w:color w:val="auto"/>
                <w:sz w:val="24"/>
                <w:szCs w:val="22"/>
                <w:highlight w:val="none"/>
                <w:u w:val="none"/>
                <w:lang w:val="en-US" w:eastAsia="zh-CN"/>
              </w:rPr>
              <w:t>生产过程产生的非甲烷总烃宜采用活性炭吸附等有机废气治理设施处理</w:t>
            </w:r>
            <w:r>
              <w:rPr>
                <w:rFonts w:hint="default" w:ascii="Times New Roman" w:hAnsi="Times New Roman" w:cs="Times New Roman"/>
                <w:b w:val="0"/>
                <w:bCs w:val="0"/>
                <w:color w:val="auto"/>
                <w:sz w:val="24"/>
                <w:szCs w:val="22"/>
                <w:highlight w:val="none"/>
                <w:u w:val="none"/>
                <w:lang w:val="en-US" w:eastAsia="zh-CN"/>
              </w:rPr>
              <w:t>。</w:t>
            </w:r>
          </w:p>
          <w:p w14:paraId="498F6399">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Times New Roman" w:hAnsi="Times New Roman" w:eastAsia="宋体" w:cs="Times New Roman"/>
                <w:b w:val="0"/>
                <w:bCs w:val="0"/>
                <w:color w:val="auto"/>
                <w:sz w:val="21"/>
                <w:szCs w:val="20"/>
                <w:highlight w:val="none"/>
                <w:u w:val="none"/>
                <w:lang w:val="en-US" w:eastAsia="zh-CN"/>
              </w:rPr>
            </w:pPr>
            <w:r>
              <w:rPr>
                <w:rFonts w:hint="default" w:ascii="Times New Roman" w:hAnsi="Times New Roman" w:cs="Times New Roman"/>
                <w:b w:val="0"/>
                <w:bCs w:val="0"/>
                <w:color w:val="auto"/>
                <w:sz w:val="24"/>
                <w:szCs w:val="22"/>
                <w:highlight w:val="none"/>
                <w:u w:val="none"/>
                <w:lang w:val="en-US" w:eastAsia="zh-CN"/>
              </w:rPr>
              <w:t>本项目</w:t>
            </w:r>
            <w:r>
              <w:rPr>
                <w:rFonts w:hint="eastAsia" w:ascii="Times New Roman" w:hAnsi="Times New Roman" w:cs="Times New Roman"/>
                <w:b w:val="0"/>
                <w:bCs w:val="0"/>
                <w:color w:val="auto"/>
                <w:sz w:val="24"/>
                <w:szCs w:val="22"/>
                <w:highlight w:val="none"/>
                <w:u w:val="none"/>
                <w:lang w:val="en-US" w:eastAsia="zh-CN"/>
              </w:rPr>
              <w:t>生产过程切割、焊接等产尘工序</w:t>
            </w:r>
            <w:r>
              <w:rPr>
                <w:rFonts w:hint="default" w:ascii="Times New Roman" w:hAnsi="Times New Roman" w:cs="Times New Roman"/>
                <w:b w:val="0"/>
                <w:bCs w:val="0"/>
                <w:color w:val="auto"/>
                <w:sz w:val="24"/>
                <w:szCs w:val="22"/>
                <w:highlight w:val="none"/>
                <w:u w:val="none"/>
                <w:lang w:val="en-US" w:eastAsia="zh-CN"/>
              </w:rPr>
              <w:t>产生的</w:t>
            </w:r>
            <w:r>
              <w:rPr>
                <w:rFonts w:hint="eastAsia" w:ascii="Times New Roman" w:hAnsi="Times New Roman" w:cs="Times New Roman"/>
                <w:b w:val="0"/>
                <w:bCs w:val="0"/>
                <w:color w:val="auto"/>
                <w:sz w:val="24"/>
                <w:szCs w:val="22"/>
                <w:highlight w:val="none"/>
                <w:u w:val="none"/>
                <w:lang w:val="en-US" w:eastAsia="zh-CN"/>
              </w:rPr>
              <w:t>颗粒物</w:t>
            </w:r>
            <w:r>
              <w:rPr>
                <w:rFonts w:hint="default" w:ascii="Times New Roman" w:hAnsi="Times New Roman" w:cs="Times New Roman"/>
                <w:b w:val="0"/>
                <w:bCs w:val="0"/>
                <w:color w:val="auto"/>
                <w:sz w:val="24"/>
                <w:szCs w:val="22"/>
                <w:highlight w:val="none"/>
                <w:u w:val="none"/>
                <w:lang w:val="en-US" w:eastAsia="zh-CN"/>
              </w:rPr>
              <w:t>采用“</w:t>
            </w:r>
            <w:r>
              <w:rPr>
                <w:rFonts w:hint="eastAsia" w:ascii="Times New Roman" w:hAnsi="Times New Roman" w:cs="Times New Roman"/>
                <w:b w:val="0"/>
                <w:bCs w:val="0"/>
                <w:color w:val="auto"/>
                <w:sz w:val="24"/>
                <w:szCs w:val="22"/>
                <w:highlight w:val="none"/>
                <w:u w:val="none"/>
                <w:lang w:val="en-US" w:eastAsia="zh-CN"/>
              </w:rPr>
              <w:t>集气收集</w:t>
            </w:r>
            <w:r>
              <w:rPr>
                <w:rFonts w:hint="default" w:ascii="Times New Roman" w:hAnsi="Times New Roman" w:cs="Times New Roman"/>
                <w:b w:val="0"/>
                <w:bCs w:val="0"/>
                <w:color w:val="auto"/>
                <w:sz w:val="24"/>
                <w:szCs w:val="22"/>
                <w:highlight w:val="none"/>
                <w:u w:val="none"/>
                <w:lang w:val="en-US" w:eastAsia="zh-CN"/>
              </w:rPr>
              <w:t>+</w:t>
            </w:r>
            <w:r>
              <w:rPr>
                <w:rFonts w:hint="eastAsia" w:cs="Times New Roman"/>
                <w:b w:val="0"/>
                <w:bCs w:val="0"/>
                <w:color w:val="auto"/>
                <w:sz w:val="24"/>
                <w:szCs w:val="22"/>
                <w:highlight w:val="none"/>
                <w:u w:val="none"/>
                <w:lang w:val="en-US" w:eastAsia="zh-CN"/>
              </w:rPr>
              <w:t>袋式除尘</w:t>
            </w:r>
            <w:r>
              <w:rPr>
                <w:rFonts w:hint="default" w:ascii="Times New Roman" w:hAnsi="Times New Roman" w:cs="Times New Roman"/>
                <w:b w:val="0"/>
                <w:bCs w:val="0"/>
                <w:color w:val="auto"/>
                <w:sz w:val="24"/>
                <w:szCs w:val="22"/>
                <w:highlight w:val="none"/>
                <w:u w:val="none"/>
                <w:lang w:val="en-US" w:eastAsia="zh-CN"/>
              </w:rPr>
              <w:t>”进行处理</w:t>
            </w:r>
            <w:r>
              <w:rPr>
                <w:rFonts w:hint="eastAsia" w:ascii="Times New Roman" w:hAnsi="Times New Roman" w:cs="Times New Roman"/>
                <w:b w:val="0"/>
                <w:bCs w:val="0"/>
                <w:color w:val="auto"/>
                <w:sz w:val="24"/>
                <w:szCs w:val="22"/>
                <w:highlight w:val="none"/>
                <w:u w:val="none"/>
                <w:lang w:val="en-US" w:eastAsia="zh-CN"/>
              </w:rPr>
              <w:t>、防锈工序产生的非甲烷总烃采用“集气收集+</w:t>
            </w:r>
            <w:r>
              <w:rPr>
                <w:rFonts w:hint="eastAsia" w:cs="Times New Roman"/>
                <w:b w:val="0"/>
                <w:bCs w:val="0"/>
                <w:color w:val="auto"/>
                <w:sz w:val="24"/>
                <w:szCs w:val="22"/>
                <w:highlight w:val="none"/>
                <w:u w:val="none"/>
                <w:lang w:val="en-US" w:eastAsia="zh-CN"/>
              </w:rPr>
              <w:t>活性炭+分子筛吸附</w:t>
            </w:r>
            <w:r>
              <w:rPr>
                <w:rFonts w:hint="eastAsia" w:ascii="Times New Roman" w:hAnsi="Times New Roman" w:cs="Times New Roman"/>
                <w:b w:val="0"/>
                <w:bCs w:val="0"/>
                <w:color w:val="auto"/>
                <w:sz w:val="24"/>
                <w:szCs w:val="22"/>
                <w:highlight w:val="none"/>
                <w:u w:val="none"/>
                <w:lang w:val="en-US" w:eastAsia="zh-CN"/>
              </w:rPr>
              <w:t>”进行处理</w:t>
            </w:r>
            <w:r>
              <w:rPr>
                <w:rFonts w:hint="default" w:ascii="Times New Roman" w:hAnsi="Times New Roman" w:cs="Times New Roman"/>
                <w:b w:val="0"/>
                <w:bCs w:val="0"/>
                <w:color w:val="auto"/>
                <w:sz w:val="24"/>
                <w:szCs w:val="22"/>
                <w:highlight w:val="none"/>
                <w:u w:val="none"/>
                <w:lang w:val="en-US" w:eastAsia="zh-CN"/>
              </w:rPr>
              <w:t>，符合《排污许可证申请与核发技术规范</w:t>
            </w:r>
            <w:r>
              <w:rPr>
                <w:rFonts w:hint="eastAsia" w:ascii="Times New Roman" w:hAnsi="Times New Roman" w:cs="Times New Roman"/>
                <w:b w:val="0"/>
                <w:bCs w:val="0"/>
                <w:color w:val="auto"/>
                <w:sz w:val="24"/>
                <w:szCs w:val="22"/>
                <w:highlight w:val="none"/>
                <w:u w:val="none"/>
                <w:lang w:val="en-US" w:eastAsia="zh-CN"/>
              </w:rPr>
              <w:t xml:space="preserve"> 总则</w:t>
            </w:r>
            <w:r>
              <w:rPr>
                <w:rFonts w:hint="default" w:ascii="Times New Roman" w:hAnsi="Times New Roman" w:cs="Times New Roman"/>
                <w:b w:val="0"/>
                <w:bCs w:val="0"/>
                <w:color w:val="auto"/>
                <w:sz w:val="24"/>
                <w:szCs w:val="22"/>
                <w:highlight w:val="none"/>
                <w:u w:val="none"/>
                <w:lang w:val="en-US" w:eastAsia="zh-CN"/>
              </w:rPr>
              <w:t>》（HJ</w:t>
            </w:r>
            <w:r>
              <w:rPr>
                <w:rFonts w:hint="eastAsia" w:ascii="Times New Roman" w:hAnsi="Times New Roman" w:cs="Times New Roman"/>
                <w:b w:val="0"/>
                <w:bCs w:val="0"/>
                <w:color w:val="auto"/>
                <w:sz w:val="24"/>
                <w:szCs w:val="22"/>
                <w:highlight w:val="none"/>
                <w:u w:val="none"/>
                <w:lang w:val="en-US" w:eastAsia="zh-CN"/>
              </w:rPr>
              <w:t>1034-2019</w:t>
            </w:r>
            <w:r>
              <w:rPr>
                <w:rFonts w:hint="default" w:ascii="Times New Roman" w:hAnsi="Times New Roman" w:cs="Times New Roman"/>
                <w:b w:val="0"/>
                <w:bCs w:val="0"/>
                <w:color w:val="auto"/>
                <w:sz w:val="24"/>
                <w:szCs w:val="22"/>
                <w:highlight w:val="none"/>
                <w:u w:val="none"/>
                <w:lang w:val="en-US" w:eastAsia="zh-CN"/>
              </w:rPr>
              <w:t>）</w:t>
            </w:r>
            <w:r>
              <w:rPr>
                <w:rFonts w:hint="eastAsia" w:ascii="Times New Roman" w:hAnsi="Times New Roman" w:cs="Times New Roman"/>
                <w:b w:val="0"/>
                <w:bCs w:val="0"/>
                <w:color w:val="auto"/>
                <w:sz w:val="24"/>
                <w:szCs w:val="22"/>
                <w:highlight w:val="none"/>
                <w:u w:val="none"/>
                <w:lang w:val="en-US" w:eastAsia="zh-CN"/>
              </w:rPr>
              <w:t>及《排污许可证申请与核发技术规范 铁路、船舶、航空航天和其他运输设备制造业》（HJ1124-2020）</w:t>
            </w:r>
            <w:r>
              <w:rPr>
                <w:rFonts w:hint="default" w:ascii="Times New Roman" w:hAnsi="Times New Roman" w:cs="Times New Roman"/>
                <w:b w:val="0"/>
                <w:bCs w:val="0"/>
                <w:color w:val="auto"/>
                <w:sz w:val="24"/>
                <w:szCs w:val="22"/>
                <w:highlight w:val="none"/>
                <w:u w:val="none"/>
                <w:lang w:val="en-US" w:eastAsia="zh-CN"/>
              </w:rPr>
              <w:t>的规范要求，为可行技术。</w:t>
            </w:r>
          </w:p>
          <w:p w14:paraId="4C96F1DF">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val="en-US" w:eastAsia="zh-CN"/>
              </w:rPr>
              <w:t xml:space="preserve"> 大气环境影响分析小结</w:t>
            </w:r>
          </w:p>
          <w:p w14:paraId="60E5905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本项目处于不达标区，项目新增污染源有替代方案。本项目最近环境保护目标为</w:t>
            </w:r>
            <w:r>
              <w:rPr>
                <w:rFonts w:hint="eastAsia" w:ascii="Times New Roman" w:hAnsi="Times New Roman" w:cs="Times New Roman"/>
                <w:b w:val="0"/>
                <w:bCs w:val="0"/>
                <w:color w:val="auto"/>
                <w:sz w:val="24"/>
                <w:szCs w:val="24"/>
                <w:highlight w:val="none"/>
                <w:lang w:val="en-US" w:eastAsia="zh-CN"/>
              </w:rPr>
              <w:t>袁家村</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S220</w:t>
            </w:r>
            <w:r>
              <w:rPr>
                <w:rFonts w:hint="default" w:ascii="Times New Roman" w:hAnsi="Times New Roman" w:cs="Times New Roman"/>
                <w:b w:val="0"/>
                <w:bCs w:val="0"/>
                <w:color w:val="auto"/>
                <w:sz w:val="24"/>
                <w:szCs w:val="24"/>
                <w:highlight w:val="none"/>
                <w:lang w:val="en-US" w:eastAsia="zh-CN"/>
              </w:rPr>
              <w:t>m）</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2"/>
                <w:highlight w:val="none"/>
                <w:u w:val="none"/>
                <w:lang w:val="en-US" w:eastAsia="zh-CN"/>
              </w:rPr>
              <w:t>项目</w:t>
            </w:r>
            <w:r>
              <w:rPr>
                <w:rFonts w:hint="eastAsia" w:ascii="Times New Roman" w:hAnsi="Times New Roman" w:cs="Times New Roman"/>
                <w:b w:val="0"/>
                <w:bCs w:val="0"/>
                <w:color w:val="auto"/>
                <w:sz w:val="24"/>
                <w:szCs w:val="22"/>
                <w:highlight w:val="none"/>
                <w:u w:val="none"/>
                <w:lang w:val="en-US" w:eastAsia="zh-CN"/>
              </w:rPr>
              <w:t>生产过程切割、焊接等产尘工序</w:t>
            </w:r>
            <w:r>
              <w:rPr>
                <w:rFonts w:hint="default" w:ascii="Times New Roman" w:hAnsi="Times New Roman" w:cs="Times New Roman"/>
                <w:b w:val="0"/>
                <w:bCs w:val="0"/>
                <w:color w:val="auto"/>
                <w:sz w:val="24"/>
                <w:szCs w:val="22"/>
                <w:highlight w:val="none"/>
                <w:u w:val="none"/>
                <w:lang w:val="en-US" w:eastAsia="zh-CN"/>
              </w:rPr>
              <w:t>产生的</w:t>
            </w:r>
            <w:r>
              <w:rPr>
                <w:rFonts w:hint="eastAsia" w:ascii="Times New Roman" w:hAnsi="Times New Roman" w:cs="Times New Roman"/>
                <w:b w:val="0"/>
                <w:bCs w:val="0"/>
                <w:color w:val="auto"/>
                <w:sz w:val="24"/>
                <w:szCs w:val="22"/>
                <w:highlight w:val="none"/>
                <w:u w:val="none"/>
                <w:lang w:val="en-US" w:eastAsia="zh-CN"/>
              </w:rPr>
              <w:t>颗粒物</w:t>
            </w:r>
            <w:r>
              <w:rPr>
                <w:rFonts w:hint="default" w:ascii="Times New Roman" w:hAnsi="Times New Roman" w:cs="Times New Roman"/>
                <w:b w:val="0"/>
                <w:bCs w:val="0"/>
                <w:color w:val="auto"/>
                <w:sz w:val="24"/>
                <w:szCs w:val="22"/>
                <w:highlight w:val="none"/>
                <w:u w:val="none"/>
                <w:lang w:val="en-US" w:eastAsia="zh-CN"/>
              </w:rPr>
              <w:t>采用“</w:t>
            </w:r>
            <w:r>
              <w:rPr>
                <w:rFonts w:hint="eastAsia" w:cs="Times New Roman"/>
                <w:b w:val="0"/>
                <w:bCs w:val="0"/>
                <w:color w:val="auto"/>
                <w:sz w:val="24"/>
                <w:szCs w:val="22"/>
                <w:highlight w:val="none"/>
                <w:u w:val="none"/>
                <w:lang w:val="en-US" w:eastAsia="zh-CN"/>
              </w:rPr>
              <w:t>集气装置</w:t>
            </w:r>
            <w:r>
              <w:rPr>
                <w:rFonts w:hint="default" w:ascii="Times New Roman" w:hAnsi="Times New Roman" w:cs="Times New Roman"/>
                <w:b w:val="0"/>
                <w:bCs w:val="0"/>
                <w:color w:val="auto"/>
                <w:sz w:val="24"/>
                <w:szCs w:val="22"/>
                <w:highlight w:val="none"/>
                <w:u w:val="none"/>
                <w:lang w:val="en-US" w:eastAsia="zh-CN"/>
              </w:rPr>
              <w:t>+</w:t>
            </w:r>
            <w:r>
              <w:rPr>
                <w:rFonts w:hint="eastAsia" w:cs="Times New Roman"/>
                <w:b w:val="0"/>
                <w:bCs w:val="0"/>
                <w:color w:val="auto"/>
                <w:sz w:val="24"/>
                <w:szCs w:val="22"/>
                <w:highlight w:val="none"/>
                <w:u w:val="none"/>
                <w:lang w:val="en-US" w:eastAsia="zh-CN"/>
              </w:rPr>
              <w:t>袋式除尘</w:t>
            </w:r>
            <w:r>
              <w:rPr>
                <w:rFonts w:hint="eastAsia" w:ascii="Times New Roman" w:hAnsi="Times New Roman" w:cs="Times New Roman"/>
                <w:b w:val="0"/>
                <w:bCs w:val="0"/>
                <w:color w:val="auto"/>
                <w:sz w:val="24"/>
                <w:szCs w:val="22"/>
                <w:highlight w:val="none"/>
                <w:u w:val="none"/>
                <w:lang w:val="en-US" w:eastAsia="zh-CN"/>
              </w:rPr>
              <w:t>+15m排气筒（DA001）</w:t>
            </w:r>
            <w:r>
              <w:rPr>
                <w:rFonts w:hint="default" w:ascii="Times New Roman" w:hAnsi="Times New Roman" w:cs="Times New Roman"/>
                <w:b w:val="0"/>
                <w:bCs w:val="0"/>
                <w:color w:val="auto"/>
                <w:sz w:val="24"/>
                <w:szCs w:val="22"/>
                <w:highlight w:val="none"/>
                <w:u w:val="none"/>
                <w:lang w:val="en-US" w:eastAsia="zh-CN"/>
              </w:rPr>
              <w:t>”进行处理</w:t>
            </w:r>
            <w:r>
              <w:rPr>
                <w:rFonts w:hint="eastAsia" w:ascii="Times New Roman" w:hAnsi="Times New Roman" w:cs="Times New Roman"/>
                <w:b w:val="0"/>
                <w:bCs w:val="0"/>
                <w:color w:val="auto"/>
                <w:sz w:val="24"/>
                <w:szCs w:val="22"/>
                <w:highlight w:val="none"/>
                <w:u w:val="none"/>
                <w:lang w:val="en-US" w:eastAsia="zh-CN"/>
              </w:rPr>
              <w:t>；防锈工序产生的非甲烷总烃采用“</w:t>
            </w:r>
            <w:r>
              <w:rPr>
                <w:rFonts w:hint="eastAsia" w:cs="Times New Roman"/>
                <w:b w:val="0"/>
                <w:bCs w:val="0"/>
                <w:color w:val="auto"/>
                <w:sz w:val="24"/>
                <w:szCs w:val="22"/>
                <w:highlight w:val="none"/>
                <w:u w:val="none"/>
                <w:lang w:val="en-US" w:eastAsia="zh-CN"/>
              </w:rPr>
              <w:t>负压收集</w:t>
            </w:r>
            <w:r>
              <w:rPr>
                <w:rFonts w:hint="eastAsia" w:ascii="Times New Roman" w:hAnsi="Times New Roman" w:cs="Times New Roman"/>
                <w:b w:val="0"/>
                <w:bCs w:val="0"/>
                <w:color w:val="auto"/>
                <w:sz w:val="24"/>
                <w:szCs w:val="22"/>
                <w:highlight w:val="none"/>
                <w:u w:val="none"/>
                <w:lang w:val="en-US" w:eastAsia="zh-CN"/>
              </w:rPr>
              <w:t>+</w:t>
            </w:r>
            <w:r>
              <w:rPr>
                <w:rFonts w:hint="eastAsia" w:cs="Times New Roman"/>
                <w:b w:val="0"/>
                <w:bCs w:val="0"/>
                <w:color w:val="auto"/>
                <w:sz w:val="24"/>
                <w:szCs w:val="22"/>
                <w:highlight w:val="none"/>
                <w:u w:val="none"/>
                <w:lang w:val="en-US" w:eastAsia="zh-CN"/>
              </w:rPr>
              <w:t>活性炭+分子筛吸附</w:t>
            </w:r>
            <w:r>
              <w:rPr>
                <w:rFonts w:hint="eastAsia" w:ascii="Times New Roman" w:hAnsi="Times New Roman" w:cs="Times New Roman"/>
                <w:b w:val="0"/>
                <w:bCs w:val="0"/>
                <w:color w:val="auto"/>
                <w:sz w:val="24"/>
                <w:szCs w:val="22"/>
                <w:highlight w:val="none"/>
                <w:u w:val="none"/>
                <w:lang w:val="en-US" w:eastAsia="zh-CN"/>
              </w:rPr>
              <w:t>+15m排气筒（DA002）”进行处理。</w:t>
            </w:r>
          </w:p>
          <w:p w14:paraId="608DC04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根据源强分析可知：有组织</w:t>
            </w:r>
            <w:r>
              <w:rPr>
                <w:rFonts w:hint="eastAsia" w:cs="Times New Roman"/>
                <w:b w:val="0"/>
                <w:bCs w:val="0"/>
                <w:color w:val="auto"/>
                <w:sz w:val="24"/>
                <w:szCs w:val="24"/>
                <w:highlight w:val="none"/>
                <w:lang w:val="en-US" w:eastAsia="zh-CN"/>
              </w:rPr>
              <w:t>颗粒物、非甲烷总烃</w:t>
            </w:r>
            <w:r>
              <w:rPr>
                <w:rFonts w:hint="default" w:ascii="Times New Roman" w:hAnsi="Times New Roman" w:cs="Times New Roman"/>
                <w:b w:val="0"/>
                <w:bCs w:val="0"/>
                <w:color w:val="auto"/>
                <w:sz w:val="24"/>
                <w:szCs w:val="24"/>
                <w:highlight w:val="none"/>
                <w:lang w:val="en-US" w:eastAsia="zh-CN"/>
              </w:rPr>
              <w:t>排放满足</w:t>
            </w:r>
            <w:r>
              <w:rPr>
                <w:rFonts w:hint="eastAsia" w:cs="Times New Roman"/>
                <w:b w:val="0"/>
                <w:bCs w:val="0"/>
                <w:color w:val="auto"/>
                <w:sz w:val="24"/>
                <w:szCs w:val="24"/>
                <w:highlight w:val="none"/>
                <w:lang w:val="en-US" w:eastAsia="zh-CN"/>
              </w:rPr>
              <w:t>《大气污染物综合排放标准》（GB 16297-1996）表2二级标准、《关于全省开展工业企业挥发性有机物专项治理工作中排放建议值的通知》（豫环攻坚办〔2017〕162号）及《</w:t>
            </w:r>
            <w:r>
              <w:rPr>
                <w:rFonts w:hint="eastAsia" w:ascii="Times New Roman" w:hAnsi="Times New Roman" w:eastAsia="宋体" w:cs="Times New Roman"/>
                <w:b w:val="0"/>
                <w:bCs w:val="0"/>
                <w:color w:val="auto"/>
                <w:kern w:val="0"/>
                <w:sz w:val="24"/>
                <w:szCs w:val="24"/>
                <w:highlight w:val="none"/>
                <w:vertAlign w:val="baseline"/>
                <w:lang w:val="en-US" w:eastAsia="zh-CN" w:bidi="ar-SA"/>
              </w:rPr>
              <w:t>河南省重污染天气通用行业应急减排措施制定技术指南（2024年修订稿）</w:t>
            </w:r>
            <w:r>
              <w:rPr>
                <w:rFonts w:hint="eastAsia" w:cs="Times New Roman"/>
                <w:b w:val="0"/>
                <w:bCs w:val="0"/>
                <w:color w:val="auto"/>
                <w:sz w:val="24"/>
                <w:szCs w:val="24"/>
                <w:highlight w:val="none"/>
                <w:lang w:val="en-US" w:eastAsia="zh-CN"/>
              </w:rPr>
              <w:t>》A级企业指标要求</w:t>
            </w:r>
            <w:r>
              <w:rPr>
                <w:rFonts w:hint="default" w:ascii="Times New Roman" w:hAnsi="Times New Roman" w:cs="Times New Roman"/>
                <w:b w:val="0"/>
                <w:bCs w:val="0"/>
                <w:color w:val="auto"/>
                <w:sz w:val="24"/>
                <w:szCs w:val="24"/>
                <w:highlight w:val="none"/>
                <w:lang w:val="en-US" w:eastAsia="zh-CN"/>
              </w:rPr>
              <w:t>，无组织废气排放</w:t>
            </w:r>
            <w:r>
              <w:rPr>
                <w:rFonts w:hint="default" w:ascii="Times New Roman" w:hAnsi="Times New Roman" w:eastAsia="宋体" w:cs="Times New Roman"/>
                <w:b w:val="0"/>
                <w:bCs w:val="0"/>
                <w:color w:val="auto"/>
                <w:sz w:val="24"/>
                <w:szCs w:val="24"/>
                <w:highlight w:val="none"/>
                <w:lang w:val="en-US" w:eastAsia="zh-CN"/>
              </w:rPr>
              <w:t>量较小，对环境保护目</w:t>
            </w:r>
            <w:r>
              <w:rPr>
                <w:rFonts w:hint="default" w:ascii="Times New Roman" w:hAnsi="Times New Roman" w:cs="Times New Roman"/>
                <w:b w:val="0"/>
                <w:bCs w:val="0"/>
                <w:color w:val="auto"/>
                <w:sz w:val="24"/>
                <w:szCs w:val="24"/>
                <w:highlight w:val="none"/>
                <w:lang w:val="en-US" w:eastAsia="zh-CN"/>
              </w:rPr>
              <w:t>标影响较小。</w:t>
            </w:r>
          </w:p>
          <w:p w14:paraId="23371AA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综上，本项目废气对环境影响较小。</w:t>
            </w:r>
          </w:p>
          <w:p w14:paraId="292AC16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textAlignment w:val="baseline"/>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2、水环境影响分析</w:t>
            </w:r>
          </w:p>
          <w:p w14:paraId="1000C8B2">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textAlignment w:val="baseline"/>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2.1 源强分析</w:t>
            </w:r>
          </w:p>
          <w:p w14:paraId="0D17D8A5">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eastAsia="宋体" w:cs="Times New Roman"/>
                <w:b w:val="0"/>
                <w:bCs/>
                <w:color w:val="auto"/>
                <w:sz w:val="24"/>
                <w:highlight w:val="none"/>
                <w:u w:val="none"/>
                <w:lang w:val="en-US" w:eastAsia="zh-CN"/>
              </w:rPr>
            </w:pPr>
            <w:r>
              <w:rPr>
                <w:rFonts w:hint="default" w:ascii="Times New Roman" w:hAnsi="Times New Roman" w:eastAsia="宋体" w:cs="Times New Roman"/>
                <w:color w:val="auto"/>
                <w:sz w:val="24"/>
              </w:rPr>
              <w:t>本项目排水主要为职工生活污水，</w:t>
            </w:r>
            <w:r>
              <w:rPr>
                <w:rFonts w:hint="default" w:ascii="Times New Roman" w:hAnsi="Times New Roman" w:eastAsia="宋体" w:cs="Times New Roman"/>
                <w:b w:val="0"/>
                <w:bCs/>
                <w:color w:val="auto"/>
                <w:kern w:val="0"/>
                <w:sz w:val="24"/>
                <w:szCs w:val="24"/>
                <w:highlight w:val="none"/>
                <w:u w:val="none"/>
                <w:lang w:val="en-US" w:eastAsia="zh-CN"/>
              </w:rPr>
              <w:t>项目劳动定员30人，年工作</w:t>
            </w:r>
            <w:r>
              <w:rPr>
                <w:rFonts w:hint="eastAsia" w:cs="Times New Roman"/>
                <w:b w:val="0"/>
                <w:bCs/>
                <w:color w:val="auto"/>
                <w:kern w:val="0"/>
                <w:sz w:val="24"/>
                <w:szCs w:val="24"/>
                <w:highlight w:val="none"/>
                <w:u w:val="none"/>
                <w:lang w:val="en-US" w:eastAsia="zh-CN"/>
              </w:rPr>
              <w:t>300</w:t>
            </w:r>
            <w:r>
              <w:rPr>
                <w:rFonts w:hint="default" w:ascii="Times New Roman" w:hAnsi="Times New Roman" w:eastAsia="宋体" w:cs="Times New Roman"/>
                <w:b w:val="0"/>
                <w:bCs/>
                <w:color w:val="auto"/>
                <w:kern w:val="0"/>
                <w:sz w:val="24"/>
                <w:szCs w:val="24"/>
                <w:highlight w:val="none"/>
                <w:u w:val="none"/>
                <w:lang w:val="en-US" w:eastAsia="zh-CN"/>
              </w:rPr>
              <w:t>天，不在厂区食宿，根据《工业与城镇生活用水定额》（DB41/T385-2020），</w:t>
            </w:r>
            <w:r>
              <w:rPr>
                <w:rFonts w:hint="default" w:ascii="Times New Roman" w:hAnsi="Times New Roman" w:eastAsia="宋体" w:cs="Times New Roman"/>
                <w:color w:val="auto"/>
                <w:kern w:val="2"/>
                <w:sz w:val="24"/>
                <w:szCs w:val="32"/>
                <w:highlight w:val="none"/>
                <w:lang w:val="en-US" w:eastAsia="zh-CN" w:bidi="ar-SA"/>
              </w:rPr>
              <w:t>员工生活用水量按</w:t>
            </w:r>
            <w:r>
              <w:rPr>
                <w:rFonts w:hint="default" w:ascii="Times New Roman" w:hAnsi="Times New Roman" w:cs="Times New Roman"/>
                <w:color w:val="auto"/>
                <w:kern w:val="2"/>
                <w:sz w:val="24"/>
                <w:szCs w:val="32"/>
                <w:highlight w:val="none"/>
                <w:lang w:val="en-US" w:eastAsia="zh-CN" w:bidi="ar-SA"/>
              </w:rPr>
              <w:t>22m</w:t>
            </w:r>
            <w:r>
              <w:rPr>
                <w:rFonts w:hint="default" w:ascii="Times New Roman" w:hAnsi="Times New Roman" w:cs="Times New Roman"/>
                <w:color w:val="auto"/>
                <w:kern w:val="2"/>
                <w:sz w:val="24"/>
                <w:szCs w:val="32"/>
                <w:highlight w:val="none"/>
                <w:vertAlign w:val="superscript"/>
                <w:lang w:val="en-US" w:eastAsia="zh-CN" w:bidi="ar-SA"/>
              </w:rPr>
              <w:t>3</w:t>
            </w:r>
            <w:r>
              <w:rPr>
                <w:rFonts w:hint="default" w:ascii="Times New Roman" w:hAnsi="Times New Roman" w:eastAsia="宋体" w:cs="Times New Roman"/>
                <w:color w:val="auto"/>
                <w:kern w:val="2"/>
                <w:sz w:val="24"/>
                <w:szCs w:val="32"/>
                <w:highlight w:val="none"/>
                <w:lang w:val="en-US" w:eastAsia="zh-CN" w:bidi="ar-SA"/>
              </w:rPr>
              <w:t>/人·</w:t>
            </w:r>
            <w:r>
              <w:rPr>
                <w:rFonts w:hint="default" w:ascii="Times New Roman" w:hAnsi="Times New Roman" w:cs="Times New Roman"/>
                <w:color w:val="auto"/>
                <w:kern w:val="2"/>
                <w:sz w:val="24"/>
                <w:szCs w:val="32"/>
                <w:highlight w:val="none"/>
                <w:lang w:val="en-US" w:eastAsia="zh-CN" w:bidi="ar-SA"/>
              </w:rPr>
              <w:t>a</w:t>
            </w:r>
            <w:r>
              <w:rPr>
                <w:rFonts w:hint="default" w:ascii="Times New Roman" w:hAnsi="Times New Roman" w:eastAsia="宋体" w:cs="Times New Roman"/>
                <w:color w:val="auto"/>
                <w:kern w:val="2"/>
                <w:sz w:val="24"/>
                <w:szCs w:val="32"/>
                <w:highlight w:val="none"/>
                <w:lang w:val="en-US" w:eastAsia="zh-CN" w:bidi="ar-SA"/>
              </w:rPr>
              <w:t>计</w:t>
            </w:r>
            <w:r>
              <w:rPr>
                <w:rFonts w:hint="default" w:ascii="Times New Roman" w:hAnsi="Times New Roman" w:eastAsia="宋体" w:cs="Times New Roman"/>
                <w:b w:val="0"/>
                <w:bCs/>
                <w:color w:val="auto"/>
                <w:kern w:val="0"/>
                <w:sz w:val="24"/>
                <w:szCs w:val="24"/>
                <w:highlight w:val="none"/>
                <w:u w:val="none"/>
                <w:lang w:val="en-US" w:eastAsia="zh-CN"/>
              </w:rPr>
              <w:t>，则生活用水量</w:t>
            </w:r>
            <w:r>
              <w:rPr>
                <w:rFonts w:hint="eastAsia" w:cs="Times New Roman"/>
                <w:b w:val="0"/>
                <w:bCs/>
                <w:color w:val="auto"/>
                <w:kern w:val="0"/>
                <w:sz w:val="24"/>
                <w:szCs w:val="24"/>
                <w:highlight w:val="none"/>
                <w:u w:val="none"/>
                <w:lang w:val="en-US" w:eastAsia="zh-CN"/>
              </w:rPr>
              <w:t>2.2m</w:t>
            </w:r>
            <w:r>
              <w:rPr>
                <w:rFonts w:hint="eastAsia" w:eastAsia="宋体" w:cs="Times New Roman"/>
                <w:b w:val="0"/>
                <w:bCs/>
                <w:color w:val="auto"/>
                <w:kern w:val="0"/>
                <w:sz w:val="24"/>
                <w:szCs w:val="24"/>
                <w:highlight w:val="none"/>
                <w:u w:val="none"/>
                <w:vertAlign w:val="superscript"/>
                <w:lang w:val="en-US" w:eastAsia="zh-CN"/>
              </w:rPr>
              <w:t>3</w:t>
            </w:r>
            <w:r>
              <w:rPr>
                <w:rFonts w:hint="default" w:ascii="Times New Roman" w:hAnsi="Times New Roman" w:eastAsia="宋体" w:cs="Times New Roman"/>
                <w:b w:val="0"/>
                <w:bCs/>
                <w:color w:val="auto"/>
                <w:kern w:val="0"/>
                <w:sz w:val="24"/>
                <w:szCs w:val="24"/>
                <w:highlight w:val="none"/>
                <w:u w:val="none"/>
                <w:lang w:val="en-US" w:eastAsia="zh-CN"/>
              </w:rPr>
              <w:t>/d，</w:t>
            </w:r>
            <w:r>
              <w:rPr>
                <w:rFonts w:hint="eastAsia" w:cs="Times New Roman"/>
                <w:b w:val="0"/>
                <w:bCs/>
                <w:color w:val="auto"/>
                <w:kern w:val="0"/>
                <w:sz w:val="24"/>
                <w:szCs w:val="24"/>
                <w:highlight w:val="none"/>
                <w:u w:val="none"/>
                <w:lang w:val="en-US" w:eastAsia="zh-CN"/>
              </w:rPr>
              <w:t>660</w:t>
            </w:r>
            <w:r>
              <w:rPr>
                <w:rFonts w:hint="default" w:ascii="Times New Roman" w:hAnsi="Times New Roman" w:eastAsia="宋体" w:cs="Times New Roman"/>
                <w:b w:val="0"/>
                <w:bCs/>
                <w:color w:val="auto"/>
                <w:kern w:val="0"/>
                <w:sz w:val="24"/>
                <w:szCs w:val="24"/>
                <w:highlight w:val="none"/>
                <w:u w:val="none"/>
                <w:lang w:val="en-US" w:eastAsia="zh-CN"/>
              </w:rPr>
              <w:t>m</w:t>
            </w:r>
            <w:r>
              <w:rPr>
                <w:rFonts w:hint="eastAsia" w:eastAsia="宋体" w:cs="Times New Roman"/>
                <w:b w:val="0"/>
                <w:bCs/>
                <w:color w:val="auto"/>
                <w:kern w:val="0"/>
                <w:sz w:val="24"/>
                <w:szCs w:val="24"/>
                <w:highlight w:val="none"/>
                <w:u w:val="none"/>
                <w:vertAlign w:val="superscript"/>
                <w:lang w:val="en-US" w:eastAsia="zh-CN"/>
              </w:rPr>
              <w:t>3</w:t>
            </w:r>
            <w:r>
              <w:rPr>
                <w:rFonts w:hint="default" w:ascii="Times New Roman" w:hAnsi="Times New Roman" w:eastAsia="宋体" w:cs="Times New Roman"/>
                <w:b w:val="0"/>
                <w:bCs/>
                <w:color w:val="auto"/>
                <w:kern w:val="0"/>
                <w:sz w:val="24"/>
                <w:szCs w:val="24"/>
                <w:highlight w:val="none"/>
                <w:u w:val="none"/>
                <w:lang w:val="en-US" w:eastAsia="zh-CN"/>
              </w:rPr>
              <w:t>/a。</w:t>
            </w:r>
          </w:p>
          <w:p w14:paraId="5AF0117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b w:val="0"/>
                <w:bCs/>
                <w:color w:val="auto"/>
                <w:kern w:val="0"/>
                <w:sz w:val="24"/>
                <w:szCs w:val="24"/>
                <w:highlight w:val="none"/>
                <w:u w:val="none"/>
                <w:lang w:val="en-US" w:eastAsia="zh-CN"/>
              </w:rPr>
              <w:t>根据《室外排水设计规范》（GB 50014-2006）中3.1.2可知：居民生活污水定额和综合生活污水定额应根据当地采用的用水定额，结合建筑内部给排水设施水平确定，可按当地相关用水定额的80%~90%采用。本项目废水量按生活用水量的80%计算，</w:t>
            </w:r>
            <w:r>
              <w:rPr>
                <w:rFonts w:hint="default" w:ascii="Times New Roman" w:hAnsi="Times New Roman" w:eastAsia="宋体" w:cs="Times New Roman"/>
                <w:color w:val="auto"/>
                <w:sz w:val="24"/>
              </w:rPr>
              <w:t>则生活污水产生量为</w:t>
            </w:r>
            <w:r>
              <w:rPr>
                <w:rFonts w:hint="eastAsia" w:cs="Times New Roman"/>
                <w:color w:val="auto"/>
                <w:sz w:val="24"/>
                <w:lang w:val="en-US" w:eastAsia="zh-CN"/>
              </w:rPr>
              <w:t>1.76m</w:t>
            </w:r>
            <w:r>
              <w:rPr>
                <w:rFonts w:hint="default"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/d，</w:t>
            </w:r>
            <w:r>
              <w:rPr>
                <w:rFonts w:hint="eastAsia" w:cs="Times New Roman"/>
                <w:bCs/>
                <w:color w:val="auto"/>
                <w:sz w:val="24"/>
                <w:szCs w:val="24"/>
                <w:lang w:val="en-US" w:eastAsia="zh-CN"/>
              </w:rPr>
              <w:t>528</w:t>
            </w:r>
            <w:r>
              <w:rPr>
                <w:rFonts w:hint="default" w:ascii="Times New Roman" w:hAnsi="Times New Roman" w:eastAsia="宋体" w:cs="Times New Roman"/>
                <w:bCs/>
                <w:color w:val="auto"/>
                <w:sz w:val="24"/>
                <w:szCs w:val="24"/>
                <w:lang w:val="en-US" w:eastAsia="zh-CN"/>
              </w:rPr>
              <w:t>m</w:t>
            </w:r>
            <w:r>
              <w:rPr>
                <w:rFonts w:hint="default"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。类比</w:t>
            </w:r>
            <w:r>
              <w:rPr>
                <w:rFonts w:hint="eastAsia" w:eastAsia="宋体" w:cs="Times New Roman"/>
                <w:color w:val="auto"/>
                <w:sz w:val="24"/>
                <w:lang w:val="en-US" w:eastAsia="zh-CN"/>
              </w:rPr>
              <w:t>清丰县</w:t>
            </w:r>
            <w:r>
              <w:rPr>
                <w:rFonts w:hint="default" w:ascii="Times New Roman" w:hAnsi="Times New Roman" w:eastAsia="宋体" w:cs="Times New Roman"/>
                <w:color w:val="auto"/>
                <w:sz w:val="24"/>
                <w:lang w:eastAsia="zh-CN"/>
              </w:rPr>
              <w:t>一般生活污水水质，其中各污染物的浓度为：COD300mg/L、BOD</w:t>
            </w:r>
            <w:r>
              <w:rPr>
                <w:rFonts w:hint="default" w:ascii="Times New Roman" w:hAnsi="Times New Roman" w:eastAsia="宋体" w:cs="Times New Roman"/>
                <w:color w:val="auto"/>
                <w:sz w:val="24"/>
                <w:vertAlign w:val="subscript"/>
                <w:lang w:val="en-US" w:eastAsia="zh-CN"/>
              </w:rPr>
              <w:t>5</w:t>
            </w:r>
            <w:r>
              <w:rPr>
                <w:rFonts w:hint="default" w:ascii="Times New Roman" w:hAnsi="Times New Roman" w:eastAsia="宋体" w:cs="Times New Roman"/>
                <w:color w:val="auto"/>
                <w:sz w:val="24"/>
                <w:lang w:eastAsia="zh-CN"/>
              </w:rPr>
              <w:t>1</w:t>
            </w:r>
            <w:r>
              <w:rPr>
                <w:rFonts w:hint="eastAsia" w:cs="Times New Roman"/>
                <w:color w:val="auto"/>
                <w:sz w:val="24"/>
                <w:lang w:val="en-US" w:eastAsia="zh-CN"/>
              </w:rPr>
              <w:t>5</w:t>
            </w:r>
            <w:r>
              <w:rPr>
                <w:rFonts w:hint="default" w:ascii="Times New Roman" w:hAnsi="Times New Roman" w:eastAsia="宋体" w:cs="Times New Roman"/>
                <w:color w:val="auto"/>
                <w:sz w:val="24"/>
                <w:lang w:eastAsia="zh-CN"/>
              </w:rPr>
              <w:t>0mg/L、SS280mg/L、NH</w:t>
            </w:r>
            <w:r>
              <w:rPr>
                <w:rFonts w:hint="default" w:ascii="Times New Roman" w:hAnsi="Times New Roman" w:eastAsia="宋体" w:cs="Times New Roman"/>
                <w:color w:val="auto"/>
                <w:sz w:val="24"/>
                <w:vertAlign w:val="subscript"/>
                <w:lang w:eastAsia="zh-CN"/>
              </w:rPr>
              <w:t>3</w:t>
            </w:r>
            <w:r>
              <w:rPr>
                <w:rFonts w:hint="default" w:ascii="Times New Roman" w:hAnsi="Times New Roman" w:eastAsia="宋体" w:cs="Times New Roman"/>
                <w:color w:val="auto"/>
                <w:sz w:val="24"/>
                <w:lang w:eastAsia="zh-CN"/>
              </w:rPr>
              <w:t>-N25mg/L。</w:t>
            </w:r>
          </w:p>
          <w:p w14:paraId="493DFBF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项目生活污水经厂区化粪池处理后确保水质达到</w:t>
            </w:r>
            <w:r>
              <w:rPr>
                <w:rFonts w:hint="default" w:ascii="Times New Roman" w:hAnsi="Times New Roman" w:eastAsia="宋体" w:cs="Times New Roman"/>
                <w:color w:val="auto"/>
                <w:sz w:val="24"/>
                <w:lang w:val="en-US" w:eastAsia="zh-CN"/>
              </w:rPr>
              <w:t>《污水综合排放标准》（GB8978-1996）表4三级标准和清丰中州水务有限公司第二污水处理厂的进水水质要求</w:t>
            </w:r>
            <w:r>
              <w:rPr>
                <w:rFonts w:hint="eastAsia" w:cs="Times New Roman"/>
                <w:color w:val="auto"/>
                <w:sz w:val="24"/>
                <w:lang w:val="en-US" w:eastAsia="zh-CN"/>
              </w:rPr>
              <w:t>后纳入市政污水管网，由</w:t>
            </w:r>
            <w:r>
              <w:rPr>
                <w:rFonts w:hint="eastAsia" w:eastAsia="宋体" w:cs="Times New Roman"/>
                <w:color w:val="auto"/>
                <w:sz w:val="24"/>
                <w:lang w:val="en-US" w:eastAsia="zh-CN"/>
              </w:rPr>
              <w:t>清丰中州水务有限公司第二污水处理厂</w:t>
            </w:r>
            <w:r>
              <w:rPr>
                <w:rFonts w:hint="eastAsia" w:cs="Times New Roman"/>
                <w:color w:val="auto"/>
                <w:sz w:val="24"/>
                <w:lang w:val="en-US" w:eastAsia="zh-CN"/>
              </w:rPr>
              <w:t>深度处理。</w:t>
            </w:r>
          </w:p>
          <w:p w14:paraId="38866E15">
            <w:pPr>
              <w:pStyle w:val="68"/>
              <w:keepNext w:val="0"/>
              <w:keepLines w:val="0"/>
              <w:pageBreakBefore w:val="0"/>
              <w:widowControl w:val="0"/>
              <w:kinsoku/>
              <w:wordWrap/>
              <w:overflowPunct/>
              <w:topLinePunct w:val="0"/>
              <w:autoSpaceDE/>
              <w:autoSpaceDN/>
              <w:bidi w:val="0"/>
              <w:adjustRightInd/>
              <w:snapToGrid/>
              <w:spacing w:line="520" w:lineRule="exact"/>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2.2 污水处理设施可行性</w:t>
            </w:r>
          </w:p>
          <w:p w14:paraId="28A9EBF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2" w:firstLineChars="200"/>
              <w:jc w:val="both"/>
              <w:textAlignment w:val="baseline"/>
              <w:rPr>
                <w:rFonts w:hint="default" w:ascii="Times New Roman" w:hAnsi="Times New Roman" w:eastAsia="宋体" w:cs="Times New Roman"/>
                <w:b/>
                <w:bCs/>
                <w:color w:val="auto"/>
                <w:sz w:val="24"/>
                <w:szCs w:val="22"/>
                <w:highlight w:val="none"/>
                <w:u w:val="none"/>
                <w:lang w:val="en-US" w:eastAsia="zh-CN"/>
              </w:rPr>
            </w:pPr>
            <w:r>
              <w:rPr>
                <w:rFonts w:hint="default" w:ascii="Times New Roman" w:hAnsi="Times New Roman" w:eastAsia="宋体" w:cs="Times New Roman"/>
                <w:b/>
                <w:bCs/>
                <w:color w:val="auto"/>
                <w:sz w:val="24"/>
                <w:lang w:val="en-US" w:eastAsia="zh-CN"/>
              </w:rPr>
              <w:t xml:space="preserve">2.2.1 </w:t>
            </w:r>
            <w:r>
              <w:rPr>
                <w:rFonts w:hint="eastAsia" w:cs="Times New Roman"/>
                <w:b/>
                <w:bCs/>
                <w:color w:val="auto"/>
                <w:sz w:val="24"/>
                <w:szCs w:val="22"/>
                <w:highlight w:val="none"/>
                <w:u w:val="none"/>
                <w:lang w:val="en-US" w:eastAsia="zh-CN"/>
              </w:rPr>
              <w:t>收水范围</w:t>
            </w:r>
          </w:p>
          <w:p w14:paraId="1623ED9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jc w:val="both"/>
              <w:textAlignment w:val="baseline"/>
              <w:rPr>
                <w:rFonts w:hint="default" w:ascii="Times New Roman" w:hAnsi="Times New Roman" w:eastAsia="宋体" w:cs="Times New Roman"/>
                <w:b w:val="0"/>
                <w:bCs w:val="0"/>
                <w:color w:val="auto"/>
                <w:sz w:val="24"/>
                <w:szCs w:val="22"/>
                <w:highlight w:val="none"/>
                <w:u w:val="none"/>
                <w:lang w:val="en-US" w:eastAsia="zh-CN"/>
              </w:rPr>
            </w:pPr>
            <w:r>
              <w:rPr>
                <w:rFonts w:hint="eastAsia" w:cs="Times New Roman"/>
                <w:b w:val="0"/>
                <w:bCs w:val="0"/>
                <w:color w:val="auto"/>
                <w:sz w:val="24"/>
                <w:szCs w:val="22"/>
                <w:highlight w:val="none"/>
                <w:u w:val="none"/>
                <w:lang w:val="en-US" w:eastAsia="zh-CN"/>
              </w:rPr>
              <w:t>清丰中州水务有限公司第二污水处理厂位于清丰县金水路与106国道交叉口西北角，主要收集清丰县城东部地区和清丰县产业集聚区的生活污水和工业废水。</w:t>
            </w:r>
          </w:p>
          <w:p w14:paraId="7215A49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jc w:val="both"/>
              <w:textAlignment w:val="baseline"/>
              <w:rPr>
                <w:rFonts w:hint="default" w:ascii="Times New Roman" w:hAnsi="Times New Roman" w:eastAsia="宋体" w:cs="Times New Roman"/>
                <w:b w:val="0"/>
                <w:bCs w:val="0"/>
                <w:color w:val="auto"/>
                <w:sz w:val="24"/>
                <w:szCs w:val="22"/>
                <w:highlight w:val="none"/>
                <w:u w:val="none"/>
                <w:lang w:val="en-US" w:eastAsia="zh-CN"/>
              </w:rPr>
            </w:pPr>
            <w:r>
              <w:rPr>
                <w:rFonts w:hint="default" w:ascii="Times New Roman" w:hAnsi="Times New Roman" w:eastAsia="宋体" w:cs="Times New Roman"/>
                <w:b w:val="0"/>
                <w:bCs w:val="0"/>
                <w:color w:val="auto"/>
                <w:sz w:val="24"/>
                <w:szCs w:val="22"/>
                <w:highlight w:val="none"/>
                <w:u w:val="none"/>
                <w:lang w:val="en-US" w:eastAsia="zh-CN"/>
              </w:rPr>
              <w:t>项目位于</w:t>
            </w:r>
            <w:r>
              <w:rPr>
                <w:rFonts w:hint="default" w:ascii="Times New Roman" w:hAnsi="Times New Roman" w:eastAsia="宋体" w:cs="Times New Roman"/>
                <w:color w:val="auto"/>
                <w:sz w:val="24"/>
                <w:szCs w:val="24"/>
                <w:highlight w:val="none"/>
                <w:lang w:eastAsia="zh-CN"/>
              </w:rPr>
              <w:t>濮阳市清丰县先进制造业开发区规划一路东段</w:t>
            </w:r>
            <w:r>
              <w:rPr>
                <w:rFonts w:hint="default" w:ascii="Times New Roman" w:hAnsi="Times New Roman" w:eastAsia="宋体" w:cs="Times New Roman"/>
                <w:b w:val="0"/>
                <w:bCs w:val="0"/>
                <w:color w:val="auto"/>
                <w:sz w:val="24"/>
                <w:szCs w:val="22"/>
                <w:highlight w:val="none"/>
                <w:u w:val="none"/>
                <w:lang w:val="en-US" w:eastAsia="zh-CN"/>
              </w:rPr>
              <w:t>，处于</w:t>
            </w:r>
            <w:r>
              <w:rPr>
                <w:rFonts w:hint="eastAsia" w:cs="Times New Roman"/>
                <w:b w:val="0"/>
                <w:bCs w:val="0"/>
                <w:color w:val="auto"/>
                <w:sz w:val="24"/>
                <w:szCs w:val="22"/>
                <w:highlight w:val="none"/>
                <w:u w:val="none"/>
                <w:lang w:val="en-US" w:eastAsia="zh-CN"/>
              </w:rPr>
              <w:t>清丰中州水务有限公司第二污水处理厂</w:t>
            </w:r>
            <w:r>
              <w:rPr>
                <w:rFonts w:hint="default" w:ascii="Times New Roman" w:hAnsi="Times New Roman" w:eastAsia="宋体" w:cs="Times New Roman"/>
                <w:b w:val="0"/>
                <w:bCs w:val="0"/>
                <w:color w:val="auto"/>
                <w:sz w:val="24"/>
                <w:szCs w:val="22"/>
                <w:highlight w:val="none"/>
                <w:u w:val="none"/>
                <w:lang w:val="en-US" w:eastAsia="zh-CN"/>
              </w:rPr>
              <w:t>收水范围内。根据现场调查，企业周边污水管网已铺设，项目废水能够进入</w:t>
            </w:r>
            <w:r>
              <w:rPr>
                <w:rFonts w:hint="eastAsia" w:cs="Times New Roman"/>
                <w:b w:val="0"/>
                <w:bCs w:val="0"/>
                <w:color w:val="auto"/>
                <w:sz w:val="24"/>
                <w:szCs w:val="22"/>
                <w:highlight w:val="none"/>
                <w:u w:val="none"/>
                <w:lang w:val="en-US" w:eastAsia="zh-CN"/>
              </w:rPr>
              <w:t>清丰中州水务有限公司第二污水处理厂</w:t>
            </w:r>
            <w:r>
              <w:rPr>
                <w:rFonts w:hint="default" w:ascii="Times New Roman" w:hAnsi="Times New Roman" w:eastAsia="宋体" w:cs="Times New Roman"/>
                <w:b w:val="0"/>
                <w:bCs w:val="0"/>
                <w:color w:val="auto"/>
                <w:sz w:val="24"/>
                <w:szCs w:val="22"/>
                <w:highlight w:val="none"/>
                <w:u w:val="none"/>
                <w:lang w:val="en-US" w:eastAsia="zh-CN"/>
              </w:rPr>
              <w:t>。</w:t>
            </w:r>
          </w:p>
          <w:p w14:paraId="3ED5436C">
            <w:pPr>
              <w:keepNext w:val="0"/>
              <w:keepLines w:val="0"/>
              <w:pageBreakBefore w:val="0"/>
              <w:widowControl w:val="0"/>
              <w:kinsoku/>
              <w:wordWrap/>
              <w:overflowPunct/>
              <w:topLinePunct w:val="0"/>
              <w:autoSpaceDE/>
              <w:autoSpaceDN/>
              <w:bidi w:val="0"/>
              <w:adjustRightInd/>
              <w:snapToGrid/>
              <w:spacing w:line="520" w:lineRule="exact"/>
              <w:ind w:left="0" w:leftChars="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2.2.2 处理能力可行性</w:t>
            </w:r>
          </w:p>
          <w:p w14:paraId="6594185F">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宋体" w:cs="Times New Roman"/>
                <w:color w:val="auto"/>
                <w:sz w:val="24"/>
                <w:vertAlign w:val="baseline"/>
                <w:lang w:val="en-US" w:eastAsia="zh-CN"/>
              </w:rPr>
            </w:pPr>
            <w:r>
              <w:rPr>
                <w:rFonts w:hint="eastAsia" w:cs="Times New Roman"/>
                <w:b w:val="0"/>
                <w:bCs w:val="0"/>
                <w:color w:val="auto"/>
                <w:sz w:val="24"/>
                <w:szCs w:val="22"/>
                <w:highlight w:val="none"/>
                <w:u w:val="none"/>
                <w:lang w:val="en-US" w:eastAsia="zh-CN"/>
              </w:rPr>
              <w:t>根据现场调查</w:t>
            </w:r>
            <w:r>
              <w:rPr>
                <w:rFonts w:hint="eastAsia"/>
                <w:color w:val="auto"/>
                <w:sz w:val="24"/>
                <w:szCs w:val="22"/>
                <w:highlight w:val="none"/>
                <w:u w:val="none"/>
                <w:lang w:val="en-US" w:eastAsia="zh-CN"/>
              </w:rPr>
              <w:t>和资料收集</w:t>
            </w:r>
            <w:r>
              <w:rPr>
                <w:rFonts w:hint="eastAsia" w:cs="Times New Roman"/>
                <w:b w:val="0"/>
                <w:bCs w:val="0"/>
                <w:color w:val="auto"/>
                <w:sz w:val="24"/>
                <w:szCs w:val="22"/>
                <w:highlight w:val="none"/>
                <w:u w:val="none"/>
                <w:lang w:val="en-US" w:eastAsia="zh-CN"/>
              </w:rPr>
              <w:t>，</w:t>
            </w:r>
            <w:r>
              <w:rPr>
                <w:rFonts w:hint="default" w:ascii="Times New Roman" w:hAnsi="Times New Roman" w:eastAsia="宋体" w:cs="Times New Roman"/>
                <w:b w:val="0"/>
                <w:bCs w:val="0"/>
                <w:color w:val="auto"/>
                <w:sz w:val="24"/>
                <w:szCs w:val="22"/>
                <w:highlight w:val="none"/>
                <w:u w:val="none"/>
                <w:lang w:val="en-US" w:eastAsia="zh-CN"/>
              </w:rPr>
              <w:t>项目</w:t>
            </w:r>
            <w:r>
              <w:rPr>
                <w:rFonts w:hint="eastAsia" w:ascii="Times New Roman" w:hAnsi="Times New Roman" w:eastAsia="宋体" w:cs="Times New Roman"/>
                <w:b w:val="0"/>
                <w:bCs w:val="0"/>
                <w:color w:val="auto"/>
                <w:sz w:val="24"/>
                <w:szCs w:val="22"/>
                <w:highlight w:val="none"/>
                <w:u w:val="none"/>
                <w:lang w:val="en-US" w:eastAsia="zh-CN"/>
              </w:rPr>
              <w:t>拟建设1座5</w:t>
            </w:r>
            <w:r>
              <w:rPr>
                <w:rFonts w:hint="eastAsia" w:cs="Times New Roman"/>
                <w:b w:val="0"/>
                <w:bCs w:val="0"/>
                <w:color w:val="auto"/>
                <w:sz w:val="24"/>
                <w:szCs w:val="22"/>
                <w:highlight w:val="none"/>
                <w:u w:val="none"/>
                <w:lang w:val="en-US" w:eastAsia="zh-CN"/>
              </w:rPr>
              <w:t>m</w:t>
            </w:r>
            <w:r>
              <w:rPr>
                <w:rFonts w:hint="eastAsia" w:cs="Times New Roman"/>
                <w:b w:val="0"/>
                <w:bCs w:val="0"/>
                <w:color w:val="auto"/>
                <w:sz w:val="24"/>
                <w:szCs w:val="22"/>
                <w:highlight w:val="none"/>
                <w:u w:val="none"/>
                <w:vertAlign w:val="superscript"/>
                <w:lang w:val="en-US" w:eastAsia="zh-CN"/>
              </w:rPr>
              <w:t>3</w:t>
            </w:r>
            <w:r>
              <w:rPr>
                <w:rFonts w:hint="default" w:ascii="Times New Roman" w:hAnsi="Times New Roman" w:eastAsia="宋体" w:cs="Times New Roman"/>
                <w:b w:val="0"/>
                <w:bCs w:val="0"/>
                <w:color w:val="auto"/>
                <w:sz w:val="24"/>
                <w:szCs w:val="22"/>
                <w:highlight w:val="none"/>
                <w:u w:val="none"/>
                <w:lang w:val="en-US" w:eastAsia="zh-CN"/>
              </w:rPr>
              <w:t>化粪池，</w:t>
            </w:r>
            <w:r>
              <w:rPr>
                <w:rFonts w:hint="eastAsia" w:cs="Times New Roman"/>
                <w:b w:val="0"/>
                <w:bCs w:val="0"/>
                <w:color w:val="auto"/>
                <w:sz w:val="24"/>
                <w:szCs w:val="22"/>
                <w:highlight w:val="none"/>
                <w:u w:val="none"/>
                <w:lang w:val="en-US" w:eastAsia="zh-CN"/>
              </w:rPr>
              <w:t>设计消纳废水量5m</w:t>
            </w:r>
            <w:r>
              <w:rPr>
                <w:rFonts w:hint="eastAsia" w:cs="Times New Roman"/>
                <w:b w:val="0"/>
                <w:bCs w:val="0"/>
                <w:color w:val="auto"/>
                <w:sz w:val="24"/>
                <w:szCs w:val="22"/>
                <w:highlight w:val="none"/>
                <w:u w:val="none"/>
                <w:vertAlign w:val="superscript"/>
                <w:lang w:val="en-US" w:eastAsia="zh-CN"/>
              </w:rPr>
              <w:t>3</w:t>
            </w:r>
            <w:r>
              <w:rPr>
                <w:rFonts w:hint="eastAsia" w:cs="Times New Roman"/>
                <w:b w:val="0"/>
                <w:bCs w:val="0"/>
                <w:color w:val="auto"/>
                <w:sz w:val="24"/>
                <w:szCs w:val="22"/>
                <w:highlight w:val="none"/>
                <w:u w:val="none"/>
                <w:vertAlign w:val="baseline"/>
                <w:lang w:val="en-US" w:eastAsia="zh-CN"/>
              </w:rPr>
              <w:t>/d</w:t>
            </w:r>
            <w:r>
              <w:rPr>
                <w:rFonts w:hint="eastAsia" w:cs="Times New Roman"/>
                <w:b w:val="0"/>
                <w:bCs w:val="0"/>
                <w:color w:val="auto"/>
                <w:sz w:val="24"/>
                <w:szCs w:val="22"/>
                <w:highlight w:val="none"/>
                <w:u w:val="none"/>
                <w:lang w:val="en-US" w:eastAsia="zh-CN"/>
              </w:rPr>
              <w:t>，</w:t>
            </w:r>
            <w:r>
              <w:rPr>
                <w:rFonts w:hint="eastAsia" w:cs="Times New Roman"/>
                <w:b w:val="0"/>
                <w:bCs w:val="0"/>
                <w:color w:val="auto"/>
                <w:sz w:val="24"/>
                <w:szCs w:val="22"/>
                <w:highlight w:val="none"/>
                <w:u w:val="none"/>
                <w:vertAlign w:val="baseline"/>
                <w:lang w:val="en-US" w:eastAsia="zh-CN"/>
              </w:rPr>
              <w:t>可满足本项目使用（项目进入化粪池的废水量约1.76m</w:t>
            </w:r>
            <w:r>
              <w:rPr>
                <w:rFonts w:hint="eastAsia" w:cs="Times New Roman"/>
                <w:b w:val="0"/>
                <w:bCs w:val="0"/>
                <w:color w:val="auto"/>
                <w:sz w:val="24"/>
                <w:szCs w:val="22"/>
                <w:highlight w:val="none"/>
                <w:u w:val="none"/>
                <w:vertAlign w:val="superscript"/>
                <w:lang w:val="en-US" w:eastAsia="zh-CN"/>
              </w:rPr>
              <w:t>3</w:t>
            </w:r>
            <w:r>
              <w:rPr>
                <w:rFonts w:hint="eastAsia" w:cs="Times New Roman"/>
                <w:b w:val="0"/>
                <w:bCs w:val="0"/>
                <w:color w:val="auto"/>
                <w:sz w:val="24"/>
                <w:szCs w:val="22"/>
                <w:highlight w:val="none"/>
                <w:u w:val="none"/>
                <w:vertAlign w:val="baseline"/>
                <w:lang w:val="en-US" w:eastAsia="zh-CN"/>
              </w:rPr>
              <w:t>/d）</w:t>
            </w:r>
            <w:r>
              <w:rPr>
                <w:rFonts w:hint="eastAsia" w:cs="Times New Roman"/>
                <w:b w:val="0"/>
                <w:bCs w:val="0"/>
                <w:color w:val="auto"/>
                <w:sz w:val="24"/>
                <w:szCs w:val="22"/>
                <w:highlight w:val="none"/>
                <w:u w:val="none"/>
                <w:lang w:val="en-US" w:eastAsia="zh-CN"/>
              </w:rPr>
              <w:t>。</w:t>
            </w:r>
            <w:r>
              <w:rPr>
                <w:rFonts w:hint="default" w:ascii="Times New Roman" w:hAnsi="Times New Roman" w:eastAsia="宋体" w:cs="Times New Roman"/>
                <w:color w:val="auto"/>
                <w:sz w:val="24"/>
                <w:lang w:val="en-US" w:eastAsia="zh-CN"/>
              </w:rPr>
              <w:t>生活污水经</w:t>
            </w:r>
            <w:r>
              <w:rPr>
                <w:rFonts w:hint="eastAsia" w:eastAsia="宋体" w:cs="Times New Roman"/>
                <w:color w:val="auto"/>
                <w:sz w:val="24"/>
                <w:lang w:val="en-US" w:eastAsia="zh-CN"/>
              </w:rPr>
              <w:t>化粪池</w:t>
            </w:r>
            <w:r>
              <w:rPr>
                <w:rFonts w:hint="default" w:ascii="Times New Roman" w:hAnsi="Times New Roman" w:eastAsia="宋体" w:cs="Times New Roman"/>
                <w:color w:val="auto"/>
                <w:sz w:val="24"/>
                <w:lang w:val="en-US" w:eastAsia="zh-CN"/>
              </w:rPr>
              <w:t>收集</w:t>
            </w:r>
            <w:r>
              <w:rPr>
                <w:rFonts w:hint="eastAsia" w:eastAsia="宋体" w:cs="Times New Roman"/>
                <w:color w:val="auto"/>
                <w:sz w:val="24"/>
                <w:lang w:val="en-US" w:eastAsia="zh-CN"/>
              </w:rPr>
              <w:t>处理后经</w:t>
            </w:r>
            <w:r>
              <w:rPr>
                <w:rFonts w:hint="default" w:ascii="Times New Roman" w:hAnsi="Times New Roman" w:eastAsia="宋体" w:cs="Times New Roman"/>
                <w:color w:val="auto"/>
                <w:sz w:val="24"/>
                <w:lang w:val="en-US" w:eastAsia="zh-CN"/>
              </w:rPr>
              <w:t>污水管网进入</w:t>
            </w:r>
            <w:r>
              <w:rPr>
                <w:rFonts w:hint="eastAsia" w:eastAsia="宋体" w:cs="Times New Roman"/>
                <w:color w:val="auto"/>
                <w:sz w:val="24"/>
                <w:lang w:val="en-US" w:eastAsia="zh-CN"/>
              </w:rPr>
              <w:t>清丰中州水务有限公司第二污水处理厂</w:t>
            </w:r>
            <w:r>
              <w:rPr>
                <w:rFonts w:hint="default" w:ascii="Times New Roman" w:hAnsi="Times New Roman" w:eastAsia="宋体" w:cs="Times New Roman"/>
                <w:color w:val="auto"/>
                <w:sz w:val="24"/>
                <w:lang w:val="en-US" w:eastAsia="zh-CN"/>
              </w:rPr>
              <w:t>处理。</w:t>
            </w:r>
          </w:p>
          <w:p w14:paraId="7067580B">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eastAsia="宋体" w:cs="Times New Roman"/>
                <w:color w:val="auto"/>
                <w:sz w:val="24"/>
                <w:lang w:val="en-US" w:eastAsia="zh-CN"/>
              </w:rPr>
              <w:t>清丰中州水务有限公司第二污水处理厂</w:t>
            </w:r>
            <w:r>
              <w:rPr>
                <w:rFonts w:hint="default" w:ascii="Times New Roman" w:hAnsi="Times New Roman" w:eastAsia="宋体" w:cs="Times New Roman"/>
                <w:color w:val="auto"/>
                <w:sz w:val="24"/>
                <w:lang w:val="en-US" w:eastAsia="zh-CN"/>
              </w:rPr>
              <w:t>设计总建设规模为</w:t>
            </w:r>
            <w:r>
              <w:rPr>
                <w:rFonts w:hint="eastAsia" w:eastAsia="宋体" w:cs="Times New Roman"/>
                <w:color w:val="auto"/>
                <w:sz w:val="24"/>
                <w:lang w:val="en-US" w:eastAsia="zh-CN"/>
              </w:rPr>
              <w:t>2</w:t>
            </w:r>
            <w:r>
              <w:rPr>
                <w:rFonts w:hint="default" w:ascii="Times New Roman" w:hAnsi="Times New Roman" w:eastAsia="宋体" w:cs="Times New Roman"/>
                <w:color w:val="auto"/>
                <w:sz w:val="24"/>
                <w:lang w:val="en-US" w:eastAsia="zh-CN"/>
              </w:rPr>
              <w:t>万</w:t>
            </w:r>
            <w:r>
              <w:rPr>
                <w:rFonts w:hint="default" w:ascii="Times New Roman" w:hAnsi="Times New Roman" w:eastAsia="宋体" w:cs="Times New Roman"/>
                <w:b w:val="0"/>
                <w:bCs/>
                <w:color w:val="auto"/>
                <w:kern w:val="0"/>
                <w:sz w:val="24"/>
                <w:szCs w:val="24"/>
                <w:highlight w:val="none"/>
                <w:u w:val="none"/>
                <w:lang w:val="en-US" w:eastAsia="zh-CN"/>
              </w:rPr>
              <w:t>m</w:t>
            </w:r>
            <w:r>
              <w:rPr>
                <w:rFonts w:hint="eastAsia" w:eastAsia="宋体" w:cs="Times New Roman"/>
                <w:b w:val="0"/>
                <w:bCs/>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sz w:val="24"/>
                <w:lang w:val="en-US" w:eastAsia="zh-CN"/>
              </w:rPr>
              <w:t>/d，</w:t>
            </w:r>
            <w:r>
              <w:rPr>
                <w:rFonts w:hint="eastAsia" w:eastAsia="宋体" w:cs="Times New Roman"/>
                <w:color w:val="auto"/>
                <w:sz w:val="24"/>
                <w:lang w:val="en-US" w:eastAsia="zh-CN"/>
              </w:rPr>
              <w:t>目前</w:t>
            </w:r>
            <w:r>
              <w:rPr>
                <w:rFonts w:hint="default" w:ascii="Times New Roman" w:hAnsi="Times New Roman" w:eastAsia="宋体" w:cs="Times New Roman"/>
                <w:color w:val="auto"/>
                <w:sz w:val="24"/>
                <w:szCs w:val="24"/>
                <w:highlight w:val="none"/>
              </w:rPr>
              <w:t>处理厂已收纳1万m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∕d，剩余1万m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lang w:val="en-US" w:eastAsia="zh-CN"/>
              </w:rPr>
              <w:t>项目污水产生量为</w:t>
            </w:r>
            <w:r>
              <w:rPr>
                <w:rFonts w:hint="eastAsia" w:cs="Times New Roman"/>
                <w:color w:val="auto"/>
                <w:sz w:val="24"/>
                <w:lang w:val="en-US" w:eastAsia="zh-CN"/>
              </w:rPr>
              <w:t>1.76m</w:t>
            </w:r>
            <w:r>
              <w:rPr>
                <w:rFonts w:hint="eastAsia" w:eastAsia="宋体" w:cs="Times New Roman"/>
                <w:b w:val="0"/>
                <w:bCs/>
                <w:color w:val="auto"/>
                <w:kern w:val="0"/>
                <w:sz w:val="24"/>
                <w:szCs w:val="24"/>
                <w:highlight w:val="none"/>
                <w:u w:val="none"/>
                <w:vertAlign w:val="superscript"/>
                <w:lang w:val="en-US" w:eastAsia="zh-CN"/>
              </w:rPr>
              <w:t>3</w:t>
            </w:r>
            <w:r>
              <w:rPr>
                <w:rFonts w:hint="default" w:ascii="Times New Roman" w:hAnsi="Times New Roman" w:eastAsia="宋体" w:cs="Times New Roman"/>
                <w:b w:val="0"/>
                <w:bCs/>
                <w:color w:val="auto"/>
                <w:kern w:val="0"/>
                <w:sz w:val="24"/>
                <w:szCs w:val="24"/>
                <w:highlight w:val="none"/>
                <w:u w:val="none"/>
                <w:lang w:val="en-US" w:eastAsia="zh-CN"/>
              </w:rPr>
              <w:t>/d</w:t>
            </w:r>
            <w:r>
              <w:rPr>
                <w:rFonts w:hint="default" w:ascii="Times New Roman" w:hAnsi="Times New Roman" w:eastAsia="宋体" w:cs="Times New Roman"/>
                <w:color w:val="auto"/>
                <w:sz w:val="24"/>
                <w:lang w:val="en-US" w:eastAsia="zh-CN"/>
              </w:rPr>
              <w:t>，约占污水处理厂剩余日处理污水规模的0.0</w:t>
            </w:r>
            <w:r>
              <w:rPr>
                <w:rFonts w:hint="eastAsia" w:cs="Times New Roman"/>
                <w:color w:val="auto"/>
                <w:sz w:val="24"/>
                <w:lang w:val="en-US" w:eastAsia="zh-CN"/>
              </w:rPr>
              <w:t>16</w:t>
            </w:r>
            <w:r>
              <w:rPr>
                <w:rFonts w:hint="eastAsia" w:eastAsia="宋体" w:cs="Times New Roman"/>
                <w:color w:val="auto"/>
                <w:sz w:val="24"/>
                <w:lang w:val="en-US" w:eastAsia="zh-CN"/>
              </w:rPr>
              <w:t>%</w:t>
            </w:r>
            <w:r>
              <w:rPr>
                <w:rFonts w:hint="default" w:ascii="Times New Roman" w:hAnsi="Times New Roman" w:eastAsia="宋体" w:cs="Times New Roman"/>
                <w:color w:val="auto"/>
                <w:sz w:val="24"/>
                <w:lang w:val="en-US" w:eastAsia="zh-CN"/>
              </w:rPr>
              <w:t>，不会对其水量造成冲击。因此，通过化粪池</w:t>
            </w:r>
            <w:r>
              <w:rPr>
                <w:rFonts w:hint="default" w:ascii="Times New Roman" w:hAnsi="Times New Roman" w:eastAsia="宋体" w:cs="Times New Roman"/>
                <w:color w:val="auto"/>
                <w:sz w:val="24"/>
              </w:rPr>
              <w:t>处理后经污水管网进入</w:t>
            </w:r>
            <w:r>
              <w:rPr>
                <w:rFonts w:hint="eastAsia" w:eastAsia="宋体" w:cs="Times New Roman"/>
                <w:color w:val="auto"/>
                <w:sz w:val="24"/>
                <w:lang w:eastAsia="zh-CN"/>
              </w:rPr>
              <w:t>清丰中州水务有限公司第二污水处理厂</w:t>
            </w:r>
            <w:r>
              <w:rPr>
                <w:rFonts w:hint="default" w:ascii="Times New Roman" w:hAnsi="Times New Roman" w:eastAsia="宋体" w:cs="Times New Roman"/>
                <w:color w:val="auto"/>
                <w:sz w:val="24"/>
                <w:lang w:val="en-US" w:eastAsia="zh-CN"/>
              </w:rPr>
              <w:t>可行。</w:t>
            </w:r>
          </w:p>
          <w:p w14:paraId="3D83B653">
            <w:pPr>
              <w:keepNext w:val="0"/>
              <w:keepLines w:val="0"/>
              <w:pageBreakBefore w:val="0"/>
              <w:widowControl w:val="0"/>
              <w:kinsoku/>
              <w:wordWrap/>
              <w:overflowPunct/>
              <w:topLinePunct w:val="0"/>
              <w:autoSpaceDE/>
              <w:autoSpaceDN/>
              <w:bidi w:val="0"/>
              <w:adjustRightInd/>
              <w:snapToGrid/>
              <w:spacing w:line="520" w:lineRule="exact"/>
              <w:ind w:left="0" w:leftChars="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2.2.3 处理工艺可行性</w:t>
            </w:r>
          </w:p>
          <w:p w14:paraId="183A03F5">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化粪池原理：化粪池是一种利用沉淀和厌氧发酵的原理，去除生活污水中悬浮性有机物的处理设施，属于初级的过渡性生活处理构筑物。本项目使用两格化粪池，两格式化粪池是由两个相互连通的密封粪池组成，粪便由进粪管进入第一池依此顺流至第二池，其各池的主要原理：</w:t>
            </w:r>
          </w:p>
          <w:p w14:paraId="6206C8C9">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第一池：主要截留含虫卵较多的粪便，粪便经发酵分解，松散的粪块因发酵膨胀而浮升，比重大的下沉，因而形成上浮的粪皮、中层的粪液和下沉的粪渣。利用寄生虫的比重大于粪尿混合液的原理使其自然沉降于化粪池底部。利用粪液的浸泡和翻动化解粪块使其液化并截留粪渣于池底。厌氧发酵：化粪池的密闭厌氧环境，可以分解蛋白性有机物，并产生氨等物质，这些物质具有杀灭寄生虫卵及病菌的作用。</w:t>
            </w:r>
          </w:p>
          <w:p w14:paraId="7A389418">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第二池：进一步发酵、沉淀作用，与第一池相比，第二池的粪皮和粪渣的数量减少，因此发酵分解的程度较低，由于没有新粪便的进入，粪液处于比较静止状态，这有利于漂浮在粪池中的虫卵继续下沉。</w:t>
            </w:r>
          </w:p>
          <w:p w14:paraId="3B18CE82">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对照《排污许可证申请与核发技术规范 水处理通用工序》（HJ1120</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2020）附录 A.1 污水处理可行技术参照表，项目生活污水属于表中“服务类排污单位废水和生活污水”，项目化粪池涉及“沉淀”、“厌氧”技术，“沉淀”为参照表中预处理可行技术，“厌氧”为参照表中生化处理可行技术。</w:t>
            </w:r>
          </w:p>
          <w:p w14:paraId="13E65C24">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eastAsia="宋体" w:cs="Times New Roman"/>
                <w:color w:val="auto"/>
                <w:sz w:val="24"/>
                <w:lang w:val="en-US" w:eastAsia="zh-CN"/>
              </w:rPr>
              <w:t>清丰中州水务有限公司第二污水处理厂</w:t>
            </w:r>
            <w:r>
              <w:rPr>
                <w:rFonts w:hint="default" w:ascii="Times New Roman" w:hAnsi="Times New Roman" w:eastAsia="宋体" w:cs="Times New Roman"/>
                <w:color w:val="auto"/>
                <w:sz w:val="24"/>
                <w:lang w:val="en-US" w:eastAsia="zh-CN"/>
              </w:rPr>
              <w:t>采用改良型Carrousel氧化沟工艺。</w:t>
            </w:r>
            <w:r>
              <w:rPr>
                <w:rFonts w:hint="default" w:ascii="Times New Roman" w:hAnsi="Times New Roman" w:eastAsia="宋体" w:cs="Times New Roman"/>
                <w:b w:val="0"/>
                <w:bCs w:val="0"/>
                <w:color w:val="auto"/>
                <w:sz w:val="24"/>
                <w:szCs w:val="28"/>
                <w:vertAlign w:val="baseline"/>
                <w:lang w:val="en-US" w:eastAsia="zh-CN"/>
              </w:rPr>
              <w:t>厂区排入</w:t>
            </w:r>
            <w:r>
              <w:rPr>
                <w:rFonts w:hint="eastAsia" w:eastAsia="宋体" w:cs="Times New Roman"/>
                <w:color w:val="auto"/>
                <w:sz w:val="24"/>
                <w:lang w:val="en-US" w:eastAsia="zh-CN"/>
              </w:rPr>
              <w:t>清丰中州水务有限公司第二污水处理厂</w:t>
            </w:r>
            <w:r>
              <w:rPr>
                <w:rFonts w:hint="default" w:ascii="Times New Roman" w:hAnsi="Times New Roman" w:eastAsia="宋体" w:cs="Times New Roman"/>
                <w:b w:val="0"/>
                <w:bCs w:val="0"/>
                <w:color w:val="auto"/>
                <w:sz w:val="24"/>
                <w:szCs w:val="28"/>
                <w:vertAlign w:val="baseline"/>
                <w:lang w:val="en-US" w:eastAsia="zh-CN"/>
              </w:rPr>
              <w:t>的废水主要为生活污水，水质较为简单，主要为化学需氧量、五日生化需氧量、悬浮物、氨氮等，适用于</w:t>
            </w:r>
            <w:r>
              <w:rPr>
                <w:rFonts w:hint="eastAsia" w:eastAsia="宋体" w:cs="Times New Roman"/>
                <w:color w:val="auto"/>
                <w:sz w:val="24"/>
                <w:lang w:val="en-US" w:eastAsia="zh-CN"/>
              </w:rPr>
              <w:t>清丰中州水务有限公司第二污水处理厂</w:t>
            </w:r>
            <w:r>
              <w:rPr>
                <w:rFonts w:hint="default" w:ascii="Times New Roman" w:hAnsi="Times New Roman" w:eastAsia="宋体" w:cs="Times New Roman"/>
                <w:b w:val="0"/>
                <w:bCs w:val="0"/>
                <w:color w:val="auto"/>
                <w:sz w:val="24"/>
                <w:szCs w:val="28"/>
                <w:vertAlign w:val="baseline"/>
                <w:lang w:val="en-US" w:eastAsia="zh-CN"/>
              </w:rPr>
              <w:t>工艺，不会对污水处理厂处理负荷产生冲击性影响。</w:t>
            </w:r>
            <w:r>
              <w:rPr>
                <w:rFonts w:hint="default" w:ascii="Times New Roman" w:hAnsi="Times New Roman" w:eastAsia="宋体" w:cs="Times New Roman"/>
                <w:color w:val="auto"/>
                <w:sz w:val="24"/>
                <w:lang w:val="en-US" w:eastAsia="zh-CN"/>
              </w:rPr>
              <w:t>经该工艺处理之后，外排废水各污染因子浓度能够满足《地表水环境质量标准》（GB3838-2002）Ⅴ类标准要求。因此，废水处理工艺可行。</w:t>
            </w:r>
          </w:p>
          <w:p w14:paraId="7096BB43">
            <w:pPr>
              <w:keepNext w:val="0"/>
              <w:keepLines w:val="0"/>
              <w:pageBreakBefore w:val="0"/>
              <w:widowControl w:val="0"/>
              <w:kinsoku/>
              <w:wordWrap/>
              <w:overflowPunct/>
              <w:topLinePunct w:val="0"/>
              <w:autoSpaceDE/>
              <w:autoSpaceDN/>
              <w:bidi w:val="0"/>
              <w:adjustRightInd/>
              <w:snapToGrid/>
              <w:spacing w:line="520" w:lineRule="exact"/>
              <w:ind w:left="0" w:leftChars="0" w:firstLine="482" w:firstLineChars="200"/>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szCs w:val="22"/>
                <w:highlight w:val="none"/>
                <w:u w:val="none"/>
                <w:lang w:val="en-US" w:eastAsia="zh-CN"/>
              </w:rPr>
              <w:t xml:space="preserve">2.2.4 </w:t>
            </w:r>
            <w:r>
              <w:rPr>
                <w:rFonts w:hint="default" w:ascii="Times New Roman" w:hAnsi="Times New Roman" w:eastAsia="宋体" w:cs="Times New Roman"/>
                <w:b/>
                <w:bCs/>
                <w:color w:val="auto"/>
                <w:sz w:val="24"/>
                <w:lang w:val="en-US" w:eastAsia="zh-CN"/>
              </w:rPr>
              <w:t>设计进出水水质可行性</w:t>
            </w:r>
          </w:p>
          <w:p w14:paraId="48959D33">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eastAsia="宋体" w:cs="Times New Roman"/>
                <w:color w:val="auto"/>
                <w:sz w:val="24"/>
                <w:lang w:val="en-US" w:eastAsia="zh-CN"/>
              </w:rPr>
              <w:t>清丰中州水务有限公司第二污水处理厂</w:t>
            </w:r>
            <w:r>
              <w:rPr>
                <w:rFonts w:hint="default" w:ascii="Times New Roman" w:hAnsi="Times New Roman" w:eastAsia="宋体" w:cs="Times New Roman"/>
                <w:color w:val="auto"/>
                <w:sz w:val="24"/>
                <w:lang w:val="en-US" w:eastAsia="zh-CN"/>
              </w:rPr>
              <w:t>设计进水水质：BOD</w:t>
            </w:r>
            <w:r>
              <w:rPr>
                <w:rFonts w:hint="default" w:ascii="Times New Roman" w:hAnsi="Times New Roman" w:eastAsia="宋体" w:cs="Times New Roman"/>
                <w:color w:val="auto"/>
                <w:sz w:val="24"/>
                <w:vertAlign w:val="subscript"/>
                <w:lang w:val="en-US" w:eastAsia="zh-CN"/>
              </w:rPr>
              <w:t>5</w:t>
            </w:r>
            <w:r>
              <w:rPr>
                <w:rFonts w:hint="eastAsia" w:cs="Times New Roman"/>
                <w:color w:val="auto"/>
                <w:sz w:val="24"/>
                <w:vertAlign w:val="subscript"/>
                <w:lang w:val="en-US" w:eastAsia="zh-CN"/>
              </w:rPr>
              <w:t xml:space="preserve"> </w:t>
            </w:r>
            <w:r>
              <w:rPr>
                <w:rFonts w:hint="eastAsia" w:eastAsia="宋体" w:cs="Times New Roman"/>
                <w:color w:val="auto"/>
                <w:sz w:val="24"/>
                <w:lang w:val="en-US" w:eastAsia="zh-CN"/>
              </w:rPr>
              <w:t>170</w:t>
            </w:r>
            <w:r>
              <w:rPr>
                <w:rFonts w:hint="default" w:ascii="Times New Roman" w:hAnsi="Times New Roman" w:eastAsia="宋体" w:cs="Times New Roman"/>
                <w:color w:val="auto"/>
                <w:sz w:val="24"/>
                <w:lang w:val="en-US" w:eastAsia="zh-CN"/>
              </w:rPr>
              <w:t>mg/L、COD</w:t>
            </w:r>
            <w:r>
              <w:rPr>
                <w:rFonts w:hint="default" w:ascii="Times New Roman" w:hAnsi="Times New Roman" w:eastAsia="宋体" w:cs="Times New Roman"/>
                <w:color w:val="auto"/>
                <w:sz w:val="24"/>
                <w:vertAlign w:val="subscript"/>
                <w:lang w:val="en-US" w:eastAsia="zh-CN"/>
              </w:rPr>
              <w:t>cr</w:t>
            </w:r>
            <w:r>
              <w:rPr>
                <w:rFonts w:hint="eastAsia" w:cs="Times New Roman"/>
                <w:color w:val="auto"/>
                <w:sz w:val="24"/>
                <w:vertAlign w:val="baseline"/>
                <w:lang w:val="en-US" w:eastAsia="zh-CN"/>
              </w:rPr>
              <w:t xml:space="preserve"> </w:t>
            </w:r>
            <w:r>
              <w:rPr>
                <w:rFonts w:hint="eastAsia" w:eastAsia="宋体" w:cs="Times New Roman"/>
                <w:color w:val="auto"/>
                <w:sz w:val="24"/>
                <w:lang w:val="en-US" w:eastAsia="zh-CN"/>
              </w:rPr>
              <w:t>35</w:t>
            </w:r>
            <w:r>
              <w:rPr>
                <w:rFonts w:hint="default" w:ascii="Times New Roman" w:hAnsi="Times New Roman" w:eastAsia="宋体" w:cs="Times New Roman"/>
                <w:color w:val="auto"/>
                <w:sz w:val="24"/>
                <w:lang w:val="en-US" w:eastAsia="zh-CN"/>
              </w:rPr>
              <w:t>0mg/L、SS</w:t>
            </w:r>
            <w:r>
              <w:rPr>
                <w:rFonts w:hint="eastAsia" w:cs="Times New Roman"/>
                <w:color w:val="auto"/>
                <w:sz w:val="24"/>
                <w:lang w:val="en-US" w:eastAsia="zh-CN"/>
              </w:rPr>
              <w:t xml:space="preserve"> </w:t>
            </w:r>
            <w:r>
              <w:rPr>
                <w:rFonts w:hint="eastAsia" w:eastAsia="宋体" w:cs="Times New Roman"/>
                <w:color w:val="auto"/>
                <w:sz w:val="24"/>
                <w:lang w:val="en-US" w:eastAsia="zh-CN"/>
              </w:rPr>
              <w:t>21</w:t>
            </w:r>
            <w:r>
              <w:rPr>
                <w:rFonts w:hint="default" w:ascii="Times New Roman" w:hAnsi="Times New Roman" w:eastAsia="宋体" w:cs="Times New Roman"/>
                <w:color w:val="auto"/>
                <w:sz w:val="24"/>
                <w:lang w:val="en-US" w:eastAsia="zh-CN"/>
              </w:rPr>
              <w:t>0mg/L、NH</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-N</w:t>
            </w:r>
            <w:r>
              <w:rPr>
                <w:rFonts w:hint="eastAsia" w:cs="Times New Roman"/>
                <w:color w:val="auto"/>
                <w:sz w:val="24"/>
                <w:lang w:val="en-US" w:eastAsia="zh-CN"/>
              </w:rPr>
              <w:t xml:space="preserve"> </w:t>
            </w:r>
            <w:r>
              <w:rPr>
                <w:rFonts w:hint="eastAsia" w:eastAsia="宋体" w:cs="Times New Roman"/>
                <w:color w:val="auto"/>
                <w:sz w:val="24"/>
                <w:lang w:val="en-US" w:eastAsia="zh-CN"/>
              </w:rPr>
              <w:t>30</w:t>
            </w:r>
            <w:r>
              <w:rPr>
                <w:rFonts w:hint="default" w:ascii="Times New Roman" w:hAnsi="Times New Roman" w:eastAsia="宋体" w:cs="Times New Roman"/>
                <w:color w:val="auto"/>
                <w:sz w:val="24"/>
                <w:lang w:val="en-US" w:eastAsia="zh-CN"/>
              </w:rPr>
              <w:t>mg/L，项目外排污水各污染物种类及浓度为COD</w:t>
            </w:r>
            <w:r>
              <w:rPr>
                <w:rFonts w:hint="eastAsia" w:cs="Times New Roman"/>
                <w:color w:val="auto"/>
                <w:sz w:val="24"/>
                <w:lang w:val="en-US" w:eastAsia="zh-CN"/>
              </w:rPr>
              <w:t xml:space="preserve"> 255</w:t>
            </w:r>
            <w:r>
              <w:rPr>
                <w:rFonts w:hint="default" w:ascii="Times New Roman" w:hAnsi="Times New Roman" w:eastAsia="宋体" w:cs="Times New Roman"/>
                <w:color w:val="auto"/>
                <w:sz w:val="24"/>
                <w:lang w:val="en-US" w:eastAsia="zh-CN"/>
              </w:rPr>
              <w:t>mg/L、BOD</w:t>
            </w:r>
            <w:r>
              <w:rPr>
                <w:rFonts w:hint="default" w:ascii="Times New Roman" w:hAnsi="Times New Roman" w:eastAsia="宋体" w:cs="Times New Roman"/>
                <w:color w:val="auto"/>
                <w:sz w:val="24"/>
                <w:vertAlign w:val="subscript"/>
                <w:lang w:val="en-US" w:eastAsia="zh-CN"/>
              </w:rPr>
              <w:t>5</w:t>
            </w:r>
            <w:r>
              <w:rPr>
                <w:rFonts w:hint="eastAsia" w:cs="Times New Roman"/>
                <w:color w:val="auto"/>
                <w:sz w:val="24"/>
                <w:vertAlign w:val="baseline"/>
                <w:lang w:val="en-US" w:eastAsia="zh-CN"/>
              </w:rPr>
              <w:t xml:space="preserve"> 136.5</w:t>
            </w:r>
            <w:r>
              <w:rPr>
                <w:rFonts w:hint="default" w:ascii="Times New Roman" w:hAnsi="Times New Roman" w:eastAsia="宋体" w:cs="Times New Roman"/>
                <w:color w:val="auto"/>
                <w:sz w:val="24"/>
                <w:lang w:val="en-US" w:eastAsia="zh-CN"/>
              </w:rPr>
              <w:t>mg/L、SS</w:t>
            </w:r>
            <w:r>
              <w:rPr>
                <w:rFonts w:hint="eastAsia" w:cs="Times New Roman"/>
                <w:color w:val="auto"/>
                <w:sz w:val="24"/>
                <w:lang w:val="en-US" w:eastAsia="zh-CN"/>
              </w:rPr>
              <w:t xml:space="preserve"> 196</w:t>
            </w:r>
            <w:r>
              <w:rPr>
                <w:rFonts w:hint="default" w:ascii="Times New Roman" w:hAnsi="Times New Roman" w:eastAsia="宋体" w:cs="Times New Roman"/>
                <w:color w:val="auto"/>
                <w:sz w:val="24"/>
                <w:lang w:val="en-US" w:eastAsia="zh-CN"/>
              </w:rPr>
              <w:t>mg/L、NH</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-N</w:t>
            </w:r>
            <w:r>
              <w:rPr>
                <w:rFonts w:hint="eastAsia" w:cs="Times New Roman"/>
                <w:color w:val="auto"/>
                <w:sz w:val="24"/>
                <w:lang w:val="en-US" w:eastAsia="zh-CN"/>
              </w:rPr>
              <w:t xml:space="preserve"> 24.25</w:t>
            </w:r>
            <w:r>
              <w:rPr>
                <w:rFonts w:hint="default" w:ascii="Times New Roman" w:hAnsi="Times New Roman" w:eastAsia="宋体" w:cs="Times New Roman"/>
                <w:color w:val="auto"/>
                <w:sz w:val="24"/>
                <w:lang w:val="en-US" w:eastAsia="zh-CN"/>
              </w:rPr>
              <w:t>mg/L，满足《污水综合排放标准》（GB8978-1996）表4三级标准和</w:t>
            </w:r>
            <w:r>
              <w:rPr>
                <w:rFonts w:hint="eastAsia" w:eastAsia="宋体" w:cs="Times New Roman"/>
                <w:color w:val="auto"/>
                <w:sz w:val="24"/>
                <w:lang w:val="en-US" w:eastAsia="zh-CN"/>
              </w:rPr>
              <w:t>清丰中州水务有限公司第二污水处理厂</w:t>
            </w:r>
            <w:r>
              <w:rPr>
                <w:rFonts w:hint="default" w:ascii="Times New Roman" w:hAnsi="Times New Roman" w:eastAsia="宋体" w:cs="Times New Roman"/>
                <w:color w:val="auto"/>
                <w:sz w:val="24"/>
                <w:lang w:val="en-US" w:eastAsia="zh-CN"/>
              </w:rPr>
              <w:t>的进水水质要求。</w:t>
            </w:r>
          </w:p>
          <w:p w14:paraId="712A9D7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jc w:val="both"/>
              <w:textAlignment w:val="baseline"/>
              <w:rPr>
                <w:rFonts w:hint="default" w:ascii="Times New Roman" w:hAnsi="Times New Roman" w:eastAsia="宋体" w:cs="Times New Roman"/>
                <w:b/>
                <w:bCs/>
                <w:color w:val="auto"/>
                <w:sz w:val="24"/>
                <w:szCs w:val="22"/>
                <w:highlight w:val="none"/>
                <w:u w:val="none"/>
                <w:lang w:val="en-US" w:eastAsia="zh-CN"/>
              </w:rPr>
            </w:pPr>
            <w:r>
              <w:rPr>
                <w:rFonts w:hint="default" w:ascii="Times New Roman" w:hAnsi="Times New Roman" w:eastAsia="宋体" w:cs="Times New Roman"/>
                <w:b w:val="0"/>
                <w:bCs w:val="0"/>
                <w:color w:val="auto"/>
                <w:sz w:val="24"/>
                <w:szCs w:val="22"/>
                <w:highlight w:val="none"/>
                <w:u w:val="none"/>
                <w:lang w:val="en-US" w:eastAsia="zh-CN"/>
              </w:rPr>
              <w:t>因此，本项目废水依托</w:t>
            </w:r>
            <w:r>
              <w:rPr>
                <w:rFonts w:hint="eastAsia" w:eastAsia="宋体" w:cs="Times New Roman"/>
                <w:color w:val="auto"/>
                <w:sz w:val="24"/>
                <w:lang w:val="en-US" w:eastAsia="zh-CN"/>
              </w:rPr>
              <w:t>清丰中州水务有限公司第二污水处理厂</w:t>
            </w:r>
            <w:r>
              <w:rPr>
                <w:rFonts w:hint="default" w:ascii="Times New Roman" w:hAnsi="Times New Roman" w:eastAsia="宋体" w:cs="Times New Roman"/>
                <w:b w:val="0"/>
                <w:bCs w:val="0"/>
                <w:color w:val="auto"/>
                <w:sz w:val="24"/>
                <w:szCs w:val="22"/>
                <w:highlight w:val="none"/>
                <w:u w:val="none"/>
                <w:lang w:val="en-US" w:eastAsia="zh-CN"/>
              </w:rPr>
              <w:t>处理可行。</w:t>
            </w:r>
          </w:p>
          <w:p w14:paraId="44E73120">
            <w:pPr>
              <w:numPr>
                <w:ilvl w:val="0"/>
                <w:numId w:val="0"/>
              </w:numPr>
              <w:adjustRightInd w:val="0"/>
              <w:snapToGrid w:val="0"/>
              <w:spacing w:line="520" w:lineRule="exact"/>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表4-</w:t>
            </w:r>
            <w:r>
              <w:rPr>
                <w:rFonts w:hint="eastAsia" w:cs="Times New Roman"/>
                <w:b w:val="0"/>
                <w:bCs w:val="0"/>
                <w:color w:val="auto"/>
                <w:sz w:val="21"/>
                <w:szCs w:val="21"/>
                <w:highlight w:val="none"/>
                <w:u w:val="none"/>
                <w:lang w:val="en-US" w:eastAsia="zh-CN"/>
              </w:rPr>
              <w:t xml:space="preserve">7 </w:t>
            </w:r>
            <w:r>
              <w:rPr>
                <w:rFonts w:hint="eastAsia" w:ascii="Times New Roman" w:hAnsi="Times New Roman" w:eastAsia="宋体" w:cs="Times New Roman"/>
                <w:b w:val="0"/>
                <w:bCs w:val="0"/>
                <w:color w:val="auto"/>
                <w:sz w:val="21"/>
                <w:szCs w:val="21"/>
                <w:highlight w:val="none"/>
                <w:u w:val="none"/>
                <w:lang w:val="en-US" w:eastAsia="zh-CN"/>
              </w:rPr>
              <w:t xml:space="preserve">  项目废水类别、污染物及污染治理设施信息表（1）</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49"/>
              <w:gridCol w:w="607"/>
              <w:gridCol w:w="884"/>
              <w:gridCol w:w="953"/>
              <w:gridCol w:w="842"/>
              <w:gridCol w:w="953"/>
              <w:gridCol w:w="993"/>
              <w:gridCol w:w="1065"/>
              <w:gridCol w:w="873"/>
            </w:tblGrid>
            <w:tr w14:paraId="02E6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415" w:type="pct"/>
                  <w:vMerge w:val="restart"/>
                  <w:tcBorders>
                    <w:tl2br w:val="nil"/>
                    <w:tr2bl w:val="nil"/>
                  </w:tcBorders>
                  <w:noWrap w:val="0"/>
                  <w:tcMar>
                    <w:top w:w="0" w:type="dxa"/>
                    <w:left w:w="0" w:type="dxa"/>
                    <w:bottom w:w="0" w:type="dxa"/>
                    <w:right w:w="0" w:type="dxa"/>
                  </w:tcMar>
                  <w:vAlign w:val="center"/>
                </w:tcPr>
                <w:p w14:paraId="5B028205">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产排污环节</w:t>
                  </w:r>
                </w:p>
              </w:tc>
              <w:tc>
                <w:tcPr>
                  <w:tcW w:w="388" w:type="pct"/>
                  <w:vMerge w:val="restart"/>
                  <w:tcBorders>
                    <w:tl2br w:val="nil"/>
                    <w:tr2bl w:val="nil"/>
                  </w:tcBorders>
                  <w:noWrap w:val="0"/>
                  <w:tcMar>
                    <w:top w:w="0" w:type="dxa"/>
                    <w:left w:w="0" w:type="dxa"/>
                    <w:bottom w:w="0" w:type="dxa"/>
                    <w:right w:w="0" w:type="dxa"/>
                  </w:tcMar>
                  <w:vAlign w:val="center"/>
                </w:tcPr>
                <w:p w14:paraId="6AEF2EAB">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eastAsia" w:ascii="Times New Roman" w:hAnsi="Times New Roman" w:eastAsia="宋体" w:cs="Times New Roman"/>
                      <w:b w:val="0"/>
                      <w:bCs/>
                      <w:color w:val="auto"/>
                      <w:sz w:val="21"/>
                      <w:szCs w:val="21"/>
                      <w:u w:val="none"/>
                      <w:lang w:eastAsia="zh-CN"/>
                    </w:rPr>
                  </w:pPr>
                  <w:r>
                    <w:rPr>
                      <w:rFonts w:hint="eastAsia" w:ascii="Times New Roman" w:hAnsi="Times New Roman" w:eastAsia="宋体" w:cs="Times New Roman"/>
                      <w:b w:val="0"/>
                      <w:bCs/>
                      <w:color w:val="auto"/>
                      <w:sz w:val="21"/>
                      <w:szCs w:val="21"/>
                      <w:u w:val="none"/>
                      <w:lang w:eastAsia="zh-CN"/>
                    </w:rPr>
                    <w:t>类别</w:t>
                  </w:r>
                </w:p>
              </w:tc>
              <w:tc>
                <w:tcPr>
                  <w:tcW w:w="565" w:type="pct"/>
                  <w:vMerge w:val="restart"/>
                  <w:tcBorders>
                    <w:tl2br w:val="nil"/>
                    <w:tr2bl w:val="nil"/>
                  </w:tcBorders>
                  <w:noWrap w:val="0"/>
                  <w:tcMar>
                    <w:top w:w="0" w:type="dxa"/>
                    <w:left w:w="0" w:type="dxa"/>
                    <w:bottom w:w="0" w:type="dxa"/>
                    <w:right w:w="0" w:type="dxa"/>
                  </w:tcMar>
                  <w:vAlign w:val="center"/>
                </w:tcPr>
                <w:p w14:paraId="3600984C">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污染物</w:t>
                  </w:r>
                  <w:r>
                    <w:rPr>
                      <w:rFonts w:hint="eastAsia" w:ascii="Times New Roman" w:hAnsi="Times New Roman" w:eastAsia="宋体" w:cs="Times New Roman"/>
                      <w:b w:val="0"/>
                      <w:bCs/>
                      <w:color w:val="auto"/>
                      <w:sz w:val="21"/>
                      <w:szCs w:val="21"/>
                      <w:u w:val="none"/>
                      <w:lang w:val="en-US" w:eastAsia="zh-CN"/>
                    </w:rPr>
                    <w:t xml:space="preserve"> </w:t>
                  </w:r>
                  <w:r>
                    <w:rPr>
                      <w:rFonts w:hint="default" w:ascii="Times New Roman" w:hAnsi="Times New Roman" w:eastAsia="宋体" w:cs="Times New Roman"/>
                      <w:b w:val="0"/>
                      <w:bCs/>
                      <w:color w:val="auto"/>
                      <w:sz w:val="21"/>
                      <w:szCs w:val="21"/>
                      <w:u w:val="none"/>
                    </w:rPr>
                    <w:t>种类</w:t>
                  </w:r>
                </w:p>
              </w:tc>
              <w:tc>
                <w:tcPr>
                  <w:tcW w:w="609" w:type="pct"/>
                  <w:vMerge w:val="restart"/>
                  <w:tcBorders>
                    <w:tl2br w:val="nil"/>
                    <w:tr2bl w:val="nil"/>
                  </w:tcBorders>
                  <w:noWrap w:val="0"/>
                  <w:tcMar>
                    <w:top w:w="0" w:type="dxa"/>
                    <w:left w:w="0" w:type="dxa"/>
                    <w:bottom w:w="0" w:type="dxa"/>
                    <w:right w:w="0" w:type="dxa"/>
                  </w:tcMar>
                  <w:vAlign w:val="center"/>
                </w:tcPr>
                <w:p w14:paraId="264C8B5E">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ascii="Times New Roman" w:hAnsi="Times New Roman" w:eastAsia="宋体" w:cs="Times New Roman"/>
                      <w:b w:val="0"/>
                      <w:bCs/>
                      <w:color w:val="auto"/>
                      <w:sz w:val="21"/>
                      <w:szCs w:val="21"/>
                      <w:u w:val="none"/>
                    </w:rPr>
                  </w:pPr>
                  <w:r>
                    <w:rPr>
                      <w:rFonts w:hint="eastAsia" w:ascii="Times New Roman" w:hAnsi="Times New Roman" w:eastAsia="宋体" w:cs="Times New Roman"/>
                      <w:b w:val="0"/>
                      <w:bCs/>
                      <w:i w:val="0"/>
                      <w:color w:val="auto"/>
                      <w:kern w:val="0"/>
                      <w:sz w:val="21"/>
                      <w:szCs w:val="21"/>
                      <w:u w:val="none"/>
                      <w:lang w:val="en-US" w:eastAsia="zh-CN" w:bidi="ar"/>
                    </w:rPr>
                    <w:t>产生</w:t>
                  </w:r>
                  <w:r>
                    <w:rPr>
                      <w:rFonts w:hint="default" w:ascii="Times New Roman" w:hAnsi="Times New Roman" w:eastAsia="宋体" w:cs="Times New Roman"/>
                      <w:b w:val="0"/>
                      <w:bCs/>
                      <w:i w:val="0"/>
                      <w:color w:val="auto"/>
                      <w:kern w:val="0"/>
                      <w:sz w:val="21"/>
                      <w:szCs w:val="21"/>
                      <w:u w:val="none"/>
                      <w:lang w:val="en-US" w:eastAsia="zh-CN" w:bidi="ar"/>
                    </w:rPr>
                    <w:t>浓度</w:t>
                  </w:r>
                  <w:r>
                    <w:rPr>
                      <w:rFonts w:hint="eastAsia" w:eastAsia="宋体" w:cs="Times New Roman"/>
                      <w:b w:val="0"/>
                      <w:bCs/>
                      <w:i w:val="0"/>
                      <w:color w:val="auto"/>
                      <w:kern w:val="0"/>
                      <w:sz w:val="21"/>
                      <w:szCs w:val="21"/>
                      <w:u w:val="none"/>
                      <w:lang w:val="en-US" w:eastAsia="zh-CN" w:bidi="ar"/>
                    </w:rPr>
                    <w:t>/</w:t>
                  </w:r>
                  <w:r>
                    <w:rPr>
                      <w:rFonts w:hint="default" w:ascii="Times New Roman" w:hAnsi="Times New Roman" w:cs="Times New Roman"/>
                      <w:i w:val="0"/>
                      <w:iCs w:val="0"/>
                      <w:color w:val="auto"/>
                      <w:kern w:val="2"/>
                      <w:sz w:val="21"/>
                      <w:szCs w:val="21"/>
                      <w:u w:val="none"/>
                      <w:lang w:val="en-US" w:eastAsia="zh-CN" w:bidi="ar"/>
                    </w:rPr>
                    <w:t>mg/L</w:t>
                  </w:r>
                </w:p>
              </w:tc>
              <w:tc>
                <w:tcPr>
                  <w:tcW w:w="538" w:type="pct"/>
                  <w:vMerge w:val="restart"/>
                  <w:tcBorders>
                    <w:tl2br w:val="nil"/>
                    <w:tr2bl w:val="nil"/>
                  </w:tcBorders>
                  <w:noWrap w:val="0"/>
                  <w:tcMar>
                    <w:top w:w="0" w:type="dxa"/>
                    <w:left w:w="0" w:type="dxa"/>
                    <w:bottom w:w="0" w:type="dxa"/>
                    <w:right w:w="0" w:type="dxa"/>
                  </w:tcMar>
                  <w:vAlign w:val="center"/>
                </w:tcPr>
                <w:p w14:paraId="79C67226">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i w:val="0"/>
                      <w:color w:val="auto"/>
                      <w:kern w:val="0"/>
                      <w:sz w:val="21"/>
                      <w:szCs w:val="21"/>
                      <w:u w:val="none"/>
                      <w:lang w:val="en-US" w:eastAsia="zh-CN" w:bidi="ar"/>
                    </w:rPr>
                    <w:t>产生</w:t>
                  </w:r>
                  <w:r>
                    <w:rPr>
                      <w:rFonts w:hint="default" w:ascii="Times New Roman" w:hAnsi="Times New Roman" w:eastAsia="宋体" w:cs="Times New Roman"/>
                      <w:b w:val="0"/>
                      <w:bCs/>
                      <w:i w:val="0"/>
                      <w:color w:val="auto"/>
                      <w:kern w:val="0"/>
                      <w:sz w:val="21"/>
                      <w:szCs w:val="21"/>
                      <w:u w:val="none"/>
                      <w:lang w:val="en-US" w:eastAsia="zh-CN" w:bidi="ar"/>
                    </w:rPr>
                    <w:t>量</w:t>
                  </w:r>
                  <w:r>
                    <w:rPr>
                      <w:rFonts w:hint="eastAsia" w:eastAsia="宋体" w:cs="Times New Roman"/>
                      <w:b w:val="0"/>
                      <w:bCs/>
                      <w:i w:val="0"/>
                      <w:color w:val="auto"/>
                      <w:kern w:val="0"/>
                      <w:sz w:val="21"/>
                      <w:szCs w:val="21"/>
                      <w:u w:val="none"/>
                      <w:lang w:val="en-US" w:eastAsia="zh-CN" w:bidi="ar"/>
                    </w:rPr>
                    <w:t>/</w:t>
                  </w:r>
                  <w:r>
                    <w:rPr>
                      <w:rFonts w:hint="eastAsia" w:ascii="Times New Roman" w:hAnsi="Times New Roman" w:eastAsia="宋体" w:cs="Times New Roman"/>
                      <w:b w:val="0"/>
                      <w:bCs/>
                      <w:i w:val="0"/>
                      <w:color w:val="auto"/>
                      <w:kern w:val="0"/>
                      <w:sz w:val="21"/>
                      <w:szCs w:val="21"/>
                      <w:u w:val="none"/>
                      <w:lang w:val="en-US" w:eastAsia="zh-CN" w:bidi="ar"/>
                    </w:rPr>
                    <w:t>t/a</w:t>
                  </w:r>
                </w:p>
              </w:tc>
              <w:tc>
                <w:tcPr>
                  <w:tcW w:w="1925" w:type="pct"/>
                  <w:gridSpan w:val="3"/>
                  <w:tcBorders>
                    <w:tl2br w:val="nil"/>
                    <w:tr2bl w:val="nil"/>
                  </w:tcBorders>
                  <w:noWrap w:val="0"/>
                  <w:tcMar>
                    <w:top w:w="0" w:type="dxa"/>
                    <w:left w:w="0" w:type="dxa"/>
                    <w:bottom w:w="0" w:type="dxa"/>
                    <w:right w:w="0" w:type="dxa"/>
                  </w:tcMar>
                  <w:vAlign w:val="center"/>
                </w:tcPr>
                <w:p w14:paraId="513672E0">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治理措施</w:t>
                  </w:r>
                </w:p>
              </w:tc>
              <w:tc>
                <w:tcPr>
                  <w:tcW w:w="558" w:type="pct"/>
                  <w:vMerge w:val="restart"/>
                  <w:tcBorders>
                    <w:tl2br w:val="nil"/>
                    <w:tr2bl w:val="nil"/>
                  </w:tcBorders>
                  <w:noWrap w:val="0"/>
                  <w:tcMar>
                    <w:top w:w="0" w:type="dxa"/>
                    <w:left w:w="0" w:type="dxa"/>
                    <w:bottom w:w="0" w:type="dxa"/>
                    <w:right w:w="0" w:type="dxa"/>
                  </w:tcMar>
                  <w:vAlign w:val="center"/>
                </w:tcPr>
                <w:p w14:paraId="74B41365">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是否为可行性技术</w:t>
                  </w:r>
                </w:p>
              </w:tc>
            </w:tr>
            <w:tr w14:paraId="7BE1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415" w:type="pct"/>
                  <w:vMerge w:val="continue"/>
                  <w:tcBorders>
                    <w:tl2br w:val="nil"/>
                    <w:tr2bl w:val="nil"/>
                  </w:tcBorders>
                  <w:noWrap w:val="0"/>
                  <w:tcMar>
                    <w:top w:w="0" w:type="dxa"/>
                    <w:left w:w="0" w:type="dxa"/>
                    <w:bottom w:w="0" w:type="dxa"/>
                    <w:right w:w="0" w:type="dxa"/>
                  </w:tcMar>
                  <w:vAlign w:val="center"/>
                </w:tcPr>
                <w:p w14:paraId="267C3B92">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eastAsia" w:ascii="Times New Roman" w:hAnsi="Times New Roman" w:eastAsia="宋体" w:cs="Times New Roman"/>
                      <w:b w:val="0"/>
                      <w:bCs/>
                      <w:color w:val="auto"/>
                      <w:sz w:val="21"/>
                      <w:szCs w:val="21"/>
                      <w:u w:val="none"/>
                      <w:lang w:val="en-US" w:eastAsia="zh-CN"/>
                    </w:rPr>
                  </w:pPr>
                </w:p>
              </w:tc>
              <w:tc>
                <w:tcPr>
                  <w:tcW w:w="388" w:type="pct"/>
                  <w:vMerge w:val="continue"/>
                  <w:tcBorders>
                    <w:tl2br w:val="nil"/>
                    <w:tr2bl w:val="nil"/>
                  </w:tcBorders>
                  <w:noWrap w:val="0"/>
                  <w:tcMar>
                    <w:top w:w="0" w:type="dxa"/>
                    <w:left w:w="0" w:type="dxa"/>
                    <w:bottom w:w="0" w:type="dxa"/>
                    <w:right w:w="0" w:type="dxa"/>
                  </w:tcMar>
                  <w:vAlign w:val="center"/>
                </w:tcPr>
                <w:p w14:paraId="2D9E11DA">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rPr>
                  </w:pPr>
                </w:p>
              </w:tc>
              <w:tc>
                <w:tcPr>
                  <w:tcW w:w="565" w:type="pct"/>
                  <w:vMerge w:val="continue"/>
                  <w:tcBorders>
                    <w:tl2br w:val="nil"/>
                    <w:tr2bl w:val="nil"/>
                  </w:tcBorders>
                  <w:noWrap w:val="0"/>
                  <w:tcMar>
                    <w:top w:w="0" w:type="dxa"/>
                    <w:left w:w="0" w:type="dxa"/>
                    <w:bottom w:w="0" w:type="dxa"/>
                    <w:right w:w="0" w:type="dxa"/>
                  </w:tcMar>
                  <w:vAlign w:val="center"/>
                </w:tcPr>
                <w:p w14:paraId="38EF659B">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rPr>
                  </w:pPr>
                </w:p>
              </w:tc>
              <w:tc>
                <w:tcPr>
                  <w:tcW w:w="609" w:type="pct"/>
                  <w:vMerge w:val="continue"/>
                  <w:tcBorders>
                    <w:tl2br w:val="nil"/>
                    <w:tr2bl w:val="nil"/>
                  </w:tcBorders>
                  <w:noWrap w:val="0"/>
                  <w:tcMar>
                    <w:top w:w="0" w:type="dxa"/>
                    <w:left w:w="0" w:type="dxa"/>
                    <w:bottom w:w="0" w:type="dxa"/>
                    <w:right w:w="0" w:type="dxa"/>
                  </w:tcMar>
                  <w:vAlign w:val="center"/>
                </w:tcPr>
                <w:p w14:paraId="051E8CF1">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b w:val="0"/>
                      <w:bCs/>
                      <w:i w:val="0"/>
                      <w:color w:val="auto"/>
                      <w:kern w:val="0"/>
                      <w:sz w:val="21"/>
                      <w:szCs w:val="21"/>
                      <w:u w:val="none"/>
                      <w:lang w:val="en-US" w:eastAsia="zh-CN" w:bidi="ar"/>
                    </w:rPr>
                  </w:pPr>
                </w:p>
              </w:tc>
              <w:tc>
                <w:tcPr>
                  <w:tcW w:w="538" w:type="pct"/>
                  <w:vMerge w:val="continue"/>
                  <w:tcBorders>
                    <w:tl2br w:val="nil"/>
                    <w:tr2bl w:val="nil"/>
                  </w:tcBorders>
                  <w:noWrap w:val="0"/>
                  <w:tcMar>
                    <w:top w:w="0" w:type="dxa"/>
                    <w:left w:w="0" w:type="dxa"/>
                    <w:bottom w:w="0" w:type="dxa"/>
                    <w:right w:w="0" w:type="dxa"/>
                  </w:tcMar>
                  <w:vAlign w:val="center"/>
                </w:tcPr>
                <w:p w14:paraId="2EAB8BF9">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b w:val="0"/>
                      <w:bCs/>
                      <w:color w:val="auto"/>
                      <w:sz w:val="21"/>
                      <w:szCs w:val="21"/>
                      <w:lang w:val="en-US" w:eastAsia="zh-CN"/>
                    </w:rPr>
                  </w:pPr>
                </w:p>
              </w:tc>
              <w:tc>
                <w:tcPr>
                  <w:tcW w:w="609" w:type="pct"/>
                  <w:tcBorders>
                    <w:tl2br w:val="nil"/>
                    <w:tr2bl w:val="nil"/>
                  </w:tcBorders>
                  <w:noWrap w:val="0"/>
                  <w:tcMar>
                    <w:top w:w="0" w:type="dxa"/>
                    <w:left w:w="0" w:type="dxa"/>
                    <w:bottom w:w="0" w:type="dxa"/>
                    <w:right w:w="0" w:type="dxa"/>
                  </w:tcMar>
                  <w:vAlign w:val="center"/>
                </w:tcPr>
                <w:p w14:paraId="6501AF98">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处理能力</w:t>
                  </w:r>
                </w:p>
              </w:tc>
              <w:tc>
                <w:tcPr>
                  <w:tcW w:w="635" w:type="pct"/>
                  <w:tcBorders>
                    <w:tl2br w:val="nil"/>
                    <w:tr2bl w:val="nil"/>
                  </w:tcBorders>
                  <w:noWrap w:val="0"/>
                  <w:tcMar>
                    <w:top w:w="0" w:type="dxa"/>
                    <w:left w:w="0" w:type="dxa"/>
                    <w:bottom w:w="0" w:type="dxa"/>
                    <w:right w:w="0" w:type="dxa"/>
                  </w:tcMar>
                  <w:vAlign w:val="center"/>
                </w:tcPr>
                <w:p w14:paraId="3681E858">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治理工艺</w:t>
                  </w:r>
                </w:p>
              </w:tc>
              <w:tc>
                <w:tcPr>
                  <w:tcW w:w="680" w:type="pct"/>
                  <w:tcBorders>
                    <w:tl2br w:val="nil"/>
                    <w:tr2bl w:val="nil"/>
                  </w:tcBorders>
                  <w:noWrap w:val="0"/>
                  <w:tcMar>
                    <w:top w:w="0" w:type="dxa"/>
                    <w:left w:w="0" w:type="dxa"/>
                    <w:bottom w:w="0" w:type="dxa"/>
                    <w:right w:w="0" w:type="dxa"/>
                  </w:tcMar>
                  <w:vAlign w:val="center"/>
                </w:tcPr>
                <w:p w14:paraId="066444C4">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治理效率</w:t>
                  </w:r>
                </w:p>
              </w:tc>
              <w:tc>
                <w:tcPr>
                  <w:tcW w:w="558" w:type="pct"/>
                  <w:vMerge w:val="continue"/>
                  <w:tcBorders>
                    <w:tl2br w:val="nil"/>
                    <w:tr2bl w:val="nil"/>
                  </w:tcBorders>
                  <w:noWrap w:val="0"/>
                  <w:tcMar>
                    <w:top w:w="0" w:type="dxa"/>
                    <w:left w:w="0" w:type="dxa"/>
                    <w:bottom w:w="0" w:type="dxa"/>
                    <w:right w:w="0" w:type="dxa"/>
                  </w:tcMar>
                  <w:vAlign w:val="center"/>
                </w:tcPr>
                <w:p w14:paraId="0D70F772">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b w:val="0"/>
                      <w:bCs/>
                      <w:color w:val="auto"/>
                      <w:sz w:val="21"/>
                      <w:szCs w:val="21"/>
                      <w:u w:val="none"/>
                      <w:lang w:val="en-US" w:eastAsia="zh-CN"/>
                    </w:rPr>
                  </w:pPr>
                </w:p>
              </w:tc>
            </w:tr>
            <w:tr w14:paraId="1013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415" w:type="pct"/>
                  <w:vMerge w:val="restart"/>
                  <w:tcBorders>
                    <w:tl2br w:val="nil"/>
                    <w:tr2bl w:val="nil"/>
                  </w:tcBorders>
                  <w:noWrap w:val="0"/>
                  <w:tcMar>
                    <w:top w:w="0" w:type="dxa"/>
                    <w:left w:w="0" w:type="dxa"/>
                    <w:bottom w:w="0" w:type="dxa"/>
                    <w:right w:w="0" w:type="dxa"/>
                  </w:tcMar>
                  <w:vAlign w:val="center"/>
                </w:tcPr>
                <w:p w14:paraId="7B28F2F5">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lang w:eastAsia="zh-CN"/>
                    </w:rPr>
                  </w:pPr>
                  <w:r>
                    <w:rPr>
                      <w:rFonts w:hint="eastAsia" w:ascii="Times New Roman" w:hAnsi="Times New Roman" w:eastAsia="宋体" w:cs="Times New Roman"/>
                      <w:b w:val="0"/>
                      <w:bCs/>
                      <w:color w:val="auto"/>
                      <w:sz w:val="21"/>
                      <w:szCs w:val="21"/>
                      <w:u w:val="none"/>
                      <w:lang w:eastAsia="zh-CN"/>
                    </w:rPr>
                    <w:t>员工日常生活办公</w:t>
                  </w:r>
                </w:p>
              </w:tc>
              <w:tc>
                <w:tcPr>
                  <w:tcW w:w="388" w:type="pct"/>
                  <w:vMerge w:val="restart"/>
                  <w:tcBorders>
                    <w:tl2br w:val="nil"/>
                    <w:tr2bl w:val="nil"/>
                  </w:tcBorders>
                  <w:noWrap w:val="0"/>
                  <w:tcMar>
                    <w:top w:w="0" w:type="dxa"/>
                    <w:left w:w="0" w:type="dxa"/>
                    <w:bottom w:w="0" w:type="dxa"/>
                    <w:right w:w="0" w:type="dxa"/>
                  </w:tcMar>
                  <w:vAlign w:val="center"/>
                </w:tcPr>
                <w:p w14:paraId="531D3D6C">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生活污水</w:t>
                  </w:r>
                </w:p>
              </w:tc>
              <w:tc>
                <w:tcPr>
                  <w:tcW w:w="565" w:type="pct"/>
                  <w:tcBorders>
                    <w:tl2br w:val="nil"/>
                    <w:tr2bl w:val="nil"/>
                  </w:tcBorders>
                  <w:noWrap w:val="0"/>
                  <w:tcMar>
                    <w:top w:w="0" w:type="dxa"/>
                    <w:left w:w="0" w:type="dxa"/>
                    <w:bottom w:w="0" w:type="dxa"/>
                    <w:right w:w="0" w:type="dxa"/>
                  </w:tcMar>
                  <w:vAlign w:val="center"/>
                </w:tcPr>
                <w:p w14:paraId="4107277C">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lang w:eastAsia="zh-CN"/>
                    </w:rPr>
                  </w:pPr>
                  <w:r>
                    <w:rPr>
                      <w:rFonts w:hint="default" w:ascii="Times New Roman" w:hAnsi="Times New Roman" w:eastAsia="宋体" w:cs="Times New Roman"/>
                      <w:b w:val="0"/>
                      <w:bCs/>
                      <w:color w:val="auto"/>
                      <w:sz w:val="21"/>
                      <w:szCs w:val="21"/>
                      <w:u w:val="none"/>
                    </w:rPr>
                    <w:t>COD</w:t>
                  </w:r>
                </w:p>
              </w:tc>
              <w:tc>
                <w:tcPr>
                  <w:tcW w:w="609" w:type="pct"/>
                  <w:tcBorders>
                    <w:tl2br w:val="nil"/>
                    <w:tr2bl w:val="nil"/>
                  </w:tcBorders>
                  <w:noWrap w:val="0"/>
                  <w:tcMar>
                    <w:top w:w="0" w:type="dxa"/>
                    <w:left w:w="0" w:type="dxa"/>
                    <w:bottom w:w="0" w:type="dxa"/>
                    <w:right w:w="0" w:type="dxa"/>
                  </w:tcMar>
                  <w:vAlign w:val="center"/>
                </w:tcPr>
                <w:p w14:paraId="5F7D9715">
                  <w:pPr>
                    <w:keepNext w:val="0"/>
                    <w:keepLines w:val="0"/>
                    <w:pageBreakBefore w:val="0"/>
                    <w:widowControl/>
                    <w:suppressLineNumbers w:val="0"/>
                    <w:kinsoku/>
                    <w:wordWrap/>
                    <w:overflowPunct/>
                    <w:topLinePunct w:val="0"/>
                    <w:autoSpaceDE/>
                    <w:autoSpaceDN/>
                    <w:bidi w:val="0"/>
                    <w:spacing w:before="48" w:beforeLines="15" w:after="48" w:afterLines="15" w:line="240" w:lineRule="auto"/>
                    <w:jc w:val="center"/>
                    <w:textAlignment w:val="center"/>
                    <w:rPr>
                      <w:rFonts w:hint="default"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300</w:t>
                  </w:r>
                </w:p>
              </w:tc>
              <w:tc>
                <w:tcPr>
                  <w:tcW w:w="538" w:type="pct"/>
                  <w:tcBorders>
                    <w:tl2br w:val="nil"/>
                    <w:tr2bl w:val="nil"/>
                  </w:tcBorders>
                  <w:noWrap w:val="0"/>
                  <w:tcMar>
                    <w:top w:w="0" w:type="dxa"/>
                    <w:left w:w="0" w:type="dxa"/>
                    <w:bottom w:w="0" w:type="dxa"/>
                    <w:right w:w="0" w:type="dxa"/>
                  </w:tcMar>
                  <w:vAlign w:val="center"/>
                </w:tcPr>
                <w:p w14:paraId="43A21F72">
                  <w:pPr>
                    <w:keepNext w:val="0"/>
                    <w:keepLines w:val="0"/>
                    <w:pageBreakBefore w:val="0"/>
                    <w:widowControl/>
                    <w:suppressLineNumbers w:val="0"/>
                    <w:kinsoku/>
                    <w:wordWrap/>
                    <w:overflowPunct/>
                    <w:topLinePunct w:val="0"/>
                    <w:autoSpaceDE/>
                    <w:autoSpaceDN/>
                    <w:bidi w:val="0"/>
                    <w:spacing w:before="48" w:beforeLines="15" w:after="48" w:afterLines="15"/>
                    <w:jc w:val="center"/>
                    <w:textAlignment w:val="center"/>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color w:val="auto"/>
                      <w:sz w:val="21"/>
                      <w:szCs w:val="21"/>
                      <w:lang w:val="en-US" w:eastAsia="zh-CN"/>
                    </w:rPr>
                    <w:t>0.1584</w:t>
                  </w:r>
                </w:p>
              </w:tc>
              <w:tc>
                <w:tcPr>
                  <w:tcW w:w="609" w:type="pct"/>
                  <w:vMerge w:val="restart"/>
                  <w:tcBorders>
                    <w:tl2br w:val="nil"/>
                    <w:tr2bl w:val="nil"/>
                  </w:tcBorders>
                  <w:noWrap w:val="0"/>
                  <w:tcMar>
                    <w:top w:w="0" w:type="dxa"/>
                    <w:left w:w="0" w:type="dxa"/>
                    <w:bottom w:w="0" w:type="dxa"/>
                    <w:right w:w="0" w:type="dxa"/>
                  </w:tcMar>
                  <w:vAlign w:val="center"/>
                </w:tcPr>
                <w:p w14:paraId="6820F1E1">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color w:val="auto"/>
                      <w:lang w:val="en-US" w:eastAsia="zh-CN"/>
                    </w:rPr>
                  </w:pPr>
                  <w:r>
                    <w:rPr>
                      <w:rFonts w:hint="eastAsia"/>
                      <w:color w:val="auto"/>
                      <w:lang w:val="en-US" w:eastAsia="zh-CN"/>
                    </w:rPr>
                    <w:t>5m</w:t>
                  </w:r>
                  <w:r>
                    <w:rPr>
                      <w:rFonts w:hint="eastAsia"/>
                      <w:color w:val="auto"/>
                      <w:vertAlign w:val="superscript"/>
                      <w:lang w:val="en-US" w:eastAsia="zh-CN"/>
                    </w:rPr>
                    <w:t>3</w:t>
                  </w:r>
                  <w:r>
                    <w:rPr>
                      <w:rFonts w:hint="eastAsia"/>
                      <w:color w:val="auto"/>
                      <w:lang w:val="en-US" w:eastAsia="zh-CN"/>
                    </w:rPr>
                    <w:t>/d</w:t>
                  </w:r>
                </w:p>
              </w:tc>
              <w:tc>
                <w:tcPr>
                  <w:tcW w:w="635" w:type="pct"/>
                  <w:vMerge w:val="restart"/>
                  <w:tcBorders>
                    <w:tl2br w:val="nil"/>
                    <w:tr2bl w:val="nil"/>
                  </w:tcBorders>
                  <w:noWrap w:val="0"/>
                  <w:tcMar>
                    <w:top w:w="0" w:type="dxa"/>
                    <w:left w:w="0" w:type="dxa"/>
                    <w:bottom w:w="0" w:type="dxa"/>
                    <w:right w:w="0" w:type="dxa"/>
                  </w:tcMar>
                  <w:vAlign w:val="center"/>
                </w:tcPr>
                <w:p w14:paraId="47DF5EF0">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化粪池</w:t>
                  </w:r>
                </w:p>
              </w:tc>
              <w:tc>
                <w:tcPr>
                  <w:tcW w:w="680" w:type="pct"/>
                  <w:vMerge w:val="restart"/>
                  <w:tcBorders>
                    <w:tl2br w:val="nil"/>
                    <w:tr2bl w:val="nil"/>
                  </w:tcBorders>
                  <w:noWrap w:val="0"/>
                  <w:tcMar>
                    <w:top w:w="0" w:type="dxa"/>
                    <w:left w:w="0" w:type="dxa"/>
                    <w:bottom w:w="0" w:type="dxa"/>
                    <w:right w:w="0" w:type="dxa"/>
                  </w:tcMar>
                  <w:vAlign w:val="center"/>
                </w:tcPr>
                <w:p w14:paraId="0EDADECE">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COD </w:t>
                  </w:r>
                  <w:r>
                    <w:rPr>
                      <w:rFonts w:hint="eastAsia" w:cs="Times New Roman"/>
                      <w:color w:val="auto"/>
                      <w:sz w:val="21"/>
                      <w:szCs w:val="21"/>
                      <w:lang w:val="en-US" w:eastAsia="zh-CN"/>
                    </w:rPr>
                    <w:t>15</w:t>
                  </w:r>
                  <w:r>
                    <w:rPr>
                      <w:rFonts w:hint="eastAsia" w:ascii="Times New Roman" w:hAnsi="Times New Roman" w:eastAsia="宋体" w:cs="Times New Roman"/>
                      <w:color w:val="auto"/>
                      <w:sz w:val="21"/>
                      <w:szCs w:val="21"/>
                      <w:lang w:val="en-US" w:eastAsia="zh-CN"/>
                    </w:rPr>
                    <w:t>%；氨氮3%；BOD</w:t>
                  </w:r>
                  <w:r>
                    <w:rPr>
                      <w:rFonts w:hint="eastAsia" w:ascii="Times New Roman" w:hAnsi="Times New Roman" w:eastAsia="宋体" w:cs="Times New Roman"/>
                      <w:color w:val="auto"/>
                      <w:sz w:val="21"/>
                      <w:szCs w:val="21"/>
                      <w:vertAlign w:val="subscript"/>
                      <w:lang w:val="en-US" w:eastAsia="zh-CN"/>
                    </w:rPr>
                    <w:t>5</w:t>
                  </w:r>
                  <w:r>
                    <w:rPr>
                      <w:rFonts w:hint="eastAsia" w:ascii="Times New Roman" w:hAnsi="Times New Roman" w:eastAsia="宋体" w:cs="Times New Roman"/>
                      <w:color w:val="auto"/>
                      <w:sz w:val="21"/>
                      <w:szCs w:val="21"/>
                      <w:lang w:val="en-US" w:eastAsia="zh-CN"/>
                    </w:rPr>
                    <w:t xml:space="preserve"> 9%；SS 30%</w:t>
                  </w:r>
                </w:p>
              </w:tc>
              <w:tc>
                <w:tcPr>
                  <w:tcW w:w="558" w:type="pct"/>
                  <w:vMerge w:val="restart"/>
                  <w:tcBorders>
                    <w:tl2br w:val="nil"/>
                    <w:tr2bl w:val="nil"/>
                  </w:tcBorders>
                  <w:noWrap w:val="0"/>
                  <w:tcMar>
                    <w:top w:w="0" w:type="dxa"/>
                    <w:left w:w="0" w:type="dxa"/>
                    <w:bottom w:w="0" w:type="dxa"/>
                    <w:right w:w="0" w:type="dxa"/>
                  </w:tcMar>
                  <w:vAlign w:val="center"/>
                </w:tcPr>
                <w:p w14:paraId="67D921C2">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ascii="Times New Roman" w:hAnsi="Times New Roman" w:eastAsia="宋体" w:cs="Times New Roman"/>
                      <w:b w:val="0"/>
                      <w:bCs/>
                      <w:color w:val="auto"/>
                      <w:sz w:val="21"/>
                      <w:szCs w:val="21"/>
                      <w:highlight w:val="none"/>
                      <w:u w:val="none"/>
                      <w:lang w:eastAsia="zh-CN"/>
                    </w:rPr>
                  </w:pPr>
                  <w:r>
                    <w:rPr>
                      <w:rFonts w:hint="eastAsia" w:ascii="Times New Roman" w:hAnsi="Times New Roman" w:cs="Times New Roman"/>
                      <w:color w:val="auto"/>
                      <w:sz w:val="21"/>
                      <w:szCs w:val="21"/>
                      <w:lang w:val="en-US" w:eastAsia="zh-CN"/>
                    </w:rPr>
                    <w:t>是</w:t>
                  </w:r>
                </w:p>
              </w:tc>
            </w:tr>
            <w:tr w14:paraId="3DD0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415" w:type="pct"/>
                  <w:vMerge w:val="continue"/>
                  <w:tcBorders>
                    <w:tl2br w:val="nil"/>
                    <w:tr2bl w:val="nil"/>
                  </w:tcBorders>
                  <w:noWrap w:val="0"/>
                  <w:tcMar>
                    <w:top w:w="0" w:type="dxa"/>
                    <w:left w:w="0" w:type="dxa"/>
                    <w:bottom w:w="0" w:type="dxa"/>
                    <w:right w:w="0" w:type="dxa"/>
                  </w:tcMar>
                  <w:vAlign w:val="center"/>
                </w:tcPr>
                <w:p w14:paraId="05A9F379">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eastAsia" w:ascii="Times New Roman" w:hAnsi="Times New Roman" w:cs="Times New Roman"/>
                      <w:b w:val="0"/>
                      <w:bCs/>
                      <w:color w:val="auto"/>
                      <w:sz w:val="21"/>
                      <w:szCs w:val="21"/>
                      <w:u w:val="none"/>
                      <w:lang w:eastAsia="zh-CN"/>
                    </w:rPr>
                  </w:pPr>
                </w:p>
              </w:tc>
              <w:tc>
                <w:tcPr>
                  <w:tcW w:w="388" w:type="pct"/>
                  <w:vMerge w:val="continue"/>
                  <w:tcBorders>
                    <w:tl2br w:val="nil"/>
                    <w:tr2bl w:val="nil"/>
                  </w:tcBorders>
                  <w:noWrap w:val="0"/>
                  <w:tcMar>
                    <w:top w:w="0" w:type="dxa"/>
                    <w:left w:w="0" w:type="dxa"/>
                    <w:bottom w:w="0" w:type="dxa"/>
                    <w:right w:w="0" w:type="dxa"/>
                  </w:tcMar>
                  <w:vAlign w:val="center"/>
                </w:tcPr>
                <w:p w14:paraId="1F7D8709">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rPr>
                  </w:pPr>
                </w:p>
              </w:tc>
              <w:tc>
                <w:tcPr>
                  <w:tcW w:w="565" w:type="pct"/>
                  <w:tcBorders>
                    <w:tl2br w:val="nil"/>
                    <w:tr2bl w:val="nil"/>
                  </w:tcBorders>
                  <w:noWrap w:val="0"/>
                  <w:tcMar>
                    <w:top w:w="0" w:type="dxa"/>
                    <w:left w:w="0" w:type="dxa"/>
                    <w:bottom w:w="0" w:type="dxa"/>
                    <w:right w:w="0" w:type="dxa"/>
                  </w:tcMar>
                  <w:vAlign w:val="center"/>
                </w:tcPr>
                <w:p w14:paraId="401B70BA">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lang w:val="en-US" w:eastAsia="zh-CN"/>
                    </w:rPr>
                  </w:pPr>
                  <w:r>
                    <w:rPr>
                      <w:rFonts w:hint="default" w:ascii="Times New Roman" w:hAnsi="Times New Roman" w:eastAsia="宋体" w:cs="Times New Roman"/>
                      <w:b w:val="0"/>
                      <w:bCs/>
                      <w:color w:val="auto"/>
                      <w:sz w:val="21"/>
                      <w:szCs w:val="21"/>
                      <w:u w:val="none"/>
                    </w:rPr>
                    <w:t>NH</w:t>
                  </w:r>
                  <w:r>
                    <w:rPr>
                      <w:rFonts w:hint="default" w:ascii="Times New Roman" w:hAnsi="Times New Roman" w:eastAsia="宋体" w:cs="Times New Roman"/>
                      <w:b w:val="0"/>
                      <w:bCs/>
                      <w:color w:val="auto"/>
                      <w:sz w:val="21"/>
                      <w:szCs w:val="21"/>
                      <w:u w:val="none"/>
                      <w:vertAlign w:val="subscript"/>
                    </w:rPr>
                    <w:t>3</w:t>
                  </w:r>
                  <w:r>
                    <w:rPr>
                      <w:rFonts w:hint="default" w:ascii="Times New Roman" w:hAnsi="Times New Roman" w:eastAsia="宋体" w:cs="Times New Roman"/>
                      <w:b w:val="0"/>
                      <w:bCs/>
                      <w:color w:val="auto"/>
                      <w:sz w:val="21"/>
                      <w:szCs w:val="21"/>
                      <w:u w:val="none"/>
                    </w:rPr>
                    <w:t>-N</w:t>
                  </w:r>
                </w:p>
              </w:tc>
              <w:tc>
                <w:tcPr>
                  <w:tcW w:w="609" w:type="pct"/>
                  <w:tcBorders>
                    <w:tl2br w:val="nil"/>
                    <w:tr2bl w:val="nil"/>
                  </w:tcBorders>
                  <w:noWrap w:val="0"/>
                  <w:tcMar>
                    <w:top w:w="0" w:type="dxa"/>
                    <w:left w:w="0" w:type="dxa"/>
                    <w:bottom w:w="0" w:type="dxa"/>
                    <w:right w:w="0" w:type="dxa"/>
                  </w:tcMar>
                  <w:vAlign w:val="center"/>
                </w:tcPr>
                <w:p w14:paraId="67695C25">
                  <w:pPr>
                    <w:keepNext w:val="0"/>
                    <w:keepLines w:val="0"/>
                    <w:pageBreakBefore w:val="0"/>
                    <w:widowControl/>
                    <w:suppressLineNumbers w:val="0"/>
                    <w:kinsoku/>
                    <w:wordWrap/>
                    <w:overflowPunct/>
                    <w:topLinePunct w:val="0"/>
                    <w:autoSpaceDE/>
                    <w:autoSpaceDN/>
                    <w:bidi w:val="0"/>
                    <w:spacing w:before="48" w:beforeLines="15" w:after="48" w:afterLines="15" w:line="240" w:lineRule="auto"/>
                    <w:jc w:val="center"/>
                    <w:textAlignment w:val="center"/>
                    <w:rPr>
                      <w:rFonts w:hint="default" w:ascii="Times New Roman" w:hAnsi="Times New Roman" w:cs="Times New Roman"/>
                      <w:i w:val="0"/>
                      <w:iCs w:val="0"/>
                      <w:color w:val="auto"/>
                      <w:kern w:val="2"/>
                      <w:sz w:val="21"/>
                      <w:szCs w:val="21"/>
                      <w:u w:val="none"/>
                      <w:lang w:val="en-US" w:eastAsia="zh-CN" w:bidi="ar"/>
                    </w:rPr>
                  </w:pPr>
                  <w:r>
                    <w:rPr>
                      <w:rFonts w:hint="eastAsia" w:ascii="Times New Roman" w:hAnsi="Times New Roman" w:cs="Times New Roman"/>
                      <w:i w:val="0"/>
                      <w:iCs w:val="0"/>
                      <w:color w:val="auto"/>
                      <w:kern w:val="2"/>
                      <w:sz w:val="21"/>
                      <w:szCs w:val="21"/>
                      <w:u w:val="none"/>
                      <w:lang w:val="en-US" w:eastAsia="zh-CN" w:bidi="ar"/>
                    </w:rPr>
                    <w:t>25</w:t>
                  </w:r>
                </w:p>
              </w:tc>
              <w:tc>
                <w:tcPr>
                  <w:tcW w:w="538" w:type="pct"/>
                  <w:tcBorders>
                    <w:tl2br w:val="nil"/>
                    <w:tr2bl w:val="nil"/>
                  </w:tcBorders>
                  <w:noWrap w:val="0"/>
                  <w:tcMar>
                    <w:top w:w="0" w:type="dxa"/>
                    <w:left w:w="0" w:type="dxa"/>
                    <w:bottom w:w="0" w:type="dxa"/>
                    <w:right w:w="0" w:type="dxa"/>
                  </w:tcMar>
                  <w:vAlign w:val="center"/>
                </w:tcPr>
                <w:p w14:paraId="7866D07A">
                  <w:pPr>
                    <w:keepNext w:val="0"/>
                    <w:keepLines w:val="0"/>
                    <w:pageBreakBefore w:val="0"/>
                    <w:widowControl/>
                    <w:suppressLineNumbers w:val="0"/>
                    <w:kinsoku/>
                    <w:wordWrap/>
                    <w:overflowPunct/>
                    <w:topLinePunct w:val="0"/>
                    <w:autoSpaceDE/>
                    <w:autoSpaceDN/>
                    <w:bidi w:val="0"/>
                    <w:spacing w:before="48" w:beforeLines="15" w:after="48" w:afterLines="15"/>
                    <w:jc w:val="center"/>
                    <w:textAlignment w:val="center"/>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color w:val="auto"/>
                      <w:sz w:val="21"/>
                      <w:szCs w:val="21"/>
                      <w:lang w:val="en-US" w:eastAsia="zh-CN"/>
                    </w:rPr>
                    <w:t>0.0132</w:t>
                  </w:r>
                </w:p>
              </w:tc>
              <w:tc>
                <w:tcPr>
                  <w:tcW w:w="609" w:type="pct"/>
                  <w:vMerge w:val="continue"/>
                  <w:tcBorders>
                    <w:tl2br w:val="nil"/>
                    <w:tr2bl w:val="nil"/>
                  </w:tcBorders>
                  <w:noWrap w:val="0"/>
                  <w:tcMar>
                    <w:top w:w="0" w:type="dxa"/>
                    <w:left w:w="0" w:type="dxa"/>
                    <w:bottom w:w="0" w:type="dxa"/>
                    <w:right w:w="0" w:type="dxa"/>
                  </w:tcMar>
                  <w:vAlign w:val="center"/>
                </w:tcPr>
                <w:p w14:paraId="047A94D3">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color w:val="auto"/>
                      <w:sz w:val="21"/>
                      <w:szCs w:val="21"/>
                      <w:lang w:val="en-US" w:eastAsia="zh-CN"/>
                    </w:rPr>
                  </w:pPr>
                </w:p>
              </w:tc>
              <w:tc>
                <w:tcPr>
                  <w:tcW w:w="635" w:type="pct"/>
                  <w:vMerge w:val="continue"/>
                  <w:tcBorders>
                    <w:tl2br w:val="nil"/>
                    <w:tr2bl w:val="nil"/>
                  </w:tcBorders>
                  <w:noWrap w:val="0"/>
                  <w:tcMar>
                    <w:top w:w="0" w:type="dxa"/>
                    <w:left w:w="0" w:type="dxa"/>
                    <w:bottom w:w="0" w:type="dxa"/>
                    <w:right w:w="0" w:type="dxa"/>
                  </w:tcMar>
                  <w:vAlign w:val="center"/>
                </w:tcPr>
                <w:p w14:paraId="5B2F6A94">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color w:val="auto"/>
                      <w:sz w:val="21"/>
                      <w:szCs w:val="21"/>
                      <w:lang w:val="en-US" w:eastAsia="zh-CN"/>
                    </w:rPr>
                  </w:pPr>
                </w:p>
              </w:tc>
              <w:tc>
                <w:tcPr>
                  <w:tcW w:w="680" w:type="pct"/>
                  <w:vMerge w:val="continue"/>
                  <w:tcBorders>
                    <w:tl2br w:val="nil"/>
                    <w:tr2bl w:val="nil"/>
                  </w:tcBorders>
                  <w:noWrap w:val="0"/>
                  <w:tcMar>
                    <w:top w:w="0" w:type="dxa"/>
                    <w:left w:w="0" w:type="dxa"/>
                    <w:bottom w:w="0" w:type="dxa"/>
                    <w:right w:w="0" w:type="dxa"/>
                  </w:tcMar>
                  <w:vAlign w:val="center"/>
                </w:tcPr>
                <w:p w14:paraId="5AB82F34">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color w:val="auto"/>
                      <w:sz w:val="21"/>
                      <w:szCs w:val="21"/>
                      <w:lang w:val="en-US" w:eastAsia="zh-CN"/>
                    </w:rPr>
                  </w:pPr>
                </w:p>
              </w:tc>
              <w:tc>
                <w:tcPr>
                  <w:tcW w:w="558" w:type="pct"/>
                  <w:vMerge w:val="continue"/>
                  <w:tcBorders>
                    <w:tl2br w:val="nil"/>
                    <w:tr2bl w:val="nil"/>
                  </w:tcBorders>
                  <w:noWrap w:val="0"/>
                  <w:tcMar>
                    <w:top w:w="0" w:type="dxa"/>
                    <w:left w:w="0" w:type="dxa"/>
                    <w:bottom w:w="0" w:type="dxa"/>
                    <w:right w:w="0" w:type="dxa"/>
                  </w:tcMar>
                  <w:vAlign w:val="center"/>
                </w:tcPr>
                <w:p w14:paraId="18DF9C7A">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cs="Times New Roman"/>
                      <w:color w:val="auto"/>
                      <w:sz w:val="21"/>
                      <w:szCs w:val="21"/>
                      <w:lang w:val="en-US" w:eastAsia="zh-CN"/>
                    </w:rPr>
                  </w:pPr>
                </w:p>
              </w:tc>
            </w:tr>
            <w:tr w14:paraId="6802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415" w:type="pct"/>
                  <w:vMerge w:val="continue"/>
                  <w:tcBorders>
                    <w:tl2br w:val="nil"/>
                    <w:tr2bl w:val="nil"/>
                  </w:tcBorders>
                  <w:noWrap w:val="0"/>
                  <w:tcMar>
                    <w:top w:w="0" w:type="dxa"/>
                    <w:left w:w="0" w:type="dxa"/>
                    <w:bottom w:w="0" w:type="dxa"/>
                    <w:right w:w="0" w:type="dxa"/>
                  </w:tcMar>
                  <w:vAlign w:val="center"/>
                </w:tcPr>
                <w:p w14:paraId="2FEE9A36">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eastAsia" w:ascii="Times New Roman" w:hAnsi="Times New Roman" w:cs="Times New Roman"/>
                      <w:b w:val="0"/>
                      <w:bCs/>
                      <w:color w:val="auto"/>
                      <w:sz w:val="21"/>
                      <w:szCs w:val="21"/>
                      <w:u w:val="none"/>
                      <w:lang w:eastAsia="zh-CN"/>
                    </w:rPr>
                  </w:pPr>
                </w:p>
              </w:tc>
              <w:tc>
                <w:tcPr>
                  <w:tcW w:w="388" w:type="pct"/>
                  <w:vMerge w:val="continue"/>
                  <w:tcBorders>
                    <w:tl2br w:val="nil"/>
                    <w:tr2bl w:val="nil"/>
                  </w:tcBorders>
                  <w:noWrap w:val="0"/>
                  <w:tcMar>
                    <w:top w:w="0" w:type="dxa"/>
                    <w:left w:w="0" w:type="dxa"/>
                    <w:bottom w:w="0" w:type="dxa"/>
                    <w:right w:w="0" w:type="dxa"/>
                  </w:tcMar>
                  <w:vAlign w:val="center"/>
                </w:tcPr>
                <w:p w14:paraId="67EE3547">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rPr>
                  </w:pPr>
                </w:p>
              </w:tc>
              <w:tc>
                <w:tcPr>
                  <w:tcW w:w="565" w:type="pct"/>
                  <w:tcBorders>
                    <w:tl2br w:val="nil"/>
                    <w:tr2bl w:val="nil"/>
                  </w:tcBorders>
                  <w:noWrap w:val="0"/>
                  <w:tcMar>
                    <w:top w:w="0" w:type="dxa"/>
                    <w:left w:w="0" w:type="dxa"/>
                    <w:bottom w:w="0" w:type="dxa"/>
                    <w:right w:w="0" w:type="dxa"/>
                  </w:tcMar>
                  <w:vAlign w:val="center"/>
                </w:tcPr>
                <w:p w14:paraId="438AA21F">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lang w:val="en-US" w:eastAsia="zh-CN"/>
                    </w:rPr>
                  </w:pPr>
                  <w:r>
                    <w:rPr>
                      <w:rFonts w:hint="default" w:ascii="Times New Roman" w:hAnsi="Times New Roman" w:eastAsia="宋体" w:cs="Times New Roman"/>
                      <w:b w:val="0"/>
                      <w:bCs/>
                      <w:color w:val="auto"/>
                      <w:sz w:val="21"/>
                      <w:szCs w:val="21"/>
                      <w:u w:val="none"/>
                    </w:rPr>
                    <w:t>BOD</w:t>
                  </w:r>
                  <w:r>
                    <w:rPr>
                      <w:rFonts w:hint="eastAsia" w:ascii="Times New Roman" w:hAnsi="Times New Roman" w:cs="Times New Roman"/>
                      <w:b w:val="0"/>
                      <w:bCs/>
                      <w:color w:val="auto"/>
                      <w:sz w:val="21"/>
                      <w:szCs w:val="21"/>
                      <w:u w:val="none"/>
                      <w:vertAlign w:val="subscript"/>
                      <w:lang w:val="en-US" w:eastAsia="zh-CN"/>
                    </w:rPr>
                    <w:t>5</w:t>
                  </w:r>
                </w:p>
              </w:tc>
              <w:tc>
                <w:tcPr>
                  <w:tcW w:w="609" w:type="pct"/>
                  <w:tcBorders>
                    <w:tl2br w:val="nil"/>
                    <w:tr2bl w:val="nil"/>
                  </w:tcBorders>
                  <w:noWrap w:val="0"/>
                  <w:tcMar>
                    <w:top w:w="0" w:type="dxa"/>
                    <w:left w:w="0" w:type="dxa"/>
                    <w:bottom w:w="0" w:type="dxa"/>
                    <w:right w:w="0" w:type="dxa"/>
                  </w:tcMar>
                  <w:vAlign w:val="center"/>
                </w:tcPr>
                <w:p w14:paraId="67E5FC6A">
                  <w:pPr>
                    <w:keepNext w:val="0"/>
                    <w:keepLines w:val="0"/>
                    <w:pageBreakBefore w:val="0"/>
                    <w:widowControl/>
                    <w:suppressLineNumbers w:val="0"/>
                    <w:kinsoku/>
                    <w:wordWrap/>
                    <w:overflowPunct/>
                    <w:topLinePunct w:val="0"/>
                    <w:autoSpaceDE/>
                    <w:autoSpaceDN/>
                    <w:bidi w:val="0"/>
                    <w:spacing w:before="48" w:beforeLines="15" w:after="48" w:afterLines="15" w:line="240" w:lineRule="auto"/>
                    <w:jc w:val="center"/>
                    <w:textAlignment w:val="center"/>
                    <w:rPr>
                      <w:rFonts w:hint="default" w:ascii="Times New Roman" w:hAnsi="Times New Roman" w:cs="Times New Roman"/>
                      <w:i w:val="0"/>
                      <w:iCs w:val="0"/>
                      <w:color w:val="auto"/>
                      <w:kern w:val="2"/>
                      <w:sz w:val="21"/>
                      <w:szCs w:val="21"/>
                      <w:u w:val="none"/>
                      <w:lang w:val="en-US" w:eastAsia="zh-CN" w:bidi="ar"/>
                    </w:rPr>
                  </w:pPr>
                  <w:r>
                    <w:rPr>
                      <w:rFonts w:hint="eastAsia" w:ascii="Times New Roman" w:hAnsi="Times New Roman" w:cs="Times New Roman"/>
                      <w:i w:val="0"/>
                      <w:iCs w:val="0"/>
                      <w:color w:val="auto"/>
                      <w:kern w:val="2"/>
                      <w:sz w:val="21"/>
                      <w:szCs w:val="21"/>
                      <w:u w:val="none"/>
                      <w:lang w:val="en-US" w:eastAsia="zh-CN" w:bidi="ar"/>
                    </w:rPr>
                    <w:t>1</w:t>
                  </w:r>
                  <w:r>
                    <w:rPr>
                      <w:rFonts w:hint="eastAsia" w:cs="Times New Roman"/>
                      <w:i w:val="0"/>
                      <w:iCs w:val="0"/>
                      <w:color w:val="auto"/>
                      <w:kern w:val="2"/>
                      <w:sz w:val="21"/>
                      <w:szCs w:val="21"/>
                      <w:u w:val="none"/>
                      <w:lang w:val="en-US" w:eastAsia="zh-CN" w:bidi="ar"/>
                    </w:rPr>
                    <w:t>5</w:t>
                  </w:r>
                  <w:r>
                    <w:rPr>
                      <w:rFonts w:hint="eastAsia" w:ascii="Times New Roman" w:hAnsi="Times New Roman" w:cs="Times New Roman"/>
                      <w:i w:val="0"/>
                      <w:iCs w:val="0"/>
                      <w:color w:val="auto"/>
                      <w:kern w:val="2"/>
                      <w:sz w:val="21"/>
                      <w:szCs w:val="21"/>
                      <w:u w:val="none"/>
                      <w:lang w:val="en-US" w:eastAsia="zh-CN" w:bidi="ar"/>
                    </w:rPr>
                    <w:t>0</w:t>
                  </w:r>
                </w:p>
              </w:tc>
              <w:tc>
                <w:tcPr>
                  <w:tcW w:w="538" w:type="pct"/>
                  <w:tcBorders>
                    <w:tl2br w:val="nil"/>
                    <w:tr2bl w:val="nil"/>
                  </w:tcBorders>
                  <w:noWrap w:val="0"/>
                  <w:tcMar>
                    <w:top w:w="0" w:type="dxa"/>
                    <w:left w:w="0" w:type="dxa"/>
                    <w:bottom w:w="0" w:type="dxa"/>
                    <w:right w:w="0" w:type="dxa"/>
                  </w:tcMar>
                  <w:vAlign w:val="center"/>
                </w:tcPr>
                <w:p w14:paraId="7F940675">
                  <w:pPr>
                    <w:keepNext w:val="0"/>
                    <w:keepLines w:val="0"/>
                    <w:pageBreakBefore w:val="0"/>
                    <w:widowControl/>
                    <w:suppressLineNumbers w:val="0"/>
                    <w:kinsoku/>
                    <w:wordWrap/>
                    <w:overflowPunct/>
                    <w:topLinePunct w:val="0"/>
                    <w:autoSpaceDE/>
                    <w:autoSpaceDN/>
                    <w:bidi w:val="0"/>
                    <w:spacing w:before="48" w:beforeLines="15" w:after="48" w:afterLines="15"/>
                    <w:jc w:val="center"/>
                    <w:textAlignment w:val="center"/>
                    <w:rPr>
                      <w:rFonts w:hint="default"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792</w:t>
                  </w:r>
                </w:p>
              </w:tc>
              <w:tc>
                <w:tcPr>
                  <w:tcW w:w="609" w:type="pct"/>
                  <w:vMerge w:val="continue"/>
                  <w:tcBorders>
                    <w:tl2br w:val="nil"/>
                    <w:tr2bl w:val="nil"/>
                  </w:tcBorders>
                  <w:noWrap w:val="0"/>
                  <w:tcMar>
                    <w:top w:w="0" w:type="dxa"/>
                    <w:left w:w="0" w:type="dxa"/>
                    <w:bottom w:w="0" w:type="dxa"/>
                    <w:right w:w="0" w:type="dxa"/>
                  </w:tcMar>
                  <w:vAlign w:val="center"/>
                </w:tcPr>
                <w:p w14:paraId="5081BDDF">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color w:val="auto"/>
                      <w:sz w:val="21"/>
                      <w:szCs w:val="21"/>
                      <w:lang w:val="en-US" w:eastAsia="zh-CN"/>
                    </w:rPr>
                  </w:pPr>
                </w:p>
              </w:tc>
              <w:tc>
                <w:tcPr>
                  <w:tcW w:w="635" w:type="pct"/>
                  <w:vMerge w:val="continue"/>
                  <w:tcBorders>
                    <w:tl2br w:val="nil"/>
                    <w:tr2bl w:val="nil"/>
                  </w:tcBorders>
                  <w:noWrap w:val="0"/>
                  <w:tcMar>
                    <w:top w:w="0" w:type="dxa"/>
                    <w:left w:w="0" w:type="dxa"/>
                    <w:bottom w:w="0" w:type="dxa"/>
                    <w:right w:w="0" w:type="dxa"/>
                  </w:tcMar>
                  <w:vAlign w:val="center"/>
                </w:tcPr>
                <w:p w14:paraId="25DCA8F7">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color w:val="auto"/>
                      <w:sz w:val="21"/>
                      <w:szCs w:val="21"/>
                      <w:lang w:val="en-US" w:eastAsia="zh-CN"/>
                    </w:rPr>
                  </w:pPr>
                </w:p>
              </w:tc>
              <w:tc>
                <w:tcPr>
                  <w:tcW w:w="680" w:type="pct"/>
                  <w:vMerge w:val="continue"/>
                  <w:tcBorders>
                    <w:tl2br w:val="nil"/>
                    <w:tr2bl w:val="nil"/>
                  </w:tcBorders>
                  <w:noWrap w:val="0"/>
                  <w:tcMar>
                    <w:top w:w="0" w:type="dxa"/>
                    <w:left w:w="0" w:type="dxa"/>
                    <w:bottom w:w="0" w:type="dxa"/>
                    <w:right w:w="0" w:type="dxa"/>
                  </w:tcMar>
                  <w:vAlign w:val="center"/>
                </w:tcPr>
                <w:p w14:paraId="1AB66BDF">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color w:val="auto"/>
                      <w:sz w:val="21"/>
                      <w:szCs w:val="21"/>
                      <w:lang w:val="en-US" w:eastAsia="zh-CN"/>
                    </w:rPr>
                  </w:pPr>
                </w:p>
              </w:tc>
              <w:tc>
                <w:tcPr>
                  <w:tcW w:w="558" w:type="pct"/>
                  <w:vMerge w:val="continue"/>
                  <w:tcBorders>
                    <w:tl2br w:val="nil"/>
                    <w:tr2bl w:val="nil"/>
                  </w:tcBorders>
                  <w:noWrap w:val="0"/>
                  <w:tcMar>
                    <w:top w:w="0" w:type="dxa"/>
                    <w:left w:w="0" w:type="dxa"/>
                    <w:bottom w:w="0" w:type="dxa"/>
                    <w:right w:w="0" w:type="dxa"/>
                  </w:tcMar>
                  <w:vAlign w:val="center"/>
                </w:tcPr>
                <w:p w14:paraId="63A3DDF8">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cs="Times New Roman"/>
                      <w:color w:val="auto"/>
                      <w:sz w:val="21"/>
                      <w:szCs w:val="21"/>
                      <w:lang w:val="en-US" w:eastAsia="zh-CN"/>
                    </w:rPr>
                  </w:pPr>
                </w:p>
              </w:tc>
            </w:tr>
            <w:tr w14:paraId="6172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415" w:type="pct"/>
                  <w:vMerge w:val="continue"/>
                  <w:tcBorders>
                    <w:tl2br w:val="nil"/>
                    <w:tr2bl w:val="nil"/>
                  </w:tcBorders>
                  <w:noWrap w:val="0"/>
                  <w:tcMar>
                    <w:top w:w="0" w:type="dxa"/>
                    <w:left w:w="0" w:type="dxa"/>
                    <w:bottom w:w="0" w:type="dxa"/>
                    <w:right w:w="0" w:type="dxa"/>
                  </w:tcMar>
                  <w:vAlign w:val="center"/>
                </w:tcPr>
                <w:p w14:paraId="18A33B32">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eastAsia" w:ascii="Times New Roman" w:hAnsi="Times New Roman" w:cs="Times New Roman"/>
                      <w:b w:val="0"/>
                      <w:bCs/>
                      <w:color w:val="auto"/>
                      <w:sz w:val="21"/>
                      <w:szCs w:val="21"/>
                      <w:u w:val="none"/>
                      <w:lang w:eastAsia="zh-CN"/>
                    </w:rPr>
                  </w:pPr>
                </w:p>
              </w:tc>
              <w:tc>
                <w:tcPr>
                  <w:tcW w:w="388" w:type="pct"/>
                  <w:vMerge w:val="continue"/>
                  <w:tcBorders>
                    <w:tl2br w:val="nil"/>
                    <w:tr2bl w:val="nil"/>
                  </w:tcBorders>
                  <w:noWrap w:val="0"/>
                  <w:tcMar>
                    <w:top w:w="0" w:type="dxa"/>
                    <w:left w:w="0" w:type="dxa"/>
                    <w:bottom w:w="0" w:type="dxa"/>
                    <w:right w:w="0" w:type="dxa"/>
                  </w:tcMar>
                  <w:vAlign w:val="center"/>
                </w:tcPr>
                <w:p w14:paraId="38650FB9">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rPr>
                  </w:pPr>
                </w:p>
              </w:tc>
              <w:tc>
                <w:tcPr>
                  <w:tcW w:w="565" w:type="pct"/>
                  <w:tcBorders>
                    <w:tl2br w:val="nil"/>
                    <w:tr2bl w:val="nil"/>
                  </w:tcBorders>
                  <w:noWrap w:val="0"/>
                  <w:tcMar>
                    <w:top w:w="0" w:type="dxa"/>
                    <w:left w:w="0" w:type="dxa"/>
                    <w:bottom w:w="0" w:type="dxa"/>
                    <w:right w:w="0" w:type="dxa"/>
                  </w:tcMar>
                  <w:vAlign w:val="center"/>
                </w:tcPr>
                <w:p w14:paraId="1C9A2403">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lang w:val="en-US" w:eastAsia="zh-CN"/>
                    </w:rPr>
                  </w:pPr>
                  <w:r>
                    <w:rPr>
                      <w:rFonts w:hint="default" w:ascii="Times New Roman" w:hAnsi="Times New Roman" w:eastAsia="宋体" w:cs="Times New Roman"/>
                      <w:b w:val="0"/>
                      <w:bCs/>
                      <w:color w:val="auto"/>
                      <w:sz w:val="21"/>
                      <w:szCs w:val="21"/>
                      <w:u w:val="none"/>
                    </w:rPr>
                    <w:t>SS</w:t>
                  </w:r>
                </w:p>
              </w:tc>
              <w:tc>
                <w:tcPr>
                  <w:tcW w:w="609" w:type="pct"/>
                  <w:tcBorders>
                    <w:tl2br w:val="nil"/>
                    <w:tr2bl w:val="nil"/>
                  </w:tcBorders>
                  <w:noWrap w:val="0"/>
                  <w:tcMar>
                    <w:top w:w="0" w:type="dxa"/>
                    <w:left w:w="0" w:type="dxa"/>
                    <w:bottom w:w="0" w:type="dxa"/>
                    <w:right w:w="0" w:type="dxa"/>
                  </w:tcMar>
                  <w:vAlign w:val="center"/>
                </w:tcPr>
                <w:p w14:paraId="435D50D4">
                  <w:pPr>
                    <w:keepNext w:val="0"/>
                    <w:keepLines w:val="0"/>
                    <w:pageBreakBefore w:val="0"/>
                    <w:widowControl/>
                    <w:suppressLineNumbers w:val="0"/>
                    <w:kinsoku/>
                    <w:wordWrap/>
                    <w:overflowPunct/>
                    <w:topLinePunct w:val="0"/>
                    <w:autoSpaceDE/>
                    <w:autoSpaceDN/>
                    <w:bidi w:val="0"/>
                    <w:spacing w:before="48" w:beforeLines="15" w:after="48" w:afterLines="15"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280</w:t>
                  </w:r>
                </w:p>
              </w:tc>
              <w:tc>
                <w:tcPr>
                  <w:tcW w:w="538" w:type="pct"/>
                  <w:tcBorders>
                    <w:tl2br w:val="nil"/>
                    <w:tr2bl w:val="nil"/>
                  </w:tcBorders>
                  <w:noWrap w:val="0"/>
                  <w:tcMar>
                    <w:top w:w="0" w:type="dxa"/>
                    <w:left w:w="0" w:type="dxa"/>
                    <w:bottom w:w="0" w:type="dxa"/>
                    <w:right w:w="0" w:type="dxa"/>
                  </w:tcMar>
                  <w:vAlign w:val="center"/>
                </w:tcPr>
                <w:p w14:paraId="71B3DCCF">
                  <w:pPr>
                    <w:keepNext w:val="0"/>
                    <w:keepLines w:val="0"/>
                    <w:pageBreakBefore w:val="0"/>
                    <w:widowControl/>
                    <w:suppressLineNumbers w:val="0"/>
                    <w:kinsoku/>
                    <w:wordWrap/>
                    <w:overflowPunct/>
                    <w:topLinePunct w:val="0"/>
                    <w:autoSpaceDE/>
                    <w:autoSpaceDN/>
                    <w:bidi w:val="0"/>
                    <w:spacing w:before="48" w:beforeLines="15" w:after="48" w:afterLines="15"/>
                    <w:jc w:val="center"/>
                    <w:textAlignment w:val="center"/>
                    <w:rPr>
                      <w:rFonts w:hint="eastAsia"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color w:val="auto"/>
                      <w:sz w:val="21"/>
                      <w:szCs w:val="21"/>
                      <w:lang w:val="en-US" w:eastAsia="zh-CN"/>
                    </w:rPr>
                    <w:t>0.1478</w:t>
                  </w:r>
                </w:p>
              </w:tc>
              <w:tc>
                <w:tcPr>
                  <w:tcW w:w="609" w:type="pct"/>
                  <w:vMerge w:val="continue"/>
                  <w:tcBorders>
                    <w:tl2br w:val="nil"/>
                    <w:tr2bl w:val="nil"/>
                  </w:tcBorders>
                  <w:noWrap w:val="0"/>
                  <w:tcMar>
                    <w:top w:w="0" w:type="dxa"/>
                    <w:left w:w="0" w:type="dxa"/>
                    <w:bottom w:w="0" w:type="dxa"/>
                    <w:right w:w="0" w:type="dxa"/>
                  </w:tcMar>
                  <w:vAlign w:val="center"/>
                </w:tcPr>
                <w:p w14:paraId="32828982">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ascii="Times New Roman" w:hAnsi="Times New Roman" w:eastAsia="宋体" w:cs="Times New Roman"/>
                      <w:b w:val="0"/>
                      <w:bCs/>
                      <w:color w:val="auto"/>
                      <w:sz w:val="21"/>
                      <w:szCs w:val="21"/>
                      <w:u w:val="none"/>
                    </w:rPr>
                  </w:pPr>
                </w:p>
              </w:tc>
              <w:tc>
                <w:tcPr>
                  <w:tcW w:w="635" w:type="pct"/>
                  <w:vMerge w:val="continue"/>
                  <w:tcBorders>
                    <w:tl2br w:val="nil"/>
                    <w:tr2bl w:val="nil"/>
                  </w:tcBorders>
                  <w:noWrap w:val="0"/>
                  <w:tcMar>
                    <w:top w:w="0" w:type="dxa"/>
                    <w:left w:w="0" w:type="dxa"/>
                    <w:bottom w:w="0" w:type="dxa"/>
                    <w:right w:w="0" w:type="dxa"/>
                  </w:tcMar>
                  <w:vAlign w:val="center"/>
                </w:tcPr>
                <w:p w14:paraId="68D6342E">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ascii="Times New Roman" w:hAnsi="Times New Roman" w:eastAsia="宋体" w:cs="Times New Roman"/>
                      <w:b w:val="0"/>
                      <w:bCs/>
                      <w:color w:val="auto"/>
                      <w:sz w:val="21"/>
                      <w:szCs w:val="21"/>
                      <w:u w:val="none"/>
                    </w:rPr>
                  </w:pPr>
                </w:p>
              </w:tc>
              <w:tc>
                <w:tcPr>
                  <w:tcW w:w="680" w:type="pct"/>
                  <w:vMerge w:val="continue"/>
                  <w:tcBorders>
                    <w:tl2br w:val="nil"/>
                    <w:tr2bl w:val="nil"/>
                  </w:tcBorders>
                  <w:noWrap w:val="0"/>
                  <w:tcMar>
                    <w:top w:w="0" w:type="dxa"/>
                    <w:left w:w="0" w:type="dxa"/>
                    <w:bottom w:w="0" w:type="dxa"/>
                    <w:right w:w="0" w:type="dxa"/>
                  </w:tcMar>
                  <w:vAlign w:val="center"/>
                </w:tcPr>
                <w:p w14:paraId="02C39817">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ascii="Times New Roman" w:hAnsi="Times New Roman" w:eastAsia="宋体" w:cs="Times New Roman"/>
                      <w:b w:val="0"/>
                      <w:bCs/>
                      <w:color w:val="auto"/>
                      <w:sz w:val="21"/>
                      <w:szCs w:val="21"/>
                      <w:u w:val="none"/>
                    </w:rPr>
                  </w:pPr>
                </w:p>
              </w:tc>
              <w:tc>
                <w:tcPr>
                  <w:tcW w:w="558" w:type="pct"/>
                  <w:vMerge w:val="continue"/>
                  <w:tcBorders>
                    <w:tl2br w:val="nil"/>
                    <w:tr2bl w:val="nil"/>
                  </w:tcBorders>
                  <w:noWrap w:val="0"/>
                  <w:tcMar>
                    <w:top w:w="0" w:type="dxa"/>
                    <w:left w:w="0" w:type="dxa"/>
                    <w:bottom w:w="0" w:type="dxa"/>
                    <w:right w:w="0" w:type="dxa"/>
                  </w:tcMar>
                  <w:vAlign w:val="center"/>
                </w:tcPr>
                <w:p w14:paraId="75D26829">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cs="Times New Roman"/>
                      <w:b w:val="0"/>
                      <w:bCs/>
                      <w:color w:val="auto"/>
                      <w:sz w:val="21"/>
                      <w:szCs w:val="21"/>
                      <w:highlight w:val="none"/>
                      <w:u w:val="none"/>
                      <w:lang w:eastAsia="zh-CN"/>
                    </w:rPr>
                  </w:pPr>
                </w:p>
              </w:tc>
            </w:tr>
          </w:tbl>
          <w:p w14:paraId="40498493">
            <w:pPr>
              <w:numPr>
                <w:ilvl w:val="0"/>
                <w:numId w:val="0"/>
              </w:numPr>
              <w:adjustRightInd w:val="0"/>
              <w:snapToGrid w:val="0"/>
              <w:spacing w:line="520" w:lineRule="exact"/>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表4-</w:t>
            </w:r>
            <w:r>
              <w:rPr>
                <w:rFonts w:hint="eastAsia" w:cs="Times New Roman"/>
                <w:b w:val="0"/>
                <w:bCs w:val="0"/>
                <w:color w:val="auto"/>
                <w:sz w:val="21"/>
                <w:szCs w:val="21"/>
                <w:highlight w:val="none"/>
                <w:u w:val="none"/>
                <w:lang w:val="en-US" w:eastAsia="zh-CN"/>
              </w:rPr>
              <w:t>7</w:t>
            </w:r>
            <w:r>
              <w:rPr>
                <w:rFonts w:hint="eastAsia" w:ascii="Times New Roman" w:hAnsi="Times New Roman" w:eastAsia="宋体" w:cs="Times New Roman"/>
                <w:b w:val="0"/>
                <w:bCs w:val="0"/>
                <w:color w:val="auto"/>
                <w:sz w:val="21"/>
                <w:szCs w:val="21"/>
                <w:highlight w:val="none"/>
                <w:u w:val="none"/>
                <w:lang w:val="en-US" w:eastAsia="zh-CN"/>
              </w:rPr>
              <w:t xml:space="preserve">   项目废水类别、污染物及污染治理设施信息表（2）</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161"/>
              <w:gridCol w:w="1188"/>
              <w:gridCol w:w="1132"/>
              <w:gridCol w:w="1257"/>
              <w:gridCol w:w="953"/>
              <w:gridCol w:w="980"/>
              <w:gridCol w:w="1148"/>
            </w:tblGrid>
            <w:tr w14:paraId="0A9B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1161" w:type="dxa"/>
                  <w:tcBorders>
                    <w:tl2br w:val="nil"/>
                    <w:tr2bl w:val="nil"/>
                  </w:tcBorders>
                  <w:noWrap w:val="0"/>
                  <w:tcMar>
                    <w:top w:w="0" w:type="dxa"/>
                    <w:left w:w="0" w:type="dxa"/>
                    <w:bottom w:w="0" w:type="dxa"/>
                    <w:right w:w="0" w:type="dxa"/>
                  </w:tcMar>
                  <w:vAlign w:val="center"/>
                </w:tcPr>
                <w:p w14:paraId="0819E1C2">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lang w:val="en-US" w:eastAsia="zh-CN"/>
                    </w:rPr>
                    <w:t>废水排放量</w:t>
                  </w:r>
                </w:p>
              </w:tc>
              <w:tc>
                <w:tcPr>
                  <w:tcW w:w="1188" w:type="dxa"/>
                  <w:tcBorders>
                    <w:tl2br w:val="nil"/>
                    <w:tr2bl w:val="nil"/>
                  </w:tcBorders>
                  <w:noWrap w:val="0"/>
                  <w:tcMar>
                    <w:top w:w="0" w:type="dxa"/>
                    <w:left w:w="0" w:type="dxa"/>
                    <w:bottom w:w="0" w:type="dxa"/>
                    <w:right w:w="0" w:type="dxa"/>
                  </w:tcMar>
                  <w:vAlign w:val="center"/>
                </w:tcPr>
                <w:p w14:paraId="083C0347">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eastAsia" w:ascii="Times New Roman" w:hAnsi="Times New Roman" w:eastAsia="宋体" w:cs="Times New Roman"/>
                      <w:b w:val="0"/>
                      <w:bCs/>
                      <w:color w:val="auto"/>
                      <w:sz w:val="21"/>
                      <w:szCs w:val="21"/>
                      <w:u w:val="none"/>
                      <w:lang w:eastAsia="zh-CN"/>
                    </w:rPr>
                  </w:pPr>
                  <w:r>
                    <w:rPr>
                      <w:rFonts w:hint="default" w:ascii="Times New Roman" w:hAnsi="Times New Roman" w:eastAsia="宋体" w:cs="Times New Roman"/>
                      <w:b w:val="0"/>
                      <w:bCs/>
                      <w:color w:val="auto"/>
                      <w:sz w:val="21"/>
                      <w:szCs w:val="21"/>
                      <w:u w:val="none"/>
                    </w:rPr>
                    <w:t>污染物种类</w:t>
                  </w:r>
                </w:p>
              </w:tc>
              <w:tc>
                <w:tcPr>
                  <w:tcW w:w="1132" w:type="dxa"/>
                  <w:tcBorders>
                    <w:tl2br w:val="nil"/>
                    <w:tr2bl w:val="nil"/>
                  </w:tcBorders>
                  <w:noWrap w:val="0"/>
                  <w:tcMar>
                    <w:top w:w="0" w:type="dxa"/>
                    <w:left w:w="0" w:type="dxa"/>
                    <w:bottom w:w="0" w:type="dxa"/>
                    <w:right w:w="0" w:type="dxa"/>
                  </w:tcMar>
                  <w:vAlign w:val="center"/>
                </w:tcPr>
                <w:p w14:paraId="32314524">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ascii="Times New Roman" w:hAnsi="Times New Roman" w:eastAsia="宋体" w:cs="Times New Roman"/>
                      <w:b w:val="0"/>
                      <w:bCs/>
                      <w:color w:val="auto"/>
                      <w:sz w:val="21"/>
                      <w:szCs w:val="21"/>
                      <w:u w:val="none"/>
                    </w:rPr>
                  </w:pPr>
                  <w:r>
                    <w:rPr>
                      <w:rFonts w:hint="eastAsia" w:ascii="Times New Roman" w:hAnsi="Times New Roman" w:eastAsia="宋体" w:cs="Times New Roman"/>
                      <w:b w:val="0"/>
                      <w:bCs/>
                      <w:i w:val="0"/>
                      <w:color w:val="auto"/>
                      <w:kern w:val="0"/>
                      <w:sz w:val="21"/>
                      <w:szCs w:val="21"/>
                      <w:u w:val="none"/>
                      <w:lang w:val="en-US" w:eastAsia="zh-CN" w:bidi="ar"/>
                    </w:rPr>
                    <w:t>排放</w:t>
                  </w:r>
                  <w:r>
                    <w:rPr>
                      <w:rFonts w:hint="default" w:ascii="Times New Roman" w:hAnsi="Times New Roman" w:eastAsia="宋体" w:cs="Times New Roman"/>
                      <w:b w:val="0"/>
                      <w:bCs/>
                      <w:i w:val="0"/>
                      <w:color w:val="auto"/>
                      <w:kern w:val="0"/>
                      <w:sz w:val="21"/>
                      <w:szCs w:val="21"/>
                      <w:u w:val="none"/>
                      <w:lang w:val="en-US" w:eastAsia="zh-CN" w:bidi="ar"/>
                    </w:rPr>
                    <w:t>浓度</w:t>
                  </w:r>
                  <w:r>
                    <w:rPr>
                      <w:rFonts w:hint="eastAsia" w:eastAsia="宋体" w:cs="Times New Roman"/>
                      <w:b w:val="0"/>
                      <w:bCs/>
                      <w:i w:val="0"/>
                      <w:color w:val="auto"/>
                      <w:kern w:val="0"/>
                      <w:sz w:val="21"/>
                      <w:szCs w:val="21"/>
                      <w:u w:val="none"/>
                      <w:lang w:val="en-US" w:eastAsia="zh-CN" w:bidi="ar"/>
                    </w:rPr>
                    <w:t>/</w:t>
                  </w:r>
                  <w:r>
                    <w:rPr>
                      <w:rFonts w:hint="default" w:ascii="Times New Roman" w:hAnsi="Times New Roman" w:cs="Times New Roman"/>
                      <w:i w:val="0"/>
                      <w:iCs w:val="0"/>
                      <w:color w:val="auto"/>
                      <w:kern w:val="2"/>
                      <w:sz w:val="21"/>
                      <w:szCs w:val="21"/>
                      <w:u w:val="none"/>
                      <w:lang w:val="en-US" w:eastAsia="zh-CN" w:bidi="ar"/>
                    </w:rPr>
                    <w:t>mg/L</w:t>
                  </w:r>
                </w:p>
              </w:tc>
              <w:tc>
                <w:tcPr>
                  <w:tcW w:w="1257" w:type="dxa"/>
                  <w:tcBorders>
                    <w:tl2br w:val="nil"/>
                    <w:tr2bl w:val="nil"/>
                  </w:tcBorders>
                  <w:noWrap w:val="0"/>
                  <w:tcMar>
                    <w:top w:w="0" w:type="dxa"/>
                    <w:left w:w="0" w:type="dxa"/>
                    <w:bottom w:w="0" w:type="dxa"/>
                    <w:right w:w="0" w:type="dxa"/>
                  </w:tcMar>
                  <w:vAlign w:val="center"/>
                </w:tcPr>
                <w:p w14:paraId="63DEF731">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ascii="Times New Roman" w:hAnsi="Times New Roman" w:eastAsia="宋体" w:cs="Times New Roman"/>
                      <w:b w:val="0"/>
                      <w:bCs/>
                      <w:color w:val="auto"/>
                      <w:sz w:val="21"/>
                      <w:szCs w:val="21"/>
                      <w:u w:val="none"/>
                    </w:rPr>
                  </w:pPr>
                  <w:r>
                    <w:rPr>
                      <w:rFonts w:hint="eastAsia" w:ascii="Times New Roman" w:hAnsi="Times New Roman" w:eastAsia="宋体" w:cs="Times New Roman"/>
                      <w:b w:val="0"/>
                      <w:bCs/>
                      <w:i w:val="0"/>
                      <w:color w:val="auto"/>
                      <w:kern w:val="0"/>
                      <w:sz w:val="21"/>
                      <w:szCs w:val="21"/>
                      <w:u w:val="none"/>
                      <w:lang w:val="en-US" w:eastAsia="zh-CN" w:bidi="ar"/>
                    </w:rPr>
                    <w:t>排放量</w:t>
                  </w:r>
                  <w:r>
                    <w:rPr>
                      <w:rFonts w:hint="eastAsia" w:eastAsia="宋体" w:cs="Times New Roman"/>
                      <w:b w:val="0"/>
                      <w:bCs/>
                      <w:i w:val="0"/>
                      <w:color w:val="auto"/>
                      <w:kern w:val="0"/>
                      <w:sz w:val="21"/>
                      <w:szCs w:val="21"/>
                      <w:u w:val="none"/>
                      <w:lang w:val="en-US" w:eastAsia="zh-CN" w:bidi="ar"/>
                    </w:rPr>
                    <w:t>/</w:t>
                  </w:r>
                  <w:r>
                    <w:rPr>
                      <w:rFonts w:hint="eastAsia" w:ascii="Times New Roman" w:hAnsi="Times New Roman" w:eastAsia="宋体" w:cs="Times New Roman"/>
                      <w:b w:val="0"/>
                      <w:bCs/>
                      <w:i w:val="0"/>
                      <w:color w:val="auto"/>
                      <w:kern w:val="0"/>
                      <w:sz w:val="21"/>
                      <w:szCs w:val="21"/>
                      <w:u w:val="none"/>
                      <w:lang w:val="en-US" w:eastAsia="zh-CN" w:bidi="ar"/>
                    </w:rPr>
                    <w:t>t/a</w:t>
                  </w:r>
                </w:p>
              </w:tc>
              <w:tc>
                <w:tcPr>
                  <w:tcW w:w="953" w:type="dxa"/>
                  <w:tcBorders>
                    <w:tl2br w:val="nil"/>
                    <w:tr2bl w:val="nil"/>
                  </w:tcBorders>
                  <w:noWrap w:val="0"/>
                  <w:tcMar>
                    <w:top w:w="0" w:type="dxa"/>
                    <w:left w:w="0" w:type="dxa"/>
                    <w:bottom w:w="0" w:type="dxa"/>
                    <w:right w:w="0" w:type="dxa"/>
                  </w:tcMar>
                  <w:vAlign w:val="center"/>
                </w:tcPr>
                <w:p w14:paraId="54F4E5B6">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排放方式</w:t>
                  </w:r>
                </w:p>
              </w:tc>
              <w:tc>
                <w:tcPr>
                  <w:tcW w:w="980" w:type="dxa"/>
                  <w:tcBorders>
                    <w:tl2br w:val="nil"/>
                    <w:tr2bl w:val="nil"/>
                  </w:tcBorders>
                  <w:noWrap w:val="0"/>
                  <w:tcMar>
                    <w:top w:w="0" w:type="dxa"/>
                    <w:left w:w="0" w:type="dxa"/>
                    <w:bottom w:w="0" w:type="dxa"/>
                    <w:right w:w="0" w:type="dxa"/>
                  </w:tcMar>
                  <w:vAlign w:val="center"/>
                </w:tcPr>
                <w:p w14:paraId="352BC273">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vertAlign w:val="baseline"/>
                      <w:lang w:val="en-US" w:eastAsia="zh-CN"/>
                    </w:rPr>
                    <w:t>排放去向</w:t>
                  </w:r>
                </w:p>
              </w:tc>
              <w:tc>
                <w:tcPr>
                  <w:tcW w:w="1148" w:type="dxa"/>
                  <w:tcBorders>
                    <w:tl2br w:val="nil"/>
                    <w:tr2bl w:val="nil"/>
                  </w:tcBorders>
                  <w:noWrap w:val="0"/>
                  <w:tcMar>
                    <w:top w:w="0" w:type="dxa"/>
                    <w:left w:w="0" w:type="dxa"/>
                    <w:bottom w:w="0" w:type="dxa"/>
                    <w:right w:w="0" w:type="dxa"/>
                  </w:tcMar>
                  <w:vAlign w:val="center"/>
                </w:tcPr>
                <w:p w14:paraId="299FCE87">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vertAlign w:val="baseline"/>
                      <w:lang w:val="en-US" w:eastAsia="zh-CN"/>
                    </w:rPr>
                    <w:t>排放规律</w:t>
                  </w:r>
                </w:p>
              </w:tc>
            </w:tr>
            <w:tr w14:paraId="6B08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161" w:type="dxa"/>
                  <w:vMerge w:val="restart"/>
                  <w:tcBorders>
                    <w:tl2br w:val="nil"/>
                    <w:tr2bl w:val="nil"/>
                  </w:tcBorders>
                  <w:noWrap w:val="0"/>
                  <w:tcMar>
                    <w:top w:w="0" w:type="dxa"/>
                    <w:left w:w="0" w:type="dxa"/>
                    <w:bottom w:w="0" w:type="dxa"/>
                    <w:right w:w="0" w:type="dxa"/>
                  </w:tcMar>
                  <w:vAlign w:val="center"/>
                </w:tcPr>
                <w:p w14:paraId="6362140C">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sz w:val="21"/>
                      <w:szCs w:val="21"/>
                      <w:u w:val="none"/>
                      <w:lang w:eastAsia="zh-CN"/>
                    </w:rPr>
                  </w:pPr>
                  <w:r>
                    <w:rPr>
                      <w:rFonts w:hint="default" w:ascii="Times New Roman" w:hAnsi="Times New Roman" w:eastAsia="宋体" w:cs="Times New Roman"/>
                      <w:b w:val="0"/>
                      <w:bCs/>
                      <w:color w:val="auto"/>
                      <w:sz w:val="21"/>
                      <w:szCs w:val="21"/>
                      <w:u w:val="none"/>
                      <w:lang w:eastAsia="zh-CN"/>
                    </w:rPr>
                    <w:t>1.</w:t>
                  </w:r>
                  <w:r>
                    <w:rPr>
                      <w:rFonts w:hint="eastAsia" w:cs="Times New Roman"/>
                      <w:b w:val="0"/>
                      <w:bCs/>
                      <w:color w:val="auto"/>
                      <w:sz w:val="21"/>
                      <w:szCs w:val="21"/>
                      <w:u w:val="none"/>
                      <w:lang w:val="en-US" w:eastAsia="zh-CN"/>
                    </w:rPr>
                    <w:t>7</w:t>
                  </w:r>
                  <w:r>
                    <w:rPr>
                      <w:rFonts w:hint="default" w:ascii="Times New Roman" w:hAnsi="Times New Roman" w:eastAsia="宋体" w:cs="Times New Roman"/>
                      <w:b w:val="0"/>
                      <w:bCs/>
                      <w:color w:val="auto"/>
                      <w:sz w:val="21"/>
                      <w:szCs w:val="21"/>
                      <w:u w:val="none"/>
                      <w:lang w:eastAsia="zh-CN"/>
                    </w:rPr>
                    <w:t>6m</w:t>
                  </w:r>
                  <w:r>
                    <w:rPr>
                      <w:rFonts w:hint="default" w:ascii="Times New Roman" w:hAnsi="Times New Roman" w:eastAsia="宋体" w:cs="Times New Roman"/>
                      <w:b w:val="0"/>
                      <w:bCs/>
                      <w:color w:val="auto"/>
                      <w:sz w:val="21"/>
                      <w:szCs w:val="21"/>
                      <w:u w:val="none"/>
                      <w:vertAlign w:val="superscript"/>
                      <w:lang w:eastAsia="zh-CN"/>
                    </w:rPr>
                    <w:t>3</w:t>
                  </w:r>
                  <w:r>
                    <w:rPr>
                      <w:rFonts w:hint="default" w:ascii="Times New Roman" w:hAnsi="Times New Roman" w:eastAsia="宋体" w:cs="Times New Roman"/>
                      <w:b w:val="0"/>
                      <w:bCs/>
                      <w:color w:val="auto"/>
                      <w:sz w:val="21"/>
                      <w:szCs w:val="21"/>
                      <w:u w:val="none"/>
                      <w:lang w:eastAsia="zh-CN"/>
                    </w:rPr>
                    <w:t>/d</w:t>
                  </w:r>
                </w:p>
              </w:tc>
              <w:tc>
                <w:tcPr>
                  <w:tcW w:w="1188" w:type="dxa"/>
                  <w:tcBorders>
                    <w:tl2br w:val="nil"/>
                    <w:tr2bl w:val="nil"/>
                  </w:tcBorders>
                  <w:noWrap w:val="0"/>
                  <w:tcMar>
                    <w:top w:w="0" w:type="dxa"/>
                    <w:left w:w="0" w:type="dxa"/>
                    <w:bottom w:w="0" w:type="dxa"/>
                    <w:right w:w="0" w:type="dxa"/>
                  </w:tcMar>
                  <w:vAlign w:val="center"/>
                </w:tcPr>
                <w:p w14:paraId="771C4AB8">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sz w:val="21"/>
                      <w:szCs w:val="21"/>
                      <w:u w:val="none"/>
                    </w:rPr>
                    <w:t>COD</w:t>
                  </w:r>
                </w:p>
              </w:tc>
              <w:tc>
                <w:tcPr>
                  <w:tcW w:w="1132" w:type="dxa"/>
                  <w:tcBorders>
                    <w:tl2br w:val="nil"/>
                    <w:tr2bl w:val="nil"/>
                  </w:tcBorders>
                  <w:noWrap w:val="0"/>
                  <w:tcMar>
                    <w:top w:w="0" w:type="dxa"/>
                    <w:left w:w="0" w:type="dxa"/>
                    <w:bottom w:w="0" w:type="dxa"/>
                    <w:right w:w="0" w:type="dxa"/>
                  </w:tcMar>
                  <w:vAlign w:val="center"/>
                </w:tcPr>
                <w:p w14:paraId="4C09B1E8">
                  <w:pPr>
                    <w:keepNext w:val="0"/>
                    <w:keepLines w:val="0"/>
                    <w:pageBreakBefore w:val="0"/>
                    <w:widowControl/>
                    <w:suppressLineNumbers w:val="0"/>
                    <w:kinsoku/>
                    <w:wordWrap/>
                    <w:overflowPunct/>
                    <w:topLinePunct w:val="0"/>
                    <w:autoSpaceDE/>
                    <w:autoSpaceDN/>
                    <w:bidi w:val="0"/>
                    <w:spacing w:before="48" w:beforeLines="15" w:after="48" w:afterLines="15"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2</w:t>
                  </w:r>
                  <w:r>
                    <w:rPr>
                      <w:rFonts w:hint="eastAsia" w:cs="Times New Roman"/>
                      <w:i w:val="0"/>
                      <w:iCs w:val="0"/>
                      <w:color w:val="auto"/>
                      <w:kern w:val="2"/>
                      <w:sz w:val="21"/>
                      <w:szCs w:val="21"/>
                      <w:u w:val="none"/>
                      <w:lang w:val="en-US" w:eastAsia="zh-CN" w:bidi="ar"/>
                    </w:rPr>
                    <w:t>55</w:t>
                  </w:r>
                </w:p>
              </w:tc>
              <w:tc>
                <w:tcPr>
                  <w:tcW w:w="1257" w:type="dxa"/>
                  <w:tcBorders>
                    <w:tl2br w:val="nil"/>
                    <w:tr2bl w:val="nil"/>
                  </w:tcBorders>
                  <w:noWrap w:val="0"/>
                  <w:tcMar>
                    <w:top w:w="0" w:type="dxa"/>
                    <w:left w:w="0" w:type="dxa"/>
                    <w:bottom w:w="0" w:type="dxa"/>
                    <w:right w:w="0" w:type="dxa"/>
                  </w:tcMar>
                  <w:vAlign w:val="center"/>
                </w:tcPr>
                <w:p w14:paraId="565AE402">
                  <w:pPr>
                    <w:keepNext w:val="0"/>
                    <w:keepLines w:val="0"/>
                    <w:pageBreakBefore w:val="0"/>
                    <w:widowControl/>
                    <w:suppressLineNumbers w:val="0"/>
                    <w:kinsoku/>
                    <w:wordWrap/>
                    <w:overflowPunct/>
                    <w:topLinePunct w:val="0"/>
                    <w:autoSpaceDE/>
                    <w:autoSpaceDN/>
                    <w:bidi w:val="0"/>
                    <w:spacing w:before="48" w:beforeLines="15" w:after="48" w:afterLines="15"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0.1346</w:t>
                  </w:r>
                </w:p>
              </w:tc>
              <w:tc>
                <w:tcPr>
                  <w:tcW w:w="953" w:type="dxa"/>
                  <w:vMerge w:val="restart"/>
                  <w:tcBorders>
                    <w:tl2br w:val="nil"/>
                    <w:tr2bl w:val="nil"/>
                  </w:tcBorders>
                  <w:noWrap w:val="0"/>
                  <w:tcMar>
                    <w:top w:w="0" w:type="dxa"/>
                    <w:left w:w="0" w:type="dxa"/>
                    <w:bottom w:w="0" w:type="dxa"/>
                    <w:right w:w="0" w:type="dxa"/>
                  </w:tcMar>
                  <w:vAlign w:val="center"/>
                </w:tcPr>
                <w:p w14:paraId="59E01713">
                  <w:pPr>
                    <w:keepNext w:val="0"/>
                    <w:keepLines w:val="0"/>
                    <w:pageBreakBefore w:val="0"/>
                    <w:widowControl/>
                    <w:suppressLineNumbers w:val="0"/>
                    <w:kinsoku/>
                    <w:wordWrap/>
                    <w:overflowPunct/>
                    <w:topLinePunct w:val="0"/>
                    <w:autoSpaceDE/>
                    <w:autoSpaceDN/>
                    <w:bidi w:val="0"/>
                    <w:spacing w:before="48" w:beforeLines="15" w:after="48" w:afterLines="15"/>
                    <w:jc w:val="center"/>
                    <w:textAlignment w:val="center"/>
                    <w:rPr>
                      <w:rFonts w:hint="default"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间接排放</w:t>
                  </w:r>
                </w:p>
              </w:tc>
              <w:tc>
                <w:tcPr>
                  <w:tcW w:w="980" w:type="dxa"/>
                  <w:vMerge w:val="restart"/>
                  <w:tcBorders>
                    <w:tl2br w:val="nil"/>
                    <w:tr2bl w:val="nil"/>
                  </w:tcBorders>
                  <w:noWrap w:val="0"/>
                  <w:tcMar>
                    <w:top w:w="0" w:type="dxa"/>
                    <w:left w:w="0" w:type="dxa"/>
                    <w:bottom w:w="0" w:type="dxa"/>
                    <w:right w:w="0" w:type="dxa"/>
                  </w:tcMar>
                  <w:vAlign w:val="center"/>
                </w:tcPr>
                <w:p w14:paraId="470A12D5">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清丰中州水务有限公司第二污水处理厂</w:t>
                  </w:r>
                </w:p>
              </w:tc>
              <w:tc>
                <w:tcPr>
                  <w:tcW w:w="1148" w:type="dxa"/>
                  <w:vMerge w:val="restart"/>
                  <w:tcBorders>
                    <w:tl2br w:val="nil"/>
                    <w:tr2bl w:val="nil"/>
                  </w:tcBorders>
                  <w:noWrap w:val="0"/>
                  <w:tcMar>
                    <w:top w:w="0" w:type="dxa"/>
                    <w:left w:w="0" w:type="dxa"/>
                    <w:bottom w:w="0" w:type="dxa"/>
                    <w:right w:w="0" w:type="dxa"/>
                  </w:tcMar>
                  <w:vAlign w:val="center"/>
                </w:tcPr>
                <w:p w14:paraId="7B7A7998">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ascii="Times New Roman" w:hAnsi="Times New Roman" w:eastAsia="宋体" w:cs="Times New Roman"/>
                      <w:b w:val="0"/>
                      <w:bCs/>
                      <w:color w:val="auto"/>
                      <w:sz w:val="21"/>
                      <w:szCs w:val="21"/>
                      <w:highlight w:val="none"/>
                      <w:u w:val="none"/>
                      <w:lang w:eastAsia="zh-CN"/>
                    </w:rPr>
                  </w:pPr>
                  <w:r>
                    <w:rPr>
                      <w:rFonts w:hint="eastAsia" w:ascii="Times New Roman" w:hAnsi="Times New Roman" w:cs="Times New Roman"/>
                      <w:color w:val="auto"/>
                      <w:sz w:val="21"/>
                      <w:szCs w:val="21"/>
                      <w:lang w:eastAsia="zh-CN"/>
                    </w:rPr>
                    <w:t>间接</w:t>
                  </w:r>
                  <w:r>
                    <w:rPr>
                      <w:rFonts w:hint="default" w:ascii="Times New Roman" w:hAnsi="Times New Roman" w:cs="Times New Roman"/>
                      <w:color w:val="auto"/>
                      <w:sz w:val="21"/>
                      <w:szCs w:val="21"/>
                    </w:rPr>
                    <w:t>排放，</w:t>
                  </w:r>
                  <w:r>
                    <w:rPr>
                      <w:rFonts w:hint="default" w:ascii="Times New Roman" w:hAnsi="Times New Roman" w:cs="Times New Roman"/>
                      <w:color w:val="auto"/>
                      <w:sz w:val="21"/>
                      <w:szCs w:val="21"/>
                      <w:highlight w:val="none"/>
                    </w:rPr>
                    <w:t>流量</w:t>
                  </w:r>
                  <w:r>
                    <w:rPr>
                      <w:rFonts w:hint="default" w:ascii="Times New Roman" w:hAnsi="Times New Roman" w:cs="Times New Roman"/>
                      <w:color w:val="auto"/>
                      <w:sz w:val="21"/>
                      <w:szCs w:val="21"/>
                      <w:highlight w:val="none"/>
                      <w:lang w:eastAsia="zh-CN"/>
                    </w:rPr>
                    <w:t>不</w:t>
                  </w:r>
                  <w:r>
                    <w:rPr>
                      <w:rFonts w:hint="default" w:ascii="Times New Roman" w:hAnsi="Times New Roman" w:cs="Times New Roman"/>
                      <w:color w:val="auto"/>
                      <w:sz w:val="21"/>
                      <w:szCs w:val="21"/>
                      <w:highlight w:val="none"/>
                    </w:rPr>
                    <w:t>稳定</w:t>
                  </w:r>
                </w:p>
              </w:tc>
            </w:tr>
            <w:tr w14:paraId="3FC0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1161" w:type="dxa"/>
                  <w:vMerge w:val="continue"/>
                  <w:tcBorders>
                    <w:tl2br w:val="nil"/>
                    <w:tr2bl w:val="nil"/>
                  </w:tcBorders>
                  <w:noWrap w:val="0"/>
                  <w:tcMar>
                    <w:top w:w="0" w:type="dxa"/>
                    <w:left w:w="0" w:type="dxa"/>
                    <w:bottom w:w="0" w:type="dxa"/>
                    <w:right w:w="0" w:type="dxa"/>
                  </w:tcMar>
                  <w:vAlign w:val="center"/>
                </w:tcPr>
                <w:p w14:paraId="0B64CAB9">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eastAsia" w:ascii="Times New Roman" w:hAnsi="Times New Roman" w:cs="Times New Roman"/>
                      <w:b w:val="0"/>
                      <w:bCs/>
                      <w:color w:val="auto"/>
                      <w:sz w:val="21"/>
                      <w:szCs w:val="21"/>
                      <w:u w:val="none"/>
                      <w:lang w:eastAsia="zh-CN"/>
                    </w:rPr>
                  </w:pPr>
                </w:p>
              </w:tc>
              <w:tc>
                <w:tcPr>
                  <w:tcW w:w="1188" w:type="dxa"/>
                  <w:tcBorders>
                    <w:tl2br w:val="nil"/>
                    <w:tr2bl w:val="nil"/>
                  </w:tcBorders>
                  <w:noWrap w:val="0"/>
                  <w:tcMar>
                    <w:top w:w="0" w:type="dxa"/>
                    <w:left w:w="0" w:type="dxa"/>
                    <w:bottom w:w="0" w:type="dxa"/>
                    <w:right w:w="0" w:type="dxa"/>
                  </w:tcMar>
                  <w:vAlign w:val="center"/>
                </w:tcPr>
                <w:p w14:paraId="7FD7E253">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sz w:val="21"/>
                      <w:szCs w:val="21"/>
                      <w:u w:val="none"/>
                    </w:rPr>
                    <w:t>NH</w:t>
                  </w:r>
                  <w:r>
                    <w:rPr>
                      <w:rFonts w:hint="default" w:ascii="Times New Roman" w:hAnsi="Times New Roman" w:eastAsia="宋体" w:cs="Times New Roman"/>
                      <w:b w:val="0"/>
                      <w:bCs/>
                      <w:color w:val="auto"/>
                      <w:sz w:val="21"/>
                      <w:szCs w:val="21"/>
                      <w:u w:val="none"/>
                      <w:vertAlign w:val="subscript"/>
                    </w:rPr>
                    <w:t>3</w:t>
                  </w:r>
                  <w:r>
                    <w:rPr>
                      <w:rFonts w:hint="default" w:ascii="Times New Roman" w:hAnsi="Times New Roman" w:eastAsia="宋体" w:cs="Times New Roman"/>
                      <w:b w:val="0"/>
                      <w:bCs/>
                      <w:color w:val="auto"/>
                      <w:sz w:val="21"/>
                      <w:szCs w:val="21"/>
                      <w:u w:val="none"/>
                    </w:rPr>
                    <w:t>-N</w:t>
                  </w:r>
                </w:p>
              </w:tc>
              <w:tc>
                <w:tcPr>
                  <w:tcW w:w="1132" w:type="dxa"/>
                  <w:tcBorders>
                    <w:tl2br w:val="nil"/>
                    <w:tr2bl w:val="nil"/>
                  </w:tcBorders>
                  <w:noWrap w:val="0"/>
                  <w:tcMar>
                    <w:top w:w="0" w:type="dxa"/>
                    <w:left w:w="0" w:type="dxa"/>
                    <w:bottom w:w="0" w:type="dxa"/>
                    <w:right w:w="0" w:type="dxa"/>
                  </w:tcMar>
                  <w:vAlign w:val="center"/>
                </w:tcPr>
                <w:p w14:paraId="2A809CE1">
                  <w:pPr>
                    <w:keepNext w:val="0"/>
                    <w:keepLines w:val="0"/>
                    <w:pageBreakBefore w:val="0"/>
                    <w:widowControl/>
                    <w:suppressLineNumbers w:val="0"/>
                    <w:kinsoku/>
                    <w:wordWrap/>
                    <w:overflowPunct/>
                    <w:topLinePunct w:val="0"/>
                    <w:autoSpaceDE/>
                    <w:autoSpaceDN/>
                    <w:bidi w:val="0"/>
                    <w:spacing w:before="48" w:beforeLines="15" w:after="48" w:afterLines="15"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24.25</w:t>
                  </w:r>
                </w:p>
              </w:tc>
              <w:tc>
                <w:tcPr>
                  <w:tcW w:w="1257" w:type="dxa"/>
                  <w:tcBorders>
                    <w:tl2br w:val="nil"/>
                    <w:tr2bl w:val="nil"/>
                  </w:tcBorders>
                  <w:noWrap w:val="0"/>
                  <w:tcMar>
                    <w:top w:w="0" w:type="dxa"/>
                    <w:left w:w="0" w:type="dxa"/>
                    <w:bottom w:w="0" w:type="dxa"/>
                    <w:right w:w="0" w:type="dxa"/>
                  </w:tcMar>
                  <w:vAlign w:val="center"/>
                </w:tcPr>
                <w:p w14:paraId="34769B54">
                  <w:pPr>
                    <w:keepNext w:val="0"/>
                    <w:keepLines w:val="0"/>
                    <w:pageBreakBefore w:val="0"/>
                    <w:widowControl/>
                    <w:suppressLineNumbers w:val="0"/>
                    <w:kinsoku/>
                    <w:wordWrap/>
                    <w:overflowPunct/>
                    <w:topLinePunct w:val="0"/>
                    <w:autoSpaceDE/>
                    <w:autoSpaceDN/>
                    <w:bidi w:val="0"/>
                    <w:spacing w:before="48" w:beforeLines="15" w:after="48" w:afterLines="15"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0.0128</w:t>
                  </w:r>
                </w:p>
              </w:tc>
              <w:tc>
                <w:tcPr>
                  <w:tcW w:w="953" w:type="dxa"/>
                  <w:vMerge w:val="continue"/>
                  <w:tcBorders>
                    <w:tl2br w:val="nil"/>
                    <w:tr2bl w:val="nil"/>
                  </w:tcBorders>
                  <w:noWrap w:val="0"/>
                  <w:tcMar>
                    <w:top w:w="0" w:type="dxa"/>
                    <w:left w:w="0" w:type="dxa"/>
                    <w:bottom w:w="0" w:type="dxa"/>
                    <w:right w:w="0" w:type="dxa"/>
                  </w:tcMar>
                  <w:vAlign w:val="center"/>
                </w:tcPr>
                <w:p w14:paraId="6E1A3EF3">
                  <w:pPr>
                    <w:keepNext w:val="0"/>
                    <w:keepLines w:val="0"/>
                    <w:pageBreakBefore w:val="0"/>
                    <w:widowControl/>
                    <w:suppressLineNumbers w:val="0"/>
                    <w:kinsoku/>
                    <w:wordWrap/>
                    <w:overflowPunct/>
                    <w:topLinePunct w:val="0"/>
                    <w:autoSpaceDE/>
                    <w:autoSpaceDN/>
                    <w:bidi w:val="0"/>
                    <w:spacing w:before="48" w:beforeLines="15" w:after="48" w:afterLines="15"/>
                    <w:jc w:val="center"/>
                    <w:textAlignment w:val="center"/>
                    <w:rPr>
                      <w:rFonts w:hint="eastAsia" w:ascii="Times New Roman" w:hAnsi="Times New Roman" w:eastAsia="宋体" w:cs="Times New Roman"/>
                      <w:i w:val="0"/>
                      <w:iCs w:val="0"/>
                      <w:color w:val="auto"/>
                      <w:kern w:val="2"/>
                      <w:sz w:val="21"/>
                      <w:szCs w:val="21"/>
                      <w:u w:val="none"/>
                      <w:lang w:val="en-US" w:eastAsia="zh-CN" w:bidi="ar"/>
                    </w:rPr>
                  </w:pPr>
                </w:p>
              </w:tc>
              <w:tc>
                <w:tcPr>
                  <w:tcW w:w="980" w:type="dxa"/>
                  <w:vMerge w:val="continue"/>
                  <w:tcBorders>
                    <w:tl2br w:val="nil"/>
                    <w:tr2bl w:val="nil"/>
                  </w:tcBorders>
                  <w:noWrap w:val="0"/>
                  <w:tcMar>
                    <w:top w:w="0" w:type="dxa"/>
                    <w:left w:w="0" w:type="dxa"/>
                    <w:bottom w:w="0" w:type="dxa"/>
                    <w:right w:w="0" w:type="dxa"/>
                  </w:tcMar>
                  <w:vAlign w:val="center"/>
                </w:tcPr>
                <w:p w14:paraId="10AFB7DF">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color w:val="auto"/>
                      <w:sz w:val="21"/>
                      <w:szCs w:val="21"/>
                      <w:lang w:val="en-US" w:eastAsia="zh-CN"/>
                    </w:rPr>
                  </w:pPr>
                </w:p>
              </w:tc>
              <w:tc>
                <w:tcPr>
                  <w:tcW w:w="1148" w:type="dxa"/>
                  <w:vMerge w:val="continue"/>
                  <w:tcBorders>
                    <w:tl2br w:val="nil"/>
                    <w:tr2bl w:val="nil"/>
                  </w:tcBorders>
                  <w:noWrap w:val="0"/>
                  <w:tcMar>
                    <w:top w:w="0" w:type="dxa"/>
                    <w:left w:w="0" w:type="dxa"/>
                    <w:bottom w:w="0" w:type="dxa"/>
                    <w:right w:w="0" w:type="dxa"/>
                  </w:tcMar>
                  <w:vAlign w:val="center"/>
                </w:tcPr>
                <w:p w14:paraId="6C9F0875">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cs="Times New Roman"/>
                      <w:color w:val="auto"/>
                      <w:sz w:val="21"/>
                      <w:szCs w:val="21"/>
                      <w:lang w:val="en-US" w:eastAsia="zh-CN"/>
                    </w:rPr>
                  </w:pPr>
                </w:p>
              </w:tc>
            </w:tr>
            <w:tr w14:paraId="6E5A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1161" w:type="dxa"/>
                  <w:vMerge w:val="continue"/>
                  <w:tcBorders>
                    <w:tl2br w:val="nil"/>
                    <w:tr2bl w:val="nil"/>
                  </w:tcBorders>
                  <w:noWrap w:val="0"/>
                  <w:tcMar>
                    <w:top w:w="0" w:type="dxa"/>
                    <w:left w:w="0" w:type="dxa"/>
                    <w:bottom w:w="0" w:type="dxa"/>
                    <w:right w:w="0" w:type="dxa"/>
                  </w:tcMar>
                  <w:vAlign w:val="center"/>
                </w:tcPr>
                <w:p w14:paraId="144FF3FA">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eastAsia" w:ascii="Times New Roman" w:hAnsi="Times New Roman" w:cs="Times New Roman"/>
                      <w:b w:val="0"/>
                      <w:bCs/>
                      <w:color w:val="auto"/>
                      <w:sz w:val="21"/>
                      <w:szCs w:val="21"/>
                      <w:u w:val="none"/>
                      <w:lang w:eastAsia="zh-CN"/>
                    </w:rPr>
                  </w:pPr>
                </w:p>
              </w:tc>
              <w:tc>
                <w:tcPr>
                  <w:tcW w:w="1188" w:type="dxa"/>
                  <w:tcBorders>
                    <w:tl2br w:val="nil"/>
                    <w:tr2bl w:val="nil"/>
                  </w:tcBorders>
                  <w:noWrap w:val="0"/>
                  <w:tcMar>
                    <w:top w:w="0" w:type="dxa"/>
                    <w:left w:w="0" w:type="dxa"/>
                    <w:bottom w:w="0" w:type="dxa"/>
                    <w:right w:w="0" w:type="dxa"/>
                  </w:tcMar>
                  <w:vAlign w:val="center"/>
                </w:tcPr>
                <w:p w14:paraId="6C0E35ED">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sz w:val="21"/>
                      <w:szCs w:val="21"/>
                      <w:u w:val="none"/>
                    </w:rPr>
                    <w:t>BOD</w:t>
                  </w:r>
                  <w:r>
                    <w:rPr>
                      <w:rFonts w:hint="eastAsia" w:ascii="Times New Roman" w:hAnsi="Times New Roman" w:cs="Times New Roman"/>
                      <w:b w:val="0"/>
                      <w:bCs/>
                      <w:color w:val="auto"/>
                      <w:sz w:val="21"/>
                      <w:szCs w:val="21"/>
                      <w:u w:val="none"/>
                      <w:vertAlign w:val="subscript"/>
                      <w:lang w:val="en-US" w:eastAsia="zh-CN"/>
                    </w:rPr>
                    <w:t>5</w:t>
                  </w:r>
                </w:p>
              </w:tc>
              <w:tc>
                <w:tcPr>
                  <w:tcW w:w="1132" w:type="dxa"/>
                  <w:tcBorders>
                    <w:tl2br w:val="nil"/>
                    <w:tr2bl w:val="nil"/>
                  </w:tcBorders>
                  <w:noWrap w:val="0"/>
                  <w:tcMar>
                    <w:top w:w="0" w:type="dxa"/>
                    <w:left w:w="0" w:type="dxa"/>
                    <w:bottom w:w="0" w:type="dxa"/>
                    <w:right w:w="0" w:type="dxa"/>
                  </w:tcMar>
                  <w:vAlign w:val="center"/>
                </w:tcPr>
                <w:p w14:paraId="5014892A">
                  <w:pPr>
                    <w:keepNext w:val="0"/>
                    <w:keepLines w:val="0"/>
                    <w:pageBreakBefore w:val="0"/>
                    <w:widowControl/>
                    <w:suppressLineNumbers w:val="0"/>
                    <w:kinsoku/>
                    <w:wordWrap/>
                    <w:overflowPunct/>
                    <w:topLinePunct w:val="0"/>
                    <w:autoSpaceDE/>
                    <w:autoSpaceDN/>
                    <w:bidi w:val="0"/>
                    <w:spacing w:before="48" w:beforeLines="15" w:after="48" w:afterLines="15"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
                    </w:rPr>
                  </w:pPr>
                  <w:r>
                    <w:rPr>
                      <w:rFonts w:hint="eastAsia" w:cs="Times New Roman"/>
                      <w:i w:val="0"/>
                      <w:iCs w:val="0"/>
                      <w:color w:val="auto"/>
                      <w:kern w:val="2"/>
                      <w:sz w:val="21"/>
                      <w:szCs w:val="21"/>
                      <w:u w:val="none"/>
                      <w:lang w:val="en-US" w:eastAsia="zh-CN" w:bidi="ar"/>
                    </w:rPr>
                    <w:t>136.5</w:t>
                  </w:r>
                </w:p>
              </w:tc>
              <w:tc>
                <w:tcPr>
                  <w:tcW w:w="1257" w:type="dxa"/>
                  <w:tcBorders>
                    <w:tl2br w:val="nil"/>
                    <w:tr2bl w:val="nil"/>
                  </w:tcBorders>
                  <w:noWrap w:val="0"/>
                  <w:tcMar>
                    <w:top w:w="0" w:type="dxa"/>
                    <w:left w:w="0" w:type="dxa"/>
                    <w:bottom w:w="0" w:type="dxa"/>
                    <w:right w:w="0" w:type="dxa"/>
                  </w:tcMar>
                  <w:vAlign w:val="center"/>
                </w:tcPr>
                <w:p w14:paraId="59C1E577">
                  <w:pPr>
                    <w:keepNext w:val="0"/>
                    <w:keepLines w:val="0"/>
                    <w:pageBreakBefore w:val="0"/>
                    <w:widowControl/>
                    <w:suppressLineNumbers w:val="0"/>
                    <w:kinsoku/>
                    <w:wordWrap/>
                    <w:overflowPunct/>
                    <w:topLinePunct w:val="0"/>
                    <w:autoSpaceDE/>
                    <w:autoSpaceDN/>
                    <w:bidi w:val="0"/>
                    <w:spacing w:before="48" w:beforeLines="15" w:after="48" w:afterLines="15"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0.0</w:t>
                  </w:r>
                  <w:r>
                    <w:rPr>
                      <w:rFonts w:hint="eastAsia" w:cs="Times New Roman"/>
                      <w:i w:val="0"/>
                      <w:iCs w:val="0"/>
                      <w:color w:val="auto"/>
                      <w:kern w:val="2"/>
                      <w:sz w:val="21"/>
                      <w:szCs w:val="21"/>
                      <w:u w:val="none"/>
                      <w:lang w:val="en-US" w:eastAsia="zh-CN" w:bidi="ar"/>
                    </w:rPr>
                    <w:t>721</w:t>
                  </w:r>
                </w:p>
              </w:tc>
              <w:tc>
                <w:tcPr>
                  <w:tcW w:w="953" w:type="dxa"/>
                  <w:vMerge w:val="continue"/>
                  <w:tcBorders>
                    <w:tl2br w:val="nil"/>
                    <w:tr2bl w:val="nil"/>
                  </w:tcBorders>
                  <w:noWrap w:val="0"/>
                  <w:tcMar>
                    <w:top w:w="0" w:type="dxa"/>
                    <w:left w:w="0" w:type="dxa"/>
                    <w:bottom w:w="0" w:type="dxa"/>
                    <w:right w:w="0" w:type="dxa"/>
                  </w:tcMar>
                  <w:vAlign w:val="center"/>
                </w:tcPr>
                <w:p w14:paraId="4464E1B7">
                  <w:pPr>
                    <w:keepNext w:val="0"/>
                    <w:keepLines w:val="0"/>
                    <w:pageBreakBefore w:val="0"/>
                    <w:widowControl/>
                    <w:suppressLineNumbers w:val="0"/>
                    <w:kinsoku/>
                    <w:wordWrap/>
                    <w:overflowPunct/>
                    <w:topLinePunct w:val="0"/>
                    <w:autoSpaceDE/>
                    <w:autoSpaceDN/>
                    <w:bidi w:val="0"/>
                    <w:spacing w:before="48" w:beforeLines="15" w:after="48" w:afterLines="15"/>
                    <w:jc w:val="center"/>
                    <w:textAlignment w:val="center"/>
                    <w:rPr>
                      <w:rFonts w:hint="eastAsia" w:ascii="Times New Roman" w:hAnsi="Times New Roman" w:eastAsia="宋体" w:cs="Times New Roman"/>
                      <w:i w:val="0"/>
                      <w:iCs w:val="0"/>
                      <w:color w:val="auto"/>
                      <w:kern w:val="2"/>
                      <w:sz w:val="21"/>
                      <w:szCs w:val="21"/>
                      <w:u w:val="none"/>
                      <w:lang w:val="en-US" w:eastAsia="zh-CN" w:bidi="ar"/>
                    </w:rPr>
                  </w:pPr>
                </w:p>
              </w:tc>
              <w:tc>
                <w:tcPr>
                  <w:tcW w:w="980" w:type="dxa"/>
                  <w:vMerge w:val="continue"/>
                  <w:tcBorders>
                    <w:tl2br w:val="nil"/>
                    <w:tr2bl w:val="nil"/>
                  </w:tcBorders>
                  <w:noWrap w:val="0"/>
                  <w:tcMar>
                    <w:top w:w="0" w:type="dxa"/>
                    <w:left w:w="0" w:type="dxa"/>
                    <w:bottom w:w="0" w:type="dxa"/>
                    <w:right w:w="0" w:type="dxa"/>
                  </w:tcMar>
                  <w:vAlign w:val="center"/>
                </w:tcPr>
                <w:p w14:paraId="7888F006">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eastAsia="宋体" w:cs="Times New Roman"/>
                      <w:color w:val="auto"/>
                      <w:sz w:val="21"/>
                      <w:szCs w:val="21"/>
                      <w:lang w:val="en-US" w:eastAsia="zh-CN"/>
                    </w:rPr>
                  </w:pPr>
                </w:p>
              </w:tc>
              <w:tc>
                <w:tcPr>
                  <w:tcW w:w="1148" w:type="dxa"/>
                  <w:vMerge w:val="continue"/>
                  <w:tcBorders>
                    <w:tl2br w:val="nil"/>
                    <w:tr2bl w:val="nil"/>
                  </w:tcBorders>
                  <w:noWrap w:val="0"/>
                  <w:tcMar>
                    <w:top w:w="0" w:type="dxa"/>
                    <w:left w:w="0" w:type="dxa"/>
                    <w:bottom w:w="0" w:type="dxa"/>
                    <w:right w:w="0" w:type="dxa"/>
                  </w:tcMar>
                  <w:vAlign w:val="center"/>
                </w:tcPr>
                <w:p w14:paraId="2410B516">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cs="Times New Roman"/>
                      <w:color w:val="auto"/>
                      <w:sz w:val="21"/>
                      <w:szCs w:val="21"/>
                      <w:lang w:val="en-US" w:eastAsia="zh-CN"/>
                    </w:rPr>
                  </w:pPr>
                </w:p>
              </w:tc>
            </w:tr>
            <w:tr w14:paraId="4C5B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23" w:hRule="atLeast"/>
                <w:jc w:val="center"/>
              </w:trPr>
              <w:tc>
                <w:tcPr>
                  <w:tcW w:w="1161" w:type="dxa"/>
                  <w:vMerge w:val="continue"/>
                  <w:tcBorders>
                    <w:tl2br w:val="nil"/>
                    <w:tr2bl w:val="nil"/>
                  </w:tcBorders>
                  <w:noWrap w:val="0"/>
                  <w:tcMar>
                    <w:top w:w="0" w:type="dxa"/>
                    <w:left w:w="0" w:type="dxa"/>
                    <w:bottom w:w="0" w:type="dxa"/>
                    <w:right w:w="0" w:type="dxa"/>
                  </w:tcMar>
                  <w:vAlign w:val="center"/>
                </w:tcPr>
                <w:p w14:paraId="5F95255A">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eastAsia" w:ascii="Times New Roman" w:hAnsi="Times New Roman" w:cs="Times New Roman"/>
                      <w:b w:val="0"/>
                      <w:bCs/>
                      <w:color w:val="auto"/>
                      <w:sz w:val="21"/>
                      <w:szCs w:val="21"/>
                      <w:u w:val="none"/>
                      <w:lang w:eastAsia="zh-CN"/>
                    </w:rPr>
                  </w:pPr>
                </w:p>
              </w:tc>
              <w:tc>
                <w:tcPr>
                  <w:tcW w:w="1188" w:type="dxa"/>
                  <w:tcBorders>
                    <w:tl2br w:val="nil"/>
                    <w:tr2bl w:val="nil"/>
                  </w:tcBorders>
                  <w:noWrap w:val="0"/>
                  <w:tcMar>
                    <w:top w:w="0" w:type="dxa"/>
                    <w:left w:w="0" w:type="dxa"/>
                    <w:bottom w:w="0" w:type="dxa"/>
                    <w:right w:w="0" w:type="dxa"/>
                  </w:tcMar>
                  <w:vAlign w:val="center"/>
                </w:tcPr>
                <w:p w14:paraId="182A50FF">
                  <w:pPr>
                    <w:keepNext w:val="0"/>
                    <w:keepLines w:val="0"/>
                    <w:pageBreakBefore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eastAsia="宋体" w:cs="Times New Roman"/>
                      <w:b w:val="0"/>
                      <w:bCs/>
                      <w:color w:val="auto"/>
                      <w:sz w:val="21"/>
                      <w:szCs w:val="21"/>
                      <w:u w:val="none"/>
                    </w:rPr>
                    <w:t>SS</w:t>
                  </w:r>
                </w:p>
              </w:tc>
              <w:tc>
                <w:tcPr>
                  <w:tcW w:w="1132" w:type="dxa"/>
                  <w:tcBorders>
                    <w:tl2br w:val="nil"/>
                    <w:tr2bl w:val="nil"/>
                  </w:tcBorders>
                  <w:noWrap w:val="0"/>
                  <w:tcMar>
                    <w:top w:w="0" w:type="dxa"/>
                    <w:left w:w="0" w:type="dxa"/>
                    <w:bottom w:w="0" w:type="dxa"/>
                    <w:right w:w="0" w:type="dxa"/>
                  </w:tcMar>
                  <w:vAlign w:val="center"/>
                </w:tcPr>
                <w:p w14:paraId="78C4B45A">
                  <w:pPr>
                    <w:keepNext w:val="0"/>
                    <w:keepLines w:val="0"/>
                    <w:pageBreakBefore w:val="0"/>
                    <w:widowControl/>
                    <w:suppressLineNumbers w:val="0"/>
                    <w:kinsoku/>
                    <w:wordWrap/>
                    <w:overflowPunct/>
                    <w:topLinePunct w:val="0"/>
                    <w:autoSpaceDE/>
                    <w:autoSpaceDN/>
                    <w:bidi w:val="0"/>
                    <w:spacing w:before="48" w:beforeLines="15" w:after="48" w:afterLines="15"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196</w:t>
                  </w:r>
                </w:p>
              </w:tc>
              <w:tc>
                <w:tcPr>
                  <w:tcW w:w="1257" w:type="dxa"/>
                  <w:tcBorders>
                    <w:tl2br w:val="nil"/>
                    <w:tr2bl w:val="nil"/>
                  </w:tcBorders>
                  <w:noWrap w:val="0"/>
                  <w:tcMar>
                    <w:top w:w="0" w:type="dxa"/>
                    <w:left w:w="0" w:type="dxa"/>
                    <w:bottom w:w="0" w:type="dxa"/>
                    <w:right w:w="0" w:type="dxa"/>
                  </w:tcMar>
                  <w:vAlign w:val="center"/>
                </w:tcPr>
                <w:p w14:paraId="3B0C50C8">
                  <w:pPr>
                    <w:keepNext w:val="0"/>
                    <w:keepLines w:val="0"/>
                    <w:pageBreakBefore w:val="0"/>
                    <w:widowControl/>
                    <w:suppressLineNumbers w:val="0"/>
                    <w:kinsoku/>
                    <w:wordWrap/>
                    <w:overflowPunct/>
                    <w:topLinePunct w:val="0"/>
                    <w:autoSpaceDE/>
                    <w:autoSpaceDN/>
                    <w:bidi w:val="0"/>
                    <w:spacing w:before="48" w:beforeLines="15" w:after="48" w:afterLines="15"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
                    </w:rPr>
                  </w:pPr>
                  <w:r>
                    <w:rPr>
                      <w:rFonts w:hint="eastAsia" w:ascii="Times New Roman" w:hAnsi="Times New Roman" w:eastAsia="宋体" w:cs="Times New Roman"/>
                      <w:i w:val="0"/>
                      <w:iCs w:val="0"/>
                      <w:color w:val="auto"/>
                      <w:kern w:val="2"/>
                      <w:sz w:val="21"/>
                      <w:szCs w:val="21"/>
                      <w:u w:val="none"/>
                      <w:lang w:val="en-US" w:eastAsia="zh-CN" w:bidi="ar"/>
                    </w:rPr>
                    <w:t>0.1035</w:t>
                  </w:r>
                </w:p>
              </w:tc>
              <w:tc>
                <w:tcPr>
                  <w:tcW w:w="953" w:type="dxa"/>
                  <w:vMerge w:val="continue"/>
                  <w:tcBorders>
                    <w:tl2br w:val="nil"/>
                    <w:tr2bl w:val="nil"/>
                  </w:tcBorders>
                  <w:noWrap w:val="0"/>
                  <w:tcMar>
                    <w:top w:w="0" w:type="dxa"/>
                    <w:left w:w="0" w:type="dxa"/>
                    <w:bottom w:w="0" w:type="dxa"/>
                    <w:right w:w="0" w:type="dxa"/>
                  </w:tcMar>
                  <w:vAlign w:val="center"/>
                </w:tcPr>
                <w:p w14:paraId="58E9B8C8">
                  <w:pPr>
                    <w:keepNext w:val="0"/>
                    <w:keepLines w:val="0"/>
                    <w:pageBreakBefore w:val="0"/>
                    <w:widowControl/>
                    <w:suppressLineNumbers w:val="0"/>
                    <w:kinsoku/>
                    <w:wordWrap/>
                    <w:overflowPunct/>
                    <w:topLinePunct w:val="0"/>
                    <w:autoSpaceDE/>
                    <w:autoSpaceDN/>
                    <w:bidi w:val="0"/>
                    <w:spacing w:before="48" w:beforeLines="15" w:after="48" w:afterLines="15"/>
                    <w:jc w:val="center"/>
                    <w:textAlignment w:val="center"/>
                    <w:rPr>
                      <w:rFonts w:hint="eastAsia" w:ascii="Times New Roman" w:hAnsi="Times New Roman" w:eastAsia="宋体" w:cs="Times New Roman"/>
                      <w:i w:val="0"/>
                      <w:iCs w:val="0"/>
                      <w:color w:val="auto"/>
                      <w:kern w:val="2"/>
                      <w:sz w:val="21"/>
                      <w:szCs w:val="21"/>
                      <w:u w:val="none"/>
                      <w:lang w:val="en-US" w:eastAsia="zh-CN" w:bidi="ar"/>
                    </w:rPr>
                  </w:pPr>
                </w:p>
              </w:tc>
              <w:tc>
                <w:tcPr>
                  <w:tcW w:w="980" w:type="dxa"/>
                  <w:vMerge w:val="continue"/>
                  <w:tcBorders>
                    <w:tl2br w:val="nil"/>
                    <w:tr2bl w:val="nil"/>
                  </w:tcBorders>
                  <w:noWrap w:val="0"/>
                  <w:tcMar>
                    <w:top w:w="0" w:type="dxa"/>
                    <w:left w:w="0" w:type="dxa"/>
                    <w:bottom w:w="0" w:type="dxa"/>
                    <w:right w:w="0" w:type="dxa"/>
                  </w:tcMar>
                  <w:vAlign w:val="center"/>
                </w:tcPr>
                <w:p w14:paraId="17B3BA24">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default" w:ascii="Times New Roman" w:hAnsi="Times New Roman" w:eastAsia="宋体" w:cs="Times New Roman"/>
                      <w:b w:val="0"/>
                      <w:bCs/>
                      <w:color w:val="auto"/>
                      <w:sz w:val="21"/>
                      <w:szCs w:val="21"/>
                      <w:u w:val="none"/>
                    </w:rPr>
                  </w:pPr>
                </w:p>
              </w:tc>
              <w:tc>
                <w:tcPr>
                  <w:tcW w:w="1148" w:type="dxa"/>
                  <w:vMerge w:val="continue"/>
                  <w:tcBorders>
                    <w:tl2br w:val="nil"/>
                    <w:tr2bl w:val="nil"/>
                  </w:tcBorders>
                  <w:noWrap w:val="0"/>
                  <w:tcMar>
                    <w:top w:w="0" w:type="dxa"/>
                    <w:left w:w="0" w:type="dxa"/>
                    <w:bottom w:w="0" w:type="dxa"/>
                    <w:right w:w="0" w:type="dxa"/>
                  </w:tcMar>
                  <w:vAlign w:val="center"/>
                </w:tcPr>
                <w:p w14:paraId="49507821">
                  <w:pPr>
                    <w:keepNext w:val="0"/>
                    <w:keepLines w:val="0"/>
                    <w:pageBreakBefore w:val="0"/>
                    <w:kinsoku/>
                    <w:wordWrap/>
                    <w:overflowPunct/>
                    <w:topLinePunct w:val="0"/>
                    <w:autoSpaceDE/>
                    <w:autoSpaceDN/>
                    <w:bidi w:val="0"/>
                    <w:adjustRightInd w:val="0"/>
                    <w:snapToGrid w:val="0"/>
                    <w:spacing w:before="48" w:beforeLines="15" w:after="48" w:afterLines="15"/>
                    <w:jc w:val="center"/>
                    <w:rPr>
                      <w:rFonts w:hint="eastAsia" w:ascii="Times New Roman" w:hAnsi="Times New Roman" w:cs="Times New Roman"/>
                      <w:b w:val="0"/>
                      <w:bCs/>
                      <w:color w:val="auto"/>
                      <w:sz w:val="21"/>
                      <w:szCs w:val="21"/>
                      <w:highlight w:val="none"/>
                      <w:u w:val="none"/>
                      <w:lang w:eastAsia="zh-CN"/>
                    </w:rPr>
                  </w:pPr>
                </w:p>
              </w:tc>
            </w:tr>
          </w:tbl>
          <w:p w14:paraId="5AFC8C6E">
            <w:pPr>
              <w:numPr>
                <w:ilvl w:val="0"/>
                <w:numId w:val="0"/>
              </w:numPr>
              <w:adjustRightInd w:val="0"/>
              <w:snapToGrid w:val="0"/>
              <w:spacing w:line="520" w:lineRule="exact"/>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表4-</w:t>
            </w:r>
            <w:r>
              <w:rPr>
                <w:rFonts w:hint="eastAsia" w:cs="Times New Roman"/>
                <w:b w:val="0"/>
                <w:bCs w:val="0"/>
                <w:color w:val="auto"/>
                <w:sz w:val="21"/>
                <w:szCs w:val="21"/>
                <w:highlight w:val="none"/>
                <w:u w:val="none"/>
                <w:lang w:val="en-US" w:eastAsia="zh-CN"/>
              </w:rPr>
              <w:t>8</w:t>
            </w:r>
            <w:r>
              <w:rPr>
                <w:rFonts w:hint="eastAsia" w:ascii="Times New Roman" w:hAnsi="Times New Roman" w:eastAsia="宋体" w:cs="Times New Roman"/>
                <w:b w:val="0"/>
                <w:bCs w:val="0"/>
                <w:color w:val="auto"/>
                <w:sz w:val="21"/>
                <w:szCs w:val="21"/>
                <w:highlight w:val="none"/>
                <w:u w:val="none"/>
                <w:lang w:val="en-US" w:eastAsia="zh-CN"/>
              </w:rPr>
              <w:t xml:space="preserve">   废水排放口基本表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1049"/>
              <w:gridCol w:w="1103"/>
              <w:gridCol w:w="1175"/>
              <w:gridCol w:w="3420"/>
            </w:tblGrid>
            <w:tr w14:paraId="2E6DF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pct"/>
                  <w:vMerge w:val="restart"/>
                  <w:tcBorders>
                    <w:top w:val="single" w:color="auto" w:sz="4" w:space="0"/>
                    <w:left w:val="single" w:color="auto" w:sz="0" w:space="0"/>
                    <w:tl2br w:val="nil"/>
                    <w:tr2bl w:val="nil"/>
                  </w:tcBorders>
                  <w:noWrap w:val="0"/>
                  <w:tcMar>
                    <w:top w:w="0" w:type="dxa"/>
                    <w:left w:w="0" w:type="dxa"/>
                    <w:bottom w:w="0" w:type="dxa"/>
                    <w:right w:w="0" w:type="dxa"/>
                  </w:tcMar>
                  <w:vAlign w:val="center"/>
                </w:tcPr>
                <w:p w14:paraId="2CCDAAEC">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排放口编号</w:t>
                  </w:r>
                </w:p>
              </w:tc>
              <w:tc>
                <w:tcPr>
                  <w:tcW w:w="670" w:type="pct"/>
                  <w:vMerge w:val="restart"/>
                  <w:tcBorders>
                    <w:top w:val="single" w:color="auto" w:sz="4" w:space="0"/>
                    <w:tl2br w:val="nil"/>
                    <w:tr2bl w:val="nil"/>
                  </w:tcBorders>
                  <w:noWrap w:val="0"/>
                  <w:tcMar>
                    <w:top w:w="0" w:type="dxa"/>
                    <w:left w:w="0" w:type="dxa"/>
                    <w:bottom w:w="0" w:type="dxa"/>
                    <w:right w:w="0" w:type="dxa"/>
                  </w:tcMar>
                  <w:vAlign w:val="center"/>
                </w:tcPr>
                <w:p w14:paraId="10F39D67">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名称</w:t>
                  </w:r>
                </w:p>
              </w:tc>
              <w:tc>
                <w:tcPr>
                  <w:tcW w:w="1454" w:type="pct"/>
                  <w:gridSpan w:val="2"/>
                  <w:tcBorders>
                    <w:top w:val="single" w:color="auto" w:sz="4" w:space="0"/>
                    <w:tl2br w:val="nil"/>
                    <w:tr2bl w:val="nil"/>
                  </w:tcBorders>
                  <w:noWrap w:val="0"/>
                  <w:tcMar>
                    <w:top w:w="0" w:type="dxa"/>
                    <w:left w:w="0" w:type="dxa"/>
                    <w:bottom w:w="0" w:type="dxa"/>
                    <w:right w:w="0" w:type="dxa"/>
                  </w:tcMar>
                  <w:vAlign w:val="center"/>
                </w:tcPr>
                <w:p w14:paraId="13A51A68">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排放口地理坐标</w:t>
                  </w:r>
                </w:p>
              </w:tc>
              <w:tc>
                <w:tcPr>
                  <w:tcW w:w="2183" w:type="pct"/>
                  <w:vMerge w:val="restart"/>
                  <w:tcBorders>
                    <w:top w:val="single" w:color="auto" w:sz="4" w:space="0"/>
                    <w:right w:val="single" w:color="auto" w:sz="4" w:space="0"/>
                    <w:tl2br w:val="nil"/>
                    <w:tr2bl w:val="nil"/>
                  </w:tcBorders>
                  <w:noWrap w:val="0"/>
                  <w:tcMar>
                    <w:top w:w="0" w:type="dxa"/>
                    <w:left w:w="0" w:type="dxa"/>
                    <w:bottom w:w="0" w:type="dxa"/>
                    <w:right w:w="0" w:type="dxa"/>
                  </w:tcMar>
                  <w:vAlign w:val="center"/>
                </w:tcPr>
                <w:p w14:paraId="7F0CFC64">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排放</w:t>
                  </w:r>
                  <w:r>
                    <w:rPr>
                      <w:rFonts w:hint="default" w:ascii="Times New Roman" w:hAnsi="Times New Roman" w:eastAsia="宋体" w:cs="Times New Roman"/>
                      <w:b w:val="0"/>
                      <w:bCs w:val="0"/>
                      <w:color w:val="auto"/>
                      <w:sz w:val="21"/>
                      <w:szCs w:val="21"/>
                      <w:vertAlign w:val="baseline"/>
                      <w:lang w:val="en-US" w:eastAsia="zh-CN"/>
                    </w:rPr>
                    <w:t>标准</w:t>
                  </w:r>
                </w:p>
              </w:tc>
            </w:tr>
            <w:tr w14:paraId="7FC62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pct"/>
                  <w:vMerge w:val="continue"/>
                  <w:tcBorders>
                    <w:left w:val="single" w:color="auto" w:sz="4" w:space="0"/>
                    <w:tl2br w:val="nil"/>
                    <w:tr2bl w:val="nil"/>
                  </w:tcBorders>
                  <w:noWrap w:val="0"/>
                  <w:tcMar>
                    <w:top w:w="0" w:type="dxa"/>
                    <w:left w:w="0" w:type="dxa"/>
                    <w:bottom w:w="0" w:type="dxa"/>
                    <w:right w:w="0" w:type="dxa"/>
                  </w:tcMar>
                  <w:vAlign w:val="center"/>
                </w:tcPr>
                <w:p w14:paraId="5465F052">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670" w:type="pct"/>
                  <w:vMerge w:val="continue"/>
                  <w:tcBorders>
                    <w:tl2br w:val="nil"/>
                    <w:tr2bl w:val="nil"/>
                  </w:tcBorders>
                  <w:noWrap w:val="0"/>
                  <w:tcMar>
                    <w:top w:w="0" w:type="dxa"/>
                    <w:left w:w="0" w:type="dxa"/>
                    <w:bottom w:w="0" w:type="dxa"/>
                    <w:right w:w="0" w:type="dxa"/>
                  </w:tcMar>
                  <w:vAlign w:val="center"/>
                </w:tcPr>
                <w:p w14:paraId="6A10D085">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704" w:type="pct"/>
                  <w:tcBorders>
                    <w:tl2br w:val="nil"/>
                    <w:tr2bl w:val="nil"/>
                  </w:tcBorders>
                  <w:noWrap w:val="0"/>
                  <w:tcMar>
                    <w:top w:w="0" w:type="dxa"/>
                    <w:left w:w="0" w:type="dxa"/>
                    <w:bottom w:w="0" w:type="dxa"/>
                    <w:right w:w="0" w:type="dxa"/>
                  </w:tcMar>
                  <w:vAlign w:val="center"/>
                </w:tcPr>
                <w:p w14:paraId="6716D5F4">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经度</w:t>
                  </w:r>
                </w:p>
              </w:tc>
              <w:tc>
                <w:tcPr>
                  <w:tcW w:w="750" w:type="pct"/>
                  <w:tcBorders>
                    <w:tl2br w:val="nil"/>
                    <w:tr2bl w:val="nil"/>
                  </w:tcBorders>
                  <w:noWrap w:val="0"/>
                  <w:tcMar>
                    <w:top w:w="0" w:type="dxa"/>
                    <w:left w:w="0" w:type="dxa"/>
                    <w:bottom w:w="0" w:type="dxa"/>
                    <w:right w:w="0" w:type="dxa"/>
                  </w:tcMar>
                  <w:vAlign w:val="center"/>
                </w:tcPr>
                <w:p w14:paraId="70DDF72D">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纬度</w:t>
                  </w:r>
                </w:p>
              </w:tc>
              <w:tc>
                <w:tcPr>
                  <w:tcW w:w="2183" w:type="pct"/>
                  <w:vMerge w:val="continue"/>
                  <w:tcBorders>
                    <w:right w:val="single" w:color="auto" w:sz="4" w:space="0"/>
                    <w:tl2br w:val="nil"/>
                    <w:tr2bl w:val="nil"/>
                  </w:tcBorders>
                  <w:noWrap w:val="0"/>
                  <w:tcMar>
                    <w:top w:w="0" w:type="dxa"/>
                    <w:left w:w="0" w:type="dxa"/>
                    <w:bottom w:w="0" w:type="dxa"/>
                    <w:right w:w="0" w:type="dxa"/>
                  </w:tcMar>
                  <w:vAlign w:val="center"/>
                </w:tcPr>
                <w:p w14:paraId="311E3BAC">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r>
            <w:tr w14:paraId="049EC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pct"/>
                  <w:tcBorders>
                    <w:left w:val="single" w:color="auto" w:sz="4" w:space="0"/>
                    <w:bottom w:val="single" w:color="auto" w:sz="4" w:space="0"/>
                    <w:tl2br w:val="nil"/>
                    <w:tr2bl w:val="nil"/>
                  </w:tcBorders>
                  <w:noWrap w:val="0"/>
                  <w:tcMar>
                    <w:top w:w="0" w:type="dxa"/>
                    <w:left w:w="0" w:type="dxa"/>
                    <w:bottom w:w="0" w:type="dxa"/>
                    <w:right w:w="0" w:type="dxa"/>
                  </w:tcMar>
                  <w:vAlign w:val="center"/>
                </w:tcPr>
                <w:p w14:paraId="18E6432A">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DW001</w:t>
                  </w:r>
                </w:p>
              </w:tc>
              <w:tc>
                <w:tcPr>
                  <w:tcW w:w="670" w:type="pct"/>
                  <w:tcBorders>
                    <w:bottom w:val="single" w:color="auto" w:sz="4" w:space="0"/>
                    <w:tl2br w:val="nil"/>
                    <w:tr2bl w:val="nil"/>
                  </w:tcBorders>
                  <w:noWrap w:val="0"/>
                  <w:tcMar>
                    <w:top w:w="0" w:type="dxa"/>
                    <w:left w:w="0" w:type="dxa"/>
                    <w:bottom w:w="0" w:type="dxa"/>
                    <w:right w:w="0" w:type="dxa"/>
                  </w:tcMar>
                  <w:vAlign w:val="center"/>
                </w:tcPr>
                <w:p w14:paraId="332272BE">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化粪池排放口</w:t>
                  </w:r>
                </w:p>
              </w:tc>
              <w:tc>
                <w:tcPr>
                  <w:tcW w:w="704" w:type="pct"/>
                  <w:tcBorders>
                    <w:bottom w:val="single" w:color="auto" w:sz="4" w:space="0"/>
                    <w:tl2br w:val="nil"/>
                    <w:tr2bl w:val="nil"/>
                  </w:tcBorders>
                  <w:noWrap w:val="0"/>
                  <w:tcMar>
                    <w:top w:w="0" w:type="dxa"/>
                    <w:left w:w="0" w:type="dxa"/>
                    <w:bottom w:w="0" w:type="dxa"/>
                    <w:right w:w="0" w:type="dxa"/>
                  </w:tcMar>
                  <w:vAlign w:val="center"/>
                </w:tcPr>
                <w:p w14:paraId="1DDF25F8">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115.117684</w:t>
                  </w:r>
                </w:p>
              </w:tc>
              <w:tc>
                <w:tcPr>
                  <w:tcW w:w="750" w:type="pct"/>
                  <w:tcBorders>
                    <w:bottom w:val="single" w:color="auto" w:sz="4" w:space="0"/>
                    <w:tl2br w:val="nil"/>
                    <w:tr2bl w:val="nil"/>
                  </w:tcBorders>
                  <w:noWrap w:val="0"/>
                  <w:tcMar>
                    <w:top w:w="0" w:type="dxa"/>
                    <w:left w:w="0" w:type="dxa"/>
                    <w:bottom w:w="0" w:type="dxa"/>
                    <w:right w:w="0" w:type="dxa"/>
                  </w:tcMar>
                  <w:vAlign w:val="center"/>
                </w:tcPr>
                <w:p w14:paraId="5A0D276A">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35.830690</w:t>
                  </w:r>
                </w:p>
              </w:tc>
              <w:tc>
                <w:tcPr>
                  <w:tcW w:w="2183" w:type="pct"/>
                  <w:tcBorders>
                    <w:bottom w:val="single" w:color="auto" w:sz="4" w:space="0"/>
                    <w:right w:val="single" w:color="auto" w:sz="4" w:space="0"/>
                    <w:tl2br w:val="nil"/>
                    <w:tr2bl w:val="nil"/>
                  </w:tcBorders>
                  <w:noWrap w:val="0"/>
                  <w:tcMar>
                    <w:top w:w="0" w:type="dxa"/>
                    <w:left w:w="0" w:type="dxa"/>
                    <w:bottom w:w="0" w:type="dxa"/>
                    <w:right w:w="0" w:type="dxa"/>
                  </w:tcMar>
                  <w:vAlign w:val="center"/>
                </w:tcPr>
                <w:p w14:paraId="09303635">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《污水综合排放标准》（GB8978-1996）表4三级标准和</w:t>
                  </w:r>
                  <w:r>
                    <w:rPr>
                      <w:rFonts w:hint="eastAsia" w:eastAsia="宋体" w:cs="Times New Roman"/>
                      <w:b w:val="0"/>
                      <w:bCs w:val="0"/>
                      <w:color w:val="auto"/>
                      <w:sz w:val="21"/>
                      <w:szCs w:val="21"/>
                      <w:vertAlign w:val="baseline"/>
                      <w:lang w:val="en-US" w:eastAsia="zh-CN"/>
                    </w:rPr>
                    <w:t>清丰中州水务有限公司第二污水处理厂</w:t>
                  </w:r>
                  <w:r>
                    <w:rPr>
                      <w:rFonts w:hint="default" w:ascii="Times New Roman" w:hAnsi="Times New Roman" w:eastAsia="宋体" w:cs="Times New Roman"/>
                      <w:b w:val="0"/>
                      <w:bCs w:val="0"/>
                      <w:color w:val="auto"/>
                      <w:sz w:val="21"/>
                      <w:szCs w:val="21"/>
                      <w:vertAlign w:val="baseline"/>
                      <w:lang w:val="en-US" w:eastAsia="zh-CN"/>
                    </w:rPr>
                    <w:t>的进水水质要求</w:t>
                  </w:r>
                </w:p>
              </w:tc>
            </w:tr>
          </w:tbl>
          <w:p w14:paraId="0D34246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jc w:val="both"/>
              <w:textAlignment w:val="baseline"/>
              <w:rPr>
                <w:rFonts w:hint="default" w:ascii="Times New Roman" w:hAnsi="Times New Roman" w:eastAsia="宋体" w:cs="Times New Roman"/>
                <w:b/>
                <w:bCs/>
                <w:color w:val="auto"/>
                <w:sz w:val="24"/>
                <w:szCs w:val="22"/>
                <w:highlight w:val="none"/>
                <w:u w:val="none"/>
                <w:lang w:val="en-US" w:eastAsia="zh-CN"/>
              </w:rPr>
            </w:pPr>
            <w:r>
              <w:rPr>
                <w:rFonts w:hint="default" w:ascii="Times New Roman" w:hAnsi="Times New Roman" w:eastAsia="宋体" w:cs="Times New Roman"/>
                <w:b/>
                <w:bCs/>
                <w:color w:val="auto"/>
                <w:sz w:val="24"/>
                <w:szCs w:val="22"/>
                <w:highlight w:val="none"/>
                <w:u w:val="none"/>
                <w:lang w:val="en-US" w:eastAsia="zh-CN"/>
              </w:rPr>
              <w:t>2.4 废水总量控制指标</w:t>
            </w:r>
          </w:p>
          <w:p w14:paraId="78F8268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jc w:val="both"/>
              <w:textAlignment w:val="baseline"/>
              <w:rPr>
                <w:rFonts w:hint="default" w:ascii="Times New Roman" w:hAnsi="Times New Roman" w:eastAsia="宋体" w:cs="Times New Roman"/>
                <w:b w:val="0"/>
                <w:bCs w:val="0"/>
                <w:color w:val="auto"/>
                <w:sz w:val="24"/>
                <w:szCs w:val="22"/>
                <w:highlight w:val="none"/>
                <w:u w:val="none"/>
                <w:lang w:val="en-US" w:eastAsia="zh-CN"/>
              </w:rPr>
            </w:pPr>
            <w:r>
              <w:rPr>
                <w:rFonts w:hint="default" w:ascii="Times New Roman" w:hAnsi="Times New Roman" w:eastAsia="宋体" w:cs="Times New Roman"/>
                <w:b w:val="0"/>
                <w:bCs w:val="0"/>
                <w:color w:val="auto"/>
                <w:sz w:val="24"/>
                <w:szCs w:val="22"/>
                <w:highlight w:val="none"/>
                <w:u w:val="none"/>
                <w:lang w:val="en-US" w:eastAsia="zh-CN"/>
              </w:rPr>
              <w:t>根据</w:t>
            </w:r>
            <w:r>
              <w:rPr>
                <w:rFonts w:hint="eastAsia" w:ascii="Times New Roman" w:hAnsi="Times New Roman" w:eastAsia="宋体" w:cs="Times New Roman"/>
                <w:b w:val="0"/>
                <w:bCs w:val="0"/>
                <w:color w:val="auto"/>
                <w:sz w:val="24"/>
                <w:szCs w:val="22"/>
                <w:highlight w:val="none"/>
                <w:u w:val="none"/>
                <w:lang w:val="en-US" w:eastAsia="zh-CN"/>
              </w:rPr>
              <w:t>“</w:t>
            </w:r>
            <w:r>
              <w:rPr>
                <w:rFonts w:hint="default" w:ascii="Times New Roman" w:hAnsi="Times New Roman" w:eastAsia="宋体" w:cs="Times New Roman"/>
                <w:b w:val="0"/>
                <w:bCs w:val="0"/>
                <w:color w:val="auto"/>
                <w:sz w:val="24"/>
                <w:szCs w:val="22"/>
                <w:highlight w:val="none"/>
                <w:u w:val="none"/>
                <w:lang w:val="en-US" w:eastAsia="zh-CN"/>
              </w:rPr>
              <w:t>十四五</w:t>
            </w:r>
            <w:r>
              <w:rPr>
                <w:rFonts w:hint="eastAsia" w:ascii="Times New Roman" w:hAnsi="Times New Roman" w:eastAsia="宋体" w:cs="Times New Roman"/>
                <w:b w:val="0"/>
                <w:bCs w:val="0"/>
                <w:color w:val="auto"/>
                <w:sz w:val="24"/>
                <w:szCs w:val="22"/>
                <w:highlight w:val="none"/>
                <w:u w:val="none"/>
                <w:lang w:val="en-US" w:eastAsia="zh-CN"/>
              </w:rPr>
              <w:t>”</w:t>
            </w:r>
            <w:r>
              <w:rPr>
                <w:rFonts w:hint="default" w:ascii="Times New Roman" w:hAnsi="Times New Roman" w:eastAsia="宋体" w:cs="Times New Roman"/>
                <w:b w:val="0"/>
                <w:bCs w:val="0"/>
                <w:color w:val="auto"/>
                <w:sz w:val="24"/>
                <w:szCs w:val="22"/>
                <w:highlight w:val="none"/>
                <w:u w:val="none"/>
                <w:lang w:val="en-US" w:eastAsia="zh-CN"/>
              </w:rPr>
              <w:t>规划和国家环境保护部关于印发《建设项目主要污染物排放总量指标审核及管理暂行办法》的通知（环发〔2014〕197号），核定允许排放总量控制指标。项目废水总量控制指标见表4-</w:t>
            </w:r>
            <w:r>
              <w:rPr>
                <w:rFonts w:hint="eastAsia" w:cs="Times New Roman"/>
                <w:b w:val="0"/>
                <w:bCs w:val="0"/>
                <w:color w:val="auto"/>
                <w:sz w:val="24"/>
                <w:szCs w:val="22"/>
                <w:highlight w:val="none"/>
                <w:u w:val="none"/>
                <w:lang w:val="en-US" w:eastAsia="zh-CN"/>
              </w:rPr>
              <w:t>9</w:t>
            </w:r>
            <w:r>
              <w:rPr>
                <w:rFonts w:hint="default" w:ascii="Times New Roman" w:hAnsi="Times New Roman" w:eastAsia="宋体" w:cs="Times New Roman"/>
                <w:b w:val="0"/>
                <w:bCs w:val="0"/>
                <w:color w:val="auto"/>
                <w:sz w:val="24"/>
                <w:szCs w:val="22"/>
                <w:highlight w:val="none"/>
                <w:u w:val="none"/>
                <w:lang w:val="en-US" w:eastAsia="zh-CN"/>
              </w:rPr>
              <w:t>。</w:t>
            </w:r>
          </w:p>
          <w:p w14:paraId="4588C7B5">
            <w:pPr>
              <w:numPr>
                <w:ilvl w:val="0"/>
                <w:numId w:val="0"/>
              </w:numPr>
              <w:adjustRightInd w:val="0"/>
              <w:snapToGrid w:val="0"/>
              <w:spacing w:line="520" w:lineRule="exact"/>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表4-</w:t>
            </w:r>
            <w:r>
              <w:rPr>
                <w:rFonts w:hint="eastAsia" w:cs="Times New Roman"/>
                <w:b w:val="0"/>
                <w:bCs w:val="0"/>
                <w:color w:val="auto"/>
                <w:sz w:val="21"/>
                <w:szCs w:val="21"/>
                <w:highlight w:val="none"/>
                <w:u w:val="none"/>
                <w:lang w:val="en-US" w:eastAsia="zh-CN"/>
              </w:rPr>
              <w:t>9</w:t>
            </w:r>
            <w:r>
              <w:rPr>
                <w:rFonts w:hint="default" w:ascii="Times New Roman" w:hAnsi="Times New Roman" w:eastAsia="宋体" w:cs="Times New Roman"/>
                <w:b w:val="0"/>
                <w:bCs w:val="0"/>
                <w:color w:val="auto"/>
                <w:sz w:val="21"/>
                <w:szCs w:val="21"/>
                <w:highlight w:val="none"/>
                <w:u w:val="none"/>
                <w:lang w:val="en-US" w:eastAsia="zh-CN"/>
              </w:rPr>
              <w:t xml:space="preserve">  项目废水总量控制指标一览表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616"/>
              <w:gridCol w:w="1616"/>
              <w:gridCol w:w="1616"/>
              <w:gridCol w:w="1619"/>
            </w:tblGrid>
            <w:tr w14:paraId="5DB1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4" w:type="pct"/>
                  <w:vMerge w:val="restart"/>
                  <w:vAlign w:val="center"/>
                </w:tcPr>
                <w:p w14:paraId="643AC147">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污染物名称</w:t>
                  </w:r>
                </w:p>
              </w:tc>
              <w:tc>
                <w:tcPr>
                  <w:tcW w:w="2066" w:type="pct"/>
                  <w:gridSpan w:val="2"/>
                  <w:vAlign w:val="center"/>
                </w:tcPr>
                <w:p w14:paraId="3AD30C3A">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出厂界</w:t>
                  </w:r>
                </w:p>
              </w:tc>
              <w:tc>
                <w:tcPr>
                  <w:tcW w:w="2068" w:type="pct"/>
                  <w:gridSpan w:val="2"/>
                  <w:vAlign w:val="center"/>
                </w:tcPr>
                <w:p w14:paraId="7CD940C3">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入外环境</w:t>
                  </w:r>
                </w:p>
              </w:tc>
            </w:tr>
            <w:tr w14:paraId="2C71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pct"/>
                  <w:vMerge w:val="continue"/>
                  <w:vAlign w:val="center"/>
                </w:tcPr>
                <w:p w14:paraId="7703CF70">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sz w:val="21"/>
                      <w:szCs w:val="21"/>
                      <w:highlight w:val="none"/>
                      <w:u w:val="none"/>
                      <w:lang w:val="en-US" w:eastAsia="zh-CN"/>
                    </w:rPr>
                  </w:pPr>
                </w:p>
              </w:tc>
              <w:tc>
                <w:tcPr>
                  <w:tcW w:w="1033" w:type="pct"/>
                  <w:vAlign w:val="center"/>
                </w:tcPr>
                <w:p w14:paraId="53B61A82">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浓度</w:t>
                  </w:r>
                  <w:r>
                    <w:rPr>
                      <w:rFonts w:hint="eastAsia" w:eastAsia="宋体" w:cs="Times New Roman"/>
                      <w:b w:val="0"/>
                      <w:bCs/>
                      <w:color w:val="auto"/>
                      <w:sz w:val="21"/>
                      <w:szCs w:val="21"/>
                      <w:highlight w:val="none"/>
                      <w:u w:val="none"/>
                      <w:lang w:val="en-US" w:eastAsia="zh-CN"/>
                    </w:rPr>
                    <w:t>/</w:t>
                  </w:r>
                  <w:r>
                    <w:rPr>
                      <w:rFonts w:hint="default" w:ascii="Times New Roman" w:hAnsi="Times New Roman" w:eastAsia="宋体" w:cs="Times New Roman"/>
                      <w:b w:val="0"/>
                      <w:bCs/>
                      <w:color w:val="auto"/>
                      <w:sz w:val="21"/>
                      <w:szCs w:val="21"/>
                      <w:highlight w:val="none"/>
                      <w:u w:val="none"/>
                      <w:lang w:val="en-US" w:eastAsia="zh-CN"/>
                    </w:rPr>
                    <w:t>mg/L</w:t>
                  </w:r>
                </w:p>
              </w:tc>
              <w:tc>
                <w:tcPr>
                  <w:tcW w:w="1033" w:type="pct"/>
                  <w:vAlign w:val="center"/>
                </w:tcPr>
                <w:p w14:paraId="1200EBAC">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排放量</w:t>
                  </w:r>
                  <w:r>
                    <w:rPr>
                      <w:rFonts w:hint="eastAsia" w:eastAsia="宋体" w:cs="Times New Roman"/>
                      <w:b w:val="0"/>
                      <w:bCs/>
                      <w:color w:val="auto"/>
                      <w:sz w:val="21"/>
                      <w:szCs w:val="21"/>
                      <w:highlight w:val="none"/>
                      <w:u w:val="none"/>
                      <w:lang w:val="en-US" w:eastAsia="zh-CN"/>
                    </w:rPr>
                    <w:t>/</w:t>
                  </w:r>
                  <w:r>
                    <w:rPr>
                      <w:rFonts w:hint="default" w:ascii="Times New Roman" w:hAnsi="Times New Roman" w:eastAsia="宋体" w:cs="Times New Roman"/>
                      <w:b w:val="0"/>
                      <w:bCs/>
                      <w:color w:val="auto"/>
                      <w:sz w:val="21"/>
                      <w:szCs w:val="21"/>
                      <w:highlight w:val="none"/>
                      <w:u w:val="none"/>
                      <w:lang w:val="en-US" w:eastAsia="zh-CN"/>
                    </w:rPr>
                    <w:t>t/a</w:t>
                  </w:r>
                </w:p>
              </w:tc>
              <w:tc>
                <w:tcPr>
                  <w:tcW w:w="1616" w:type="dxa"/>
                  <w:vAlign w:val="center"/>
                </w:tcPr>
                <w:p w14:paraId="7C184AAB">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kern w:val="2"/>
                      <w:sz w:val="21"/>
                      <w:szCs w:val="21"/>
                      <w:highlight w:val="none"/>
                      <w:u w:val="none"/>
                      <w:lang w:val="en-US" w:eastAsia="zh-CN" w:bidi="ar-SA"/>
                    </w:rPr>
                  </w:pPr>
                  <w:r>
                    <w:rPr>
                      <w:rFonts w:hint="default" w:ascii="Times New Roman" w:hAnsi="Times New Roman" w:eastAsia="宋体" w:cs="Times New Roman"/>
                      <w:b w:val="0"/>
                      <w:bCs/>
                      <w:color w:val="auto"/>
                      <w:sz w:val="21"/>
                      <w:szCs w:val="21"/>
                      <w:highlight w:val="none"/>
                      <w:u w:val="none"/>
                      <w:lang w:val="en-US" w:eastAsia="zh-CN"/>
                    </w:rPr>
                    <w:t>浓度</w:t>
                  </w:r>
                  <w:r>
                    <w:rPr>
                      <w:rFonts w:hint="eastAsia" w:eastAsia="宋体" w:cs="Times New Roman"/>
                      <w:b w:val="0"/>
                      <w:bCs/>
                      <w:color w:val="auto"/>
                      <w:sz w:val="21"/>
                      <w:szCs w:val="21"/>
                      <w:highlight w:val="none"/>
                      <w:u w:val="none"/>
                      <w:lang w:val="en-US" w:eastAsia="zh-CN"/>
                    </w:rPr>
                    <w:t>/</w:t>
                  </w:r>
                  <w:r>
                    <w:rPr>
                      <w:rFonts w:hint="default" w:ascii="Times New Roman" w:hAnsi="Times New Roman" w:eastAsia="宋体" w:cs="Times New Roman"/>
                      <w:b w:val="0"/>
                      <w:bCs/>
                      <w:color w:val="auto"/>
                      <w:sz w:val="21"/>
                      <w:szCs w:val="21"/>
                      <w:highlight w:val="none"/>
                      <w:u w:val="none"/>
                      <w:lang w:val="en-US" w:eastAsia="zh-CN"/>
                    </w:rPr>
                    <w:t>mg/L</w:t>
                  </w:r>
                </w:p>
              </w:tc>
              <w:tc>
                <w:tcPr>
                  <w:tcW w:w="1619" w:type="dxa"/>
                  <w:vAlign w:val="center"/>
                </w:tcPr>
                <w:p w14:paraId="645E79CE">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kern w:val="2"/>
                      <w:sz w:val="21"/>
                      <w:szCs w:val="21"/>
                      <w:highlight w:val="none"/>
                      <w:u w:val="none"/>
                      <w:lang w:val="en-US" w:eastAsia="zh-CN" w:bidi="ar-SA"/>
                    </w:rPr>
                  </w:pPr>
                  <w:r>
                    <w:rPr>
                      <w:rFonts w:hint="default" w:ascii="Times New Roman" w:hAnsi="Times New Roman" w:eastAsia="宋体" w:cs="Times New Roman"/>
                      <w:b w:val="0"/>
                      <w:bCs/>
                      <w:color w:val="auto"/>
                      <w:sz w:val="21"/>
                      <w:szCs w:val="21"/>
                      <w:highlight w:val="none"/>
                      <w:u w:val="none"/>
                      <w:lang w:val="en-US" w:eastAsia="zh-CN"/>
                    </w:rPr>
                    <w:t>排放量</w:t>
                  </w:r>
                  <w:r>
                    <w:rPr>
                      <w:rFonts w:hint="eastAsia" w:eastAsia="宋体" w:cs="Times New Roman"/>
                      <w:b w:val="0"/>
                      <w:bCs/>
                      <w:color w:val="auto"/>
                      <w:sz w:val="21"/>
                      <w:szCs w:val="21"/>
                      <w:highlight w:val="none"/>
                      <w:u w:val="none"/>
                      <w:lang w:val="en-US" w:eastAsia="zh-CN"/>
                    </w:rPr>
                    <w:t>/</w:t>
                  </w:r>
                  <w:r>
                    <w:rPr>
                      <w:rFonts w:hint="default" w:ascii="Times New Roman" w:hAnsi="Times New Roman" w:eastAsia="宋体" w:cs="Times New Roman"/>
                      <w:b w:val="0"/>
                      <w:bCs/>
                      <w:color w:val="auto"/>
                      <w:sz w:val="21"/>
                      <w:szCs w:val="21"/>
                      <w:highlight w:val="none"/>
                      <w:u w:val="none"/>
                      <w:lang w:val="en-US" w:eastAsia="zh-CN"/>
                    </w:rPr>
                    <w:t>t/a</w:t>
                  </w:r>
                </w:p>
              </w:tc>
            </w:tr>
            <w:tr w14:paraId="62E3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14:paraId="38526EF2">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COD</w:t>
                  </w:r>
                </w:p>
              </w:tc>
              <w:tc>
                <w:tcPr>
                  <w:tcW w:w="1596" w:type="dxa"/>
                  <w:vAlign w:val="center"/>
                </w:tcPr>
                <w:p w14:paraId="28E81A70">
                  <w:pPr>
                    <w:keepNext w:val="0"/>
                    <w:keepLines w:val="0"/>
                    <w:pageBreakBefore w:val="0"/>
                    <w:widowControl/>
                    <w:suppressLineNumbers w:val="0"/>
                    <w:kinsoku/>
                    <w:wordWrap/>
                    <w:overflowPunct/>
                    <w:topLinePunct w:val="0"/>
                    <w:autoSpaceDE/>
                    <w:autoSpaceDN/>
                    <w:bidi w:val="0"/>
                    <w:adjustRightInd/>
                    <w:snapToGrid/>
                    <w:spacing w:before="48" w:beforeLines="15" w:after="48" w:afterLines="15" w:line="240" w:lineRule="auto"/>
                    <w:jc w:val="center"/>
                    <w:textAlignment w:val="center"/>
                    <w:rPr>
                      <w:rFonts w:hint="default"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u w:val="none"/>
                      <w:lang w:val="en-US" w:eastAsia="zh-CN" w:bidi="ar"/>
                    </w:rPr>
                    <w:t>2</w:t>
                  </w:r>
                  <w:r>
                    <w:rPr>
                      <w:rFonts w:hint="eastAsia" w:cs="Times New Roman"/>
                      <w:i w:val="0"/>
                      <w:iCs w:val="0"/>
                      <w:color w:val="auto"/>
                      <w:kern w:val="2"/>
                      <w:sz w:val="21"/>
                      <w:szCs w:val="21"/>
                      <w:u w:val="none"/>
                      <w:lang w:val="en-US" w:eastAsia="zh-CN" w:bidi="ar"/>
                    </w:rPr>
                    <w:t>55</w:t>
                  </w:r>
                </w:p>
              </w:tc>
              <w:tc>
                <w:tcPr>
                  <w:tcW w:w="1596" w:type="dxa"/>
                  <w:vAlign w:val="center"/>
                </w:tcPr>
                <w:p w14:paraId="262636B2">
                  <w:pPr>
                    <w:keepNext w:val="0"/>
                    <w:keepLines w:val="0"/>
                    <w:pageBreakBefore w:val="0"/>
                    <w:widowControl/>
                    <w:suppressLineNumbers w:val="0"/>
                    <w:kinsoku/>
                    <w:wordWrap/>
                    <w:overflowPunct/>
                    <w:topLinePunct w:val="0"/>
                    <w:autoSpaceDE/>
                    <w:autoSpaceDN/>
                    <w:bidi w:val="0"/>
                    <w:adjustRightInd/>
                    <w:snapToGrid/>
                    <w:spacing w:before="48" w:beforeLines="15" w:after="48" w:afterLines="15" w:line="240" w:lineRule="auto"/>
                    <w:jc w:val="center"/>
                    <w:textAlignment w:val="center"/>
                    <w:rPr>
                      <w:rFonts w:hint="default"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u w:val="none"/>
                      <w:lang w:val="en-US" w:eastAsia="zh-CN" w:bidi="ar"/>
                    </w:rPr>
                    <w:t>0.1346</w:t>
                  </w:r>
                </w:p>
              </w:tc>
              <w:tc>
                <w:tcPr>
                  <w:tcW w:w="1033" w:type="pct"/>
                  <w:vAlign w:val="center"/>
                </w:tcPr>
                <w:p w14:paraId="0279A9DC">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40</w:t>
                  </w:r>
                </w:p>
              </w:tc>
              <w:tc>
                <w:tcPr>
                  <w:tcW w:w="1619" w:type="dxa"/>
                  <w:vAlign w:val="center"/>
                </w:tcPr>
                <w:p w14:paraId="33E58703">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0.0211</w:t>
                  </w:r>
                  <w:r>
                    <w:rPr>
                      <w:rFonts w:hint="eastAsia" w:ascii="Times New Roman" w:hAnsi="Times New Roman" w:eastAsia="宋体" w:cs="Times New Roman"/>
                      <w:b w:val="0"/>
                      <w:bCs/>
                      <w:color w:val="auto"/>
                      <w:sz w:val="21"/>
                      <w:szCs w:val="21"/>
                      <w:highlight w:val="none"/>
                      <w:u w:val="none"/>
                      <w:lang w:val="en-US" w:eastAsia="zh-CN"/>
                    </w:rPr>
                    <w:t xml:space="preserve"> </w:t>
                  </w:r>
                </w:p>
              </w:tc>
            </w:tr>
            <w:tr w14:paraId="6CD5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14:paraId="49B8105A">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NH</w:t>
                  </w:r>
                  <w:r>
                    <w:rPr>
                      <w:rFonts w:hint="default" w:ascii="Times New Roman" w:hAnsi="Times New Roman" w:eastAsia="宋体" w:cs="Times New Roman"/>
                      <w:b w:val="0"/>
                      <w:bCs/>
                      <w:color w:val="auto"/>
                      <w:sz w:val="21"/>
                      <w:szCs w:val="21"/>
                      <w:highlight w:val="none"/>
                      <w:u w:val="none"/>
                      <w:vertAlign w:val="subscript"/>
                      <w:lang w:val="en-US" w:eastAsia="zh-CN"/>
                    </w:rPr>
                    <w:t>3</w:t>
                  </w:r>
                  <w:r>
                    <w:rPr>
                      <w:rFonts w:hint="default" w:ascii="Times New Roman" w:hAnsi="Times New Roman" w:eastAsia="宋体" w:cs="Times New Roman"/>
                      <w:b w:val="0"/>
                      <w:bCs/>
                      <w:color w:val="auto"/>
                      <w:sz w:val="21"/>
                      <w:szCs w:val="21"/>
                      <w:highlight w:val="none"/>
                      <w:u w:val="none"/>
                      <w:lang w:val="en-US" w:eastAsia="zh-CN"/>
                    </w:rPr>
                    <w:t>-N</w:t>
                  </w:r>
                </w:p>
              </w:tc>
              <w:tc>
                <w:tcPr>
                  <w:tcW w:w="1596" w:type="dxa"/>
                  <w:vAlign w:val="center"/>
                </w:tcPr>
                <w:p w14:paraId="79F86423">
                  <w:pPr>
                    <w:keepNext w:val="0"/>
                    <w:keepLines w:val="0"/>
                    <w:pageBreakBefore w:val="0"/>
                    <w:widowControl/>
                    <w:suppressLineNumbers w:val="0"/>
                    <w:kinsoku/>
                    <w:wordWrap/>
                    <w:overflowPunct/>
                    <w:topLinePunct w:val="0"/>
                    <w:autoSpaceDE/>
                    <w:autoSpaceDN/>
                    <w:bidi w:val="0"/>
                    <w:adjustRightInd/>
                    <w:snapToGrid/>
                    <w:spacing w:before="48" w:beforeLines="15" w:after="48" w:afterLines="15" w:line="240" w:lineRule="auto"/>
                    <w:jc w:val="center"/>
                    <w:textAlignment w:val="center"/>
                    <w:rPr>
                      <w:rFonts w:hint="default"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u w:val="none"/>
                      <w:lang w:val="en-US" w:eastAsia="zh-CN" w:bidi="ar"/>
                    </w:rPr>
                    <w:t>24.25</w:t>
                  </w:r>
                </w:p>
              </w:tc>
              <w:tc>
                <w:tcPr>
                  <w:tcW w:w="1596" w:type="dxa"/>
                  <w:vAlign w:val="center"/>
                </w:tcPr>
                <w:p w14:paraId="444F4977">
                  <w:pPr>
                    <w:keepNext w:val="0"/>
                    <w:keepLines w:val="0"/>
                    <w:pageBreakBefore w:val="0"/>
                    <w:widowControl/>
                    <w:suppressLineNumbers w:val="0"/>
                    <w:kinsoku/>
                    <w:wordWrap/>
                    <w:overflowPunct/>
                    <w:topLinePunct w:val="0"/>
                    <w:autoSpaceDE/>
                    <w:autoSpaceDN/>
                    <w:bidi w:val="0"/>
                    <w:adjustRightInd/>
                    <w:snapToGrid/>
                    <w:spacing w:before="48" w:beforeLines="15" w:after="48" w:afterLines="15" w:line="240" w:lineRule="auto"/>
                    <w:jc w:val="center"/>
                    <w:textAlignment w:val="center"/>
                    <w:rPr>
                      <w:rFonts w:hint="default"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u w:val="none"/>
                      <w:lang w:val="en-US" w:eastAsia="zh-CN" w:bidi="ar"/>
                    </w:rPr>
                    <w:t>0.0128</w:t>
                  </w:r>
                </w:p>
              </w:tc>
              <w:tc>
                <w:tcPr>
                  <w:tcW w:w="1033" w:type="pct"/>
                  <w:vAlign w:val="center"/>
                </w:tcPr>
                <w:p w14:paraId="4A3C4819">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sz w:val="21"/>
                      <w:szCs w:val="21"/>
                      <w:highlight w:val="none"/>
                      <w:u w:val="none"/>
                      <w:lang w:val="en-US" w:eastAsia="zh-CN"/>
                    </w:rPr>
                  </w:pPr>
                  <w:r>
                    <w:rPr>
                      <w:rFonts w:hint="eastAsia" w:eastAsia="宋体" w:cs="Times New Roman"/>
                      <w:b w:val="0"/>
                      <w:bCs/>
                      <w:color w:val="auto"/>
                      <w:sz w:val="21"/>
                      <w:szCs w:val="21"/>
                      <w:highlight w:val="none"/>
                      <w:u w:val="none"/>
                      <w:lang w:val="en-US" w:eastAsia="zh-CN"/>
                    </w:rPr>
                    <w:t>2</w:t>
                  </w:r>
                </w:p>
              </w:tc>
              <w:tc>
                <w:tcPr>
                  <w:tcW w:w="1619" w:type="dxa"/>
                  <w:vAlign w:val="center"/>
                </w:tcPr>
                <w:p w14:paraId="4CA9A14E">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outlineLvl w:val="9"/>
                    <w:rPr>
                      <w:rFonts w:hint="default" w:ascii="Times New Roman" w:hAnsi="Times New Roman" w:eastAsia="宋体"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0.0011</w:t>
                  </w:r>
                  <w:r>
                    <w:rPr>
                      <w:rFonts w:hint="eastAsia" w:ascii="Times New Roman" w:hAnsi="Times New Roman" w:eastAsia="宋体" w:cs="Times New Roman"/>
                      <w:b w:val="0"/>
                      <w:bCs/>
                      <w:color w:val="auto"/>
                      <w:sz w:val="21"/>
                      <w:szCs w:val="21"/>
                      <w:highlight w:val="none"/>
                      <w:u w:val="none"/>
                      <w:lang w:val="en-US" w:eastAsia="zh-CN"/>
                    </w:rPr>
                    <w:t xml:space="preserve"> </w:t>
                  </w:r>
                </w:p>
              </w:tc>
            </w:tr>
          </w:tbl>
          <w:p w14:paraId="73060946">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3、声环境影响分析</w:t>
            </w:r>
          </w:p>
          <w:p w14:paraId="72E8C6A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textAlignment w:val="baseline"/>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3.1 噪声产排情况及相关参数</w:t>
            </w:r>
          </w:p>
          <w:p w14:paraId="252FD7E7">
            <w:pPr>
              <w:numPr>
                <w:ilvl w:val="0"/>
                <w:numId w:val="0"/>
              </w:numPr>
              <w:adjustRightInd w:val="0"/>
              <w:snapToGrid w:val="0"/>
              <w:spacing w:line="520" w:lineRule="exact"/>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本项目噪声主要为</w:t>
            </w:r>
            <w:r>
              <w:rPr>
                <w:rFonts w:hint="default" w:ascii="Times New Roman" w:hAnsi="Times New Roman" w:cs="Times New Roman"/>
                <w:b w:val="0"/>
                <w:bCs w:val="0"/>
                <w:color w:val="auto"/>
                <w:sz w:val="24"/>
                <w:szCs w:val="24"/>
                <w:highlight w:val="none"/>
                <w:lang w:val="en-US" w:eastAsia="zh-CN"/>
              </w:rPr>
              <w:t>生产设备、环保设施风机等</w:t>
            </w:r>
            <w:r>
              <w:rPr>
                <w:rFonts w:hint="default" w:ascii="Times New Roman" w:hAnsi="Times New Roman" w:eastAsia="宋体" w:cs="Times New Roman"/>
                <w:b w:val="0"/>
                <w:bCs w:val="0"/>
                <w:color w:val="auto"/>
                <w:sz w:val="24"/>
                <w:szCs w:val="24"/>
                <w:highlight w:val="none"/>
                <w:lang w:val="en-US" w:eastAsia="zh-CN"/>
              </w:rPr>
              <w:t>设备噪声。</w:t>
            </w:r>
          </w:p>
          <w:p w14:paraId="025CA935">
            <w:pPr>
              <w:numPr>
                <w:ilvl w:val="0"/>
                <w:numId w:val="0"/>
              </w:numPr>
              <w:adjustRightInd w:val="0"/>
              <w:snapToGrid w:val="0"/>
              <w:spacing w:line="5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w:t>
            </w: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 xml:space="preserve">   噪声源强调查清单（室外声源）</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507"/>
              <w:gridCol w:w="584"/>
              <w:gridCol w:w="584"/>
              <w:gridCol w:w="706"/>
              <w:gridCol w:w="2131"/>
              <w:gridCol w:w="1216"/>
              <w:gridCol w:w="779"/>
            </w:tblGrid>
            <w:tr w14:paraId="7DB7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pct"/>
                  <w:vMerge w:val="restart"/>
                  <w:vAlign w:val="center"/>
                </w:tcPr>
                <w:p w14:paraId="031712E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声源名称</w:t>
                  </w:r>
                </w:p>
              </w:tc>
              <w:tc>
                <w:tcPr>
                  <w:tcW w:w="324" w:type="pct"/>
                  <w:vMerge w:val="restart"/>
                  <w:vAlign w:val="center"/>
                </w:tcPr>
                <w:p w14:paraId="5DE3324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cs="Times New Roman"/>
                      <w:b w:val="0"/>
                      <w:bCs w:val="0"/>
                      <w:snapToGrid w:val="0"/>
                      <w:color w:val="auto"/>
                      <w:sz w:val="21"/>
                      <w:szCs w:val="21"/>
                      <w:highlight w:val="none"/>
                      <w:u w:val="none"/>
                      <w:vertAlign w:val="baseline"/>
                      <w:lang w:val="en-US" w:eastAsia="zh-CN"/>
                    </w:rPr>
                    <w:t>数量</w:t>
                  </w:r>
                </w:p>
              </w:tc>
              <w:tc>
                <w:tcPr>
                  <w:tcW w:w="1197" w:type="pct"/>
                  <w:gridSpan w:val="3"/>
                  <w:vAlign w:val="center"/>
                </w:tcPr>
                <w:p w14:paraId="2094F9F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空间相对位置/m</w:t>
                  </w:r>
                </w:p>
              </w:tc>
              <w:tc>
                <w:tcPr>
                  <w:tcW w:w="1362" w:type="pct"/>
                  <w:vAlign w:val="center"/>
                </w:tcPr>
                <w:p w14:paraId="55F1142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声源源强</w:t>
                  </w:r>
                </w:p>
              </w:tc>
              <w:tc>
                <w:tcPr>
                  <w:tcW w:w="777" w:type="pct"/>
                  <w:vMerge w:val="restart"/>
                  <w:vAlign w:val="center"/>
                </w:tcPr>
                <w:p w14:paraId="33B12B3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声源控制措施</w:t>
                  </w:r>
                </w:p>
              </w:tc>
              <w:tc>
                <w:tcPr>
                  <w:tcW w:w="498" w:type="pct"/>
                  <w:vMerge w:val="restart"/>
                  <w:vAlign w:val="center"/>
                </w:tcPr>
                <w:p w14:paraId="6659657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运行时段</w:t>
                  </w:r>
                </w:p>
              </w:tc>
            </w:tr>
            <w:tr w14:paraId="7869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9" w:type="pct"/>
                  <w:vMerge w:val="continue"/>
                  <w:vAlign w:val="center"/>
                </w:tcPr>
                <w:p w14:paraId="6454237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p>
              </w:tc>
              <w:tc>
                <w:tcPr>
                  <w:tcW w:w="324" w:type="pct"/>
                  <w:vMerge w:val="continue"/>
                  <w:vAlign w:val="center"/>
                </w:tcPr>
                <w:p w14:paraId="6AABA70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p>
              </w:tc>
              <w:tc>
                <w:tcPr>
                  <w:tcW w:w="373" w:type="pct"/>
                  <w:vAlign w:val="center"/>
                </w:tcPr>
                <w:p w14:paraId="011AA2D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X</w:t>
                  </w:r>
                </w:p>
              </w:tc>
              <w:tc>
                <w:tcPr>
                  <w:tcW w:w="373" w:type="pct"/>
                  <w:vAlign w:val="center"/>
                </w:tcPr>
                <w:p w14:paraId="6709F8D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Y</w:t>
                  </w:r>
                </w:p>
              </w:tc>
              <w:tc>
                <w:tcPr>
                  <w:tcW w:w="450" w:type="pct"/>
                  <w:vAlign w:val="center"/>
                </w:tcPr>
                <w:p w14:paraId="1F7B0C5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Z</w:t>
                  </w:r>
                </w:p>
              </w:tc>
              <w:tc>
                <w:tcPr>
                  <w:tcW w:w="1362" w:type="pct"/>
                  <w:vAlign w:val="center"/>
                </w:tcPr>
                <w:p w14:paraId="1557787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（声压级/距声源距离）/（dB（A）/m）</w:t>
                  </w:r>
                </w:p>
              </w:tc>
              <w:tc>
                <w:tcPr>
                  <w:tcW w:w="777" w:type="pct"/>
                  <w:vMerge w:val="continue"/>
                  <w:vAlign w:val="center"/>
                </w:tcPr>
                <w:p w14:paraId="33D9757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p>
              </w:tc>
              <w:tc>
                <w:tcPr>
                  <w:tcW w:w="498" w:type="pct"/>
                  <w:vMerge w:val="continue"/>
                  <w:vAlign w:val="center"/>
                </w:tcPr>
                <w:p w14:paraId="69E79BE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p>
              </w:tc>
            </w:tr>
            <w:tr w14:paraId="7FC2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9" w:type="pct"/>
                  <w:vAlign w:val="center"/>
                </w:tcPr>
                <w:p w14:paraId="21FD5B7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left="0" w:leftChars="0" w:firstLine="0" w:firstLineChars="0"/>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DA001风机</w:t>
                  </w:r>
                </w:p>
              </w:tc>
              <w:tc>
                <w:tcPr>
                  <w:tcW w:w="324" w:type="pct"/>
                  <w:vAlign w:val="center"/>
                </w:tcPr>
                <w:p w14:paraId="740BC73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left="0" w:leftChars="0" w:firstLine="0" w:firstLineChars="0"/>
                    <w:jc w:val="center"/>
                    <w:textAlignment w:val="baseline"/>
                    <w:rPr>
                      <w:rFonts w:hint="default" w:ascii="Times New Roman" w:hAnsi="Times New Roman" w:cs="Times New Roman"/>
                      <w:b w:val="0"/>
                      <w:bCs w:val="0"/>
                      <w:snapToGrid w:val="0"/>
                      <w:color w:val="auto"/>
                      <w:sz w:val="21"/>
                      <w:szCs w:val="21"/>
                      <w:highlight w:val="none"/>
                      <w:u w:val="none"/>
                      <w:vertAlign w:val="baseline"/>
                      <w:lang w:val="en-US" w:eastAsia="zh-CN"/>
                    </w:rPr>
                  </w:pPr>
                  <w:r>
                    <w:rPr>
                      <w:rFonts w:hint="default" w:ascii="Times New Roman" w:hAnsi="Times New Roman" w:cs="Times New Roman"/>
                      <w:b w:val="0"/>
                      <w:bCs w:val="0"/>
                      <w:snapToGrid w:val="0"/>
                      <w:color w:val="auto"/>
                      <w:sz w:val="21"/>
                      <w:szCs w:val="21"/>
                      <w:highlight w:val="none"/>
                      <w:u w:val="none"/>
                      <w:vertAlign w:val="baseline"/>
                      <w:lang w:val="en-US" w:eastAsia="zh-CN"/>
                    </w:rPr>
                    <w:t>1</w:t>
                  </w:r>
                </w:p>
              </w:tc>
              <w:tc>
                <w:tcPr>
                  <w:tcW w:w="373" w:type="pct"/>
                  <w:vAlign w:val="center"/>
                </w:tcPr>
                <w:p w14:paraId="230B7C2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left="0" w:leftChars="0" w:firstLine="0" w:firstLineChars="0"/>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51</w:t>
                  </w:r>
                </w:p>
              </w:tc>
              <w:tc>
                <w:tcPr>
                  <w:tcW w:w="373" w:type="pct"/>
                  <w:vAlign w:val="center"/>
                </w:tcPr>
                <w:p w14:paraId="6250B3B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left="0" w:leftChars="0" w:firstLine="0" w:firstLineChars="0"/>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212</w:t>
                  </w:r>
                </w:p>
              </w:tc>
              <w:tc>
                <w:tcPr>
                  <w:tcW w:w="450" w:type="pct"/>
                  <w:vAlign w:val="center"/>
                </w:tcPr>
                <w:p w14:paraId="541579A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left="0" w:leftChars="0" w:firstLine="0" w:firstLineChars="0"/>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2.64</w:t>
                  </w:r>
                </w:p>
              </w:tc>
              <w:tc>
                <w:tcPr>
                  <w:tcW w:w="1362" w:type="pct"/>
                  <w:vAlign w:val="center"/>
                </w:tcPr>
                <w:p w14:paraId="513A463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left="0" w:leftChars="0" w:firstLine="0" w:firstLineChars="0"/>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90</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/1</w:t>
                  </w:r>
                </w:p>
              </w:tc>
              <w:tc>
                <w:tcPr>
                  <w:tcW w:w="777" w:type="pct"/>
                  <w:vMerge w:val="restart"/>
                  <w:vAlign w:val="center"/>
                </w:tcPr>
                <w:p w14:paraId="36AEA25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基础</w:t>
                  </w:r>
                  <w:r>
                    <w:rPr>
                      <w:rFonts w:hint="eastAsia" w:cs="Times New Roman"/>
                      <w:b w:val="0"/>
                      <w:bCs w:val="0"/>
                      <w:snapToGrid w:val="0"/>
                      <w:color w:val="auto"/>
                      <w:sz w:val="21"/>
                      <w:szCs w:val="21"/>
                      <w:highlight w:val="none"/>
                      <w:u w:val="none"/>
                      <w:vertAlign w:val="baseline"/>
                      <w:lang w:val="en-US" w:eastAsia="zh-CN"/>
                    </w:rPr>
                    <w:t>减振</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、距离衰减</w:t>
                  </w:r>
                </w:p>
              </w:tc>
              <w:tc>
                <w:tcPr>
                  <w:tcW w:w="498" w:type="pct"/>
                  <w:vMerge w:val="restart"/>
                  <w:vAlign w:val="center"/>
                </w:tcPr>
                <w:p w14:paraId="487673D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昼间</w:t>
                  </w:r>
                </w:p>
              </w:tc>
            </w:tr>
            <w:tr w14:paraId="3984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39" w:type="pct"/>
                  <w:vAlign w:val="center"/>
                </w:tcPr>
                <w:p w14:paraId="2360EF6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left="0" w:leftChars="0" w:firstLine="0" w:firstLineChars="0"/>
                    <w:jc w:val="center"/>
                    <w:textAlignment w:val="baseline"/>
                    <w:rPr>
                      <w:rFonts w:hint="default"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DA002风机</w:t>
                  </w:r>
                </w:p>
              </w:tc>
              <w:tc>
                <w:tcPr>
                  <w:tcW w:w="324" w:type="pct"/>
                  <w:vAlign w:val="center"/>
                </w:tcPr>
                <w:p w14:paraId="07E6971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left="0" w:leftChars="0" w:firstLine="0" w:firstLineChars="0"/>
                    <w:jc w:val="center"/>
                    <w:textAlignment w:val="baseline"/>
                    <w:rPr>
                      <w:rFonts w:hint="default" w:ascii="Times New Roman" w:hAnsi="Times New Roman" w:cs="Times New Roman"/>
                      <w:b w:val="0"/>
                      <w:bCs w:val="0"/>
                      <w:snapToGrid w:val="0"/>
                      <w:color w:val="auto"/>
                      <w:sz w:val="21"/>
                      <w:szCs w:val="21"/>
                      <w:highlight w:val="none"/>
                      <w:u w:val="none"/>
                      <w:vertAlign w:val="baseline"/>
                      <w:lang w:val="en-US" w:eastAsia="zh-CN"/>
                    </w:rPr>
                  </w:pPr>
                  <w:r>
                    <w:rPr>
                      <w:rFonts w:hint="eastAsia" w:ascii="Times New Roman" w:hAnsi="Times New Roman" w:cs="Times New Roman"/>
                      <w:b w:val="0"/>
                      <w:bCs w:val="0"/>
                      <w:snapToGrid w:val="0"/>
                      <w:color w:val="auto"/>
                      <w:sz w:val="21"/>
                      <w:szCs w:val="21"/>
                      <w:highlight w:val="none"/>
                      <w:u w:val="none"/>
                      <w:vertAlign w:val="baseline"/>
                      <w:lang w:val="en-US" w:eastAsia="zh-CN"/>
                    </w:rPr>
                    <w:t>1</w:t>
                  </w:r>
                </w:p>
              </w:tc>
              <w:tc>
                <w:tcPr>
                  <w:tcW w:w="373" w:type="pct"/>
                  <w:vAlign w:val="center"/>
                </w:tcPr>
                <w:p w14:paraId="30D0248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left="0" w:leftChars="0" w:firstLine="0" w:firstLineChars="0"/>
                    <w:jc w:val="center"/>
                    <w:textAlignment w:val="baseline"/>
                    <w:rPr>
                      <w:rFonts w:hint="eastAsia"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95</w:t>
                  </w:r>
                </w:p>
              </w:tc>
              <w:tc>
                <w:tcPr>
                  <w:tcW w:w="373" w:type="pct"/>
                  <w:vAlign w:val="center"/>
                </w:tcPr>
                <w:p w14:paraId="1C30A4C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left="0" w:leftChars="0" w:firstLine="0" w:firstLineChars="0"/>
                    <w:jc w:val="center"/>
                    <w:textAlignment w:val="baseline"/>
                    <w:rPr>
                      <w:rFonts w:hint="eastAsia"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221</w:t>
                  </w:r>
                </w:p>
              </w:tc>
              <w:tc>
                <w:tcPr>
                  <w:tcW w:w="450" w:type="pct"/>
                  <w:vAlign w:val="center"/>
                </w:tcPr>
                <w:p w14:paraId="691C066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left="0" w:leftChars="0" w:firstLine="0" w:firstLineChars="0"/>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2.3</w:t>
                  </w:r>
                </w:p>
              </w:tc>
              <w:tc>
                <w:tcPr>
                  <w:tcW w:w="1362" w:type="pct"/>
                  <w:vAlign w:val="center"/>
                </w:tcPr>
                <w:p w14:paraId="6A44CB1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ind w:left="0" w:leftChars="0" w:firstLine="0" w:firstLineChars="0"/>
                    <w:jc w:val="center"/>
                    <w:textAlignment w:val="baseline"/>
                    <w:rPr>
                      <w:rFonts w:hint="eastAsia"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90</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/1</w:t>
                  </w:r>
                </w:p>
              </w:tc>
              <w:tc>
                <w:tcPr>
                  <w:tcW w:w="777" w:type="pct"/>
                  <w:vMerge w:val="continue"/>
                  <w:vAlign w:val="center"/>
                </w:tcPr>
                <w:p w14:paraId="6F3A823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p>
              </w:tc>
              <w:tc>
                <w:tcPr>
                  <w:tcW w:w="498" w:type="pct"/>
                  <w:vMerge w:val="continue"/>
                  <w:vAlign w:val="center"/>
                </w:tcPr>
                <w:p w14:paraId="2187C71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p>
              </w:tc>
            </w:tr>
          </w:tbl>
          <w:p w14:paraId="0D4B3B7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snapToGrid w:val="0"/>
                <w:color w:val="auto"/>
                <w:sz w:val="30"/>
                <w:szCs w:val="30"/>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注：表</w:t>
            </w:r>
            <w:r>
              <w:rPr>
                <w:rFonts w:hint="eastAsia" w:ascii="Times New Roman" w:hAnsi="Times New Roman" w:eastAsia="宋体" w:cs="Times New Roman"/>
                <w:b w:val="0"/>
                <w:bCs/>
                <w:color w:val="auto"/>
                <w:sz w:val="21"/>
                <w:szCs w:val="21"/>
                <w:highlight w:val="none"/>
                <w:lang w:val="en-US" w:eastAsia="zh-CN"/>
              </w:rPr>
              <w:t>4-15、</w:t>
            </w:r>
            <w:r>
              <w:rPr>
                <w:rFonts w:hint="default" w:ascii="Times New Roman" w:hAnsi="Times New Roman" w:eastAsia="宋体" w:cs="Times New Roman"/>
                <w:b w:val="0"/>
                <w:bCs/>
                <w:color w:val="auto"/>
                <w:sz w:val="21"/>
                <w:szCs w:val="21"/>
                <w:highlight w:val="none"/>
                <w:lang w:val="en-US" w:eastAsia="zh-CN"/>
              </w:rPr>
              <w:t>表</w:t>
            </w:r>
            <w:r>
              <w:rPr>
                <w:rFonts w:hint="eastAsia" w:ascii="Times New Roman" w:hAnsi="Times New Roman" w:eastAsia="宋体" w:cs="Times New Roman"/>
                <w:b w:val="0"/>
                <w:bCs/>
                <w:color w:val="auto"/>
                <w:sz w:val="21"/>
                <w:szCs w:val="21"/>
                <w:highlight w:val="none"/>
                <w:lang w:val="en-US" w:eastAsia="zh-CN"/>
              </w:rPr>
              <w:t>4-</w:t>
            </w:r>
            <w:r>
              <w:rPr>
                <w:rFonts w:hint="eastAsia" w:ascii="Times New Roman" w:hAnsi="Times New Roman" w:cs="Times New Roman"/>
                <w:b w:val="0"/>
                <w:bCs/>
                <w:color w:val="auto"/>
                <w:sz w:val="21"/>
                <w:szCs w:val="21"/>
                <w:highlight w:val="none"/>
                <w:lang w:val="en-US" w:eastAsia="zh-CN"/>
              </w:rPr>
              <w:t>16</w:t>
            </w:r>
            <w:r>
              <w:rPr>
                <w:rFonts w:hint="default" w:ascii="Times New Roman" w:hAnsi="Times New Roman" w:eastAsia="宋体" w:cs="Times New Roman"/>
                <w:b w:val="0"/>
                <w:bCs/>
                <w:color w:val="auto"/>
                <w:sz w:val="21"/>
                <w:szCs w:val="21"/>
                <w:highlight w:val="none"/>
                <w:lang w:val="en-US" w:eastAsia="zh-CN"/>
              </w:rPr>
              <w:t>中坐标以项目厂区西南角（115.118741312</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35.830631585）为坐标原点，正东向为X轴正方向，正北向为 Y 轴正方向</w:t>
            </w:r>
          </w:p>
        </w:tc>
      </w:tr>
    </w:tbl>
    <w:p w14:paraId="16D101A2">
      <w:pPr>
        <w:pStyle w:val="25"/>
        <w:keepNext w:val="0"/>
        <w:keepLines w:val="0"/>
        <w:pageBreakBefore w:val="0"/>
        <w:widowControl/>
        <w:kinsoku/>
        <w:wordWrap/>
        <w:overflowPunct/>
        <w:topLinePunct w:val="0"/>
        <w:autoSpaceDE/>
        <w:autoSpaceDN/>
        <w:bidi w:val="0"/>
        <w:adjustRightInd/>
        <w:snapToGrid/>
        <w:spacing w:after="157" w:afterLines="50" w:afterAutospacing="0"/>
        <w:jc w:val="center"/>
        <w:textAlignment w:val="auto"/>
        <w:outlineLvl w:val="0"/>
        <w:rPr>
          <w:rFonts w:hint="default" w:ascii="Times New Roman" w:hAnsi="Times New Roman" w:eastAsia="宋体" w:cs="Times New Roman"/>
          <w:snapToGrid w:val="0"/>
          <w:color w:val="auto"/>
          <w:sz w:val="30"/>
          <w:szCs w:val="30"/>
          <w:highlight w:val="none"/>
        </w:rPr>
        <w:sectPr>
          <w:pgSz w:w="11907" w:h="16840"/>
          <w:pgMar w:top="1440" w:right="1800" w:bottom="1440" w:left="1800" w:header="851" w:footer="851" w:gutter="0"/>
          <w:pgNumType w:fmt="decimal"/>
          <w:cols w:space="720" w:num="1"/>
          <w:docGrid w:linePitch="312" w:charSpace="0"/>
        </w:sectPr>
      </w:pP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2977"/>
      </w:tblGrid>
      <w:tr w14:paraId="6306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4" w:hRule="atLeast"/>
        </w:trPr>
        <w:tc>
          <w:tcPr>
            <w:tcW w:w="178" w:type="pct"/>
            <w:vAlign w:val="center"/>
          </w:tcPr>
          <w:p w14:paraId="6627314C">
            <w:pPr>
              <w:jc w:val="center"/>
              <w:rPr>
                <w:rFonts w:hint="default" w:ascii="Times New Roman" w:hAnsi="Times New Roman" w:cs="Times New Roman"/>
                <w:color w:val="auto"/>
                <w:highlight w:val="none"/>
                <w:vertAlign w:val="baseline"/>
              </w:rPr>
            </w:pPr>
          </w:p>
        </w:tc>
        <w:tc>
          <w:tcPr>
            <w:tcW w:w="4821" w:type="pct"/>
          </w:tcPr>
          <w:p w14:paraId="0DBFC205">
            <w:pPr>
              <w:numPr>
                <w:ilvl w:val="0"/>
                <w:numId w:val="0"/>
              </w:numPr>
              <w:adjustRightInd w:val="0"/>
              <w:snapToGrid w:val="0"/>
              <w:spacing w:line="5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w:t>
            </w:r>
            <w:r>
              <w:rPr>
                <w:rFonts w:hint="eastAsia" w:cs="Times New Roman"/>
                <w:color w:val="auto"/>
                <w:sz w:val="21"/>
                <w:szCs w:val="21"/>
                <w:highlight w:val="none"/>
                <w:lang w:val="en-US" w:eastAsia="zh-CN"/>
              </w:rPr>
              <w:t xml:space="preserve">11 </w:t>
            </w:r>
            <w:r>
              <w:rPr>
                <w:rFonts w:hint="default" w:ascii="Times New Roman" w:hAnsi="Times New Roman" w:eastAsia="宋体" w:cs="Times New Roman"/>
                <w:color w:val="auto"/>
                <w:sz w:val="21"/>
                <w:szCs w:val="21"/>
                <w:highlight w:val="none"/>
                <w:lang w:val="en-US" w:eastAsia="zh-CN"/>
              </w:rPr>
              <w:t xml:space="preserve">  噪声源强调查清单（室内声源）</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7"/>
              <w:gridCol w:w="1711"/>
              <w:gridCol w:w="462"/>
              <w:gridCol w:w="1113"/>
              <w:gridCol w:w="1062"/>
              <w:gridCol w:w="600"/>
              <w:gridCol w:w="600"/>
              <w:gridCol w:w="600"/>
              <w:gridCol w:w="877"/>
              <w:gridCol w:w="992"/>
              <w:gridCol w:w="661"/>
              <w:gridCol w:w="1087"/>
              <w:gridCol w:w="1027"/>
              <w:gridCol w:w="1100"/>
            </w:tblGrid>
            <w:tr w14:paraId="25EF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32" w:type="pct"/>
                  <w:vMerge w:val="restart"/>
                  <w:shd w:val="clear" w:color="auto" w:fill="auto"/>
                  <w:noWrap w:val="0"/>
                  <w:vAlign w:val="center"/>
                </w:tcPr>
                <w:p w14:paraId="7C7BF52D">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22" w:name="_Toc2447"/>
                  <w:r>
                    <w:rPr>
                      <w:rFonts w:hint="default" w:ascii="Times New Roman" w:hAnsi="Times New Roman" w:eastAsia="宋体" w:cs="Times New Roman"/>
                      <w:b w:val="0"/>
                      <w:bCs w:val="0"/>
                      <w:color w:val="auto"/>
                      <w:sz w:val="21"/>
                      <w:szCs w:val="21"/>
                      <w:highlight w:val="none"/>
                      <w:vertAlign w:val="baseline"/>
                      <w:lang w:val="en-US" w:eastAsia="zh-CN"/>
                    </w:rPr>
                    <w:t>建筑物名称</w:t>
                  </w:r>
                  <w:bookmarkEnd w:id="22"/>
                </w:p>
              </w:tc>
              <w:tc>
                <w:tcPr>
                  <w:tcW w:w="671" w:type="pct"/>
                  <w:vMerge w:val="restart"/>
                  <w:shd w:val="clear" w:color="auto" w:fill="auto"/>
                  <w:noWrap w:val="0"/>
                  <w:vAlign w:val="center"/>
                </w:tcPr>
                <w:p w14:paraId="751C376B">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23" w:name="_Toc9391"/>
                  <w:r>
                    <w:rPr>
                      <w:rFonts w:hint="default" w:ascii="Times New Roman" w:hAnsi="Times New Roman" w:eastAsia="宋体" w:cs="Times New Roman"/>
                      <w:b w:val="0"/>
                      <w:bCs w:val="0"/>
                      <w:color w:val="auto"/>
                      <w:sz w:val="21"/>
                      <w:szCs w:val="21"/>
                      <w:highlight w:val="none"/>
                      <w:vertAlign w:val="baseline"/>
                      <w:lang w:val="en-US" w:eastAsia="zh-CN"/>
                    </w:rPr>
                    <w:t>声源名称</w:t>
                  </w:r>
                  <w:bookmarkEnd w:id="23"/>
                </w:p>
              </w:tc>
              <w:tc>
                <w:tcPr>
                  <w:tcW w:w="181" w:type="pct"/>
                  <w:vMerge w:val="restart"/>
                  <w:shd w:val="clear" w:color="auto" w:fill="auto"/>
                  <w:noWrap w:val="0"/>
                  <w:vAlign w:val="center"/>
                </w:tcPr>
                <w:p w14:paraId="445F5CC3">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24" w:name="_Toc14998"/>
                  <w:r>
                    <w:rPr>
                      <w:rFonts w:hint="eastAsia" w:eastAsia="宋体" w:cs="Times New Roman"/>
                      <w:b w:val="0"/>
                      <w:bCs w:val="0"/>
                      <w:color w:val="auto"/>
                      <w:sz w:val="21"/>
                      <w:szCs w:val="21"/>
                      <w:highlight w:val="none"/>
                      <w:vertAlign w:val="baseline"/>
                      <w:lang w:val="en-US" w:eastAsia="zh-CN"/>
                    </w:rPr>
                    <w:t>型号</w:t>
                  </w:r>
                  <w:bookmarkEnd w:id="24"/>
                </w:p>
              </w:tc>
              <w:tc>
                <w:tcPr>
                  <w:tcW w:w="436" w:type="pct"/>
                  <w:shd w:val="clear" w:color="auto" w:fill="auto"/>
                  <w:noWrap w:val="0"/>
                  <w:vAlign w:val="center"/>
                </w:tcPr>
                <w:p w14:paraId="3925BF2F">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25" w:name="_Toc13949"/>
                  <w:r>
                    <w:rPr>
                      <w:rFonts w:hint="default" w:ascii="Times New Roman" w:hAnsi="Times New Roman" w:eastAsia="宋体" w:cs="Times New Roman"/>
                      <w:b w:val="0"/>
                      <w:bCs w:val="0"/>
                      <w:color w:val="auto"/>
                      <w:sz w:val="21"/>
                      <w:szCs w:val="21"/>
                      <w:highlight w:val="none"/>
                      <w:vertAlign w:val="baseline"/>
                      <w:lang w:val="en-US" w:eastAsia="zh-CN"/>
                    </w:rPr>
                    <w:t>声源源强</w:t>
                  </w:r>
                  <w:bookmarkEnd w:id="25"/>
                </w:p>
              </w:tc>
              <w:tc>
                <w:tcPr>
                  <w:tcW w:w="416" w:type="pct"/>
                  <w:vMerge w:val="restart"/>
                  <w:shd w:val="clear" w:color="auto" w:fill="auto"/>
                  <w:noWrap w:val="0"/>
                  <w:vAlign w:val="center"/>
                </w:tcPr>
                <w:p w14:paraId="3E2BAF71">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26" w:name="_Toc28575"/>
                  <w:r>
                    <w:rPr>
                      <w:rFonts w:hint="default" w:ascii="Times New Roman" w:hAnsi="Times New Roman" w:eastAsia="宋体" w:cs="Times New Roman"/>
                      <w:b w:val="0"/>
                      <w:bCs w:val="0"/>
                      <w:color w:val="auto"/>
                      <w:sz w:val="21"/>
                      <w:szCs w:val="21"/>
                      <w:highlight w:val="none"/>
                      <w:vertAlign w:val="baseline"/>
                      <w:lang w:val="en-US" w:eastAsia="zh-CN"/>
                    </w:rPr>
                    <w:t>声源控制措施</w:t>
                  </w:r>
                  <w:bookmarkEnd w:id="26"/>
                </w:p>
              </w:tc>
              <w:tc>
                <w:tcPr>
                  <w:tcW w:w="706" w:type="pct"/>
                  <w:gridSpan w:val="3"/>
                  <w:shd w:val="clear" w:color="auto" w:fill="auto"/>
                  <w:noWrap w:val="0"/>
                  <w:vAlign w:val="center"/>
                </w:tcPr>
                <w:p w14:paraId="32D79176">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27" w:name="_Toc19620"/>
                  <w:r>
                    <w:rPr>
                      <w:rFonts w:hint="default" w:ascii="Times New Roman" w:hAnsi="Times New Roman" w:eastAsia="宋体" w:cs="Times New Roman"/>
                      <w:b w:val="0"/>
                      <w:bCs w:val="0"/>
                      <w:color w:val="auto"/>
                      <w:sz w:val="21"/>
                      <w:szCs w:val="21"/>
                      <w:highlight w:val="none"/>
                      <w:vertAlign w:val="baseline"/>
                      <w:lang w:val="en-US" w:eastAsia="zh-CN"/>
                    </w:rPr>
                    <w:t>空间相对位置/m</w:t>
                  </w:r>
                  <w:bookmarkEnd w:id="27"/>
                </w:p>
              </w:tc>
              <w:tc>
                <w:tcPr>
                  <w:tcW w:w="344" w:type="pct"/>
                  <w:vMerge w:val="restart"/>
                  <w:shd w:val="clear" w:color="auto" w:fill="auto"/>
                  <w:noWrap w:val="0"/>
                  <w:vAlign w:val="center"/>
                </w:tcPr>
                <w:p w14:paraId="22B08FD7">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28" w:name="_Toc12165"/>
                  <w:r>
                    <w:rPr>
                      <w:rFonts w:hint="default" w:ascii="Times New Roman" w:hAnsi="Times New Roman" w:eastAsia="宋体" w:cs="Times New Roman"/>
                      <w:b w:val="0"/>
                      <w:bCs w:val="0"/>
                      <w:color w:val="auto"/>
                      <w:sz w:val="21"/>
                      <w:szCs w:val="21"/>
                      <w:highlight w:val="none"/>
                      <w:vertAlign w:val="baseline"/>
                      <w:lang w:val="en-US" w:eastAsia="zh-CN"/>
                    </w:rPr>
                    <w:t>距室内边界距离/m</w:t>
                  </w:r>
                  <w:bookmarkEnd w:id="28"/>
                </w:p>
              </w:tc>
              <w:tc>
                <w:tcPr>
                  <w:tcW w:w="389" w:type="pct"/>
                  <w:vMerge w:val="restart"/>
                  <w:shd w:val="clear" w:color="auto" w:fill="auto"/>
                  <w:noWrap w:val="0"/>
                  <w:vAlign w:val="center"/>
                </w:tcPr>
                <w:p w14:paraId="4487039C">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29" w:name="_Toc8069"/>
                  <w:r>
                    <w:rPr>
                      <w:rFonts w:hint="default" w:ascii="Times New Roman" w:hAnsi="Times New Roman" w:eastAsia="宋体" w:cs="Times New Roman"/>
                      <w:b w:val="0"/>
                      <w:bCs w:val="0"/>
                      <w:color w:val="auto"/>
                      <w:sz w:val="21"/>
                      <w:szCs w:val="21"/>
                      <w:highlight w:val="none"/>
                      <w:vertAlign w:val="baseline"/>
                      <w:lang w:val="en-US" w:eastAsia="zh-CN"/>
                    </w:rPr>
                    <w:t>室内边界声级/dB（A）</w:t>
                  </w:r>
                  <w:bookmarkEnd w:id="29"/>
                </w:p>
              </w:tc>
              <w:tc>
                <w:tcPr>
                  <w:tcW w:w="259" w:type="pct"/>
                  <w:vMerge w:val="restart"/>
                  <w:shd w:val="clear" w:color="auto" w:fill="auto"/>
                  <w:noWrap w:val="0"/>
                  <w:vAlign w:val="center"/>
                </w:tcPr>
                <w:p w14:paraId="45FBCD5A">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30" w:name="_Toc12875"/>
                  <w:r>
                    <w:rPr>
                      <w:rFonts w:hint="default" w:ascii="Times New Roman" w:hAnsi="Times New Roman" w:eastAsia="宋体" w:cs="Times New Roman"/>
                      <w:b w:val="0"/>
                      <w:bCs w:val="0"/>
                      <w:color w:val="auto"/>
                      <w:sz w:val="21"/>
                      <w:szCs w:val="21"/>
                      <w:highlight w:val="none"/>
                      <w:vertAlign w:val="baseline"/>
                      <w:lang w:val="en-US" w:eastAsia="zh-CN"/>
                    </w:rPr>
                    <w:t>运行时段</w:t>
                  </w:r>
                  <w:bookmarkEnd w:id="30"/>
                </w:p>
              </w:tc>
              <w:tc>
                <w:tcPr>
                  <w:tcW w:w="426" w:type="pct"/>
                  <w:vMerge w:val="restart"/>
                  <w:shd w:val="clear" w:color="auto" w:fill="auto"/>
                  <w:noWrap w:val="0"/>
                  <w:vAlign w:val="center"/>
                </w:tcPr>
                <w:p w14:paraId="0C567E83">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31" w:name="_Toc2969"/>
                  <w:r>
                    <w:rPr>
                      <w:rFonts w:hint="default" w:ascii="Times New Roman" w:hAnsi="Times New Roman" w:eastAsia="宋体" w:cs="Times New Roman"/>
                      <w:b w:val="0"/>
                      <w:bCs w:val="0"/>
                      <w:color w:val="auto"/>
                      <w:sz w:val="21"/>
                      <w:szCs w:val="21"/>
                      <w:highlight w:val="none"/>
                      <w:vertAlign w:val="baseline"/>
                      <w:lang w:val="en-US" w:eastAsia="zh-CN"/>
                    </w:rPr>
                    <w:t>建筑物插入损失/dB（A）</w:t>
                  </w:r>
                  <w:bookmarkEnd w:id="31"/>
                </w:p>
              </w:tc>
              <w:tc>
                <w:tcPr>
                  <w:tcW w:w="834" w:type="pct"/>
                  <w:gridSpan w:val="2"/>
                  <w:shd w:val="clear" w:color="auto" w:fill="auto"/>
                  <w:noWrap w:val="0"/>
                  <w:vAlign w:val="center"/>
                </w:tcPr>
                <w:p w14:paraId="543650B1">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32" w:name="_Toc23809"/>
                  <w:r>
                    <w:rPr>
                      <w:rFonts w:hint="default" w:ascii="Times New Roman" w:hAnsi="Times New Roman" w:eastAsia="宋体" w:cs="Times New Roman"/>
                      <w:b w:val="0"/>
                      <w:bCs w:val="0"/>
                      <w:color w:val="auto"/>
                      <w:sz w:val="21"/>
                      <w:szCs w:val="21"/>
                      <w:highlight w:val="none"/>
                      <w:vertAlign w:val="baseline"/>
                      <w:lang w:val="en-US" w:eastAsia="zh-CN"/>
                    </w:rPr>
                    <w:t>建筑物外噪声</w:t>
                  </w:r>
                  <w:bookmarkEnd w:id="32"/>
                </w:p>
              </w:tc>
            </w:tr>
            <w:tr w14:paraId="162F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 w:hRule="atLeast"/>
              </w:trPr>
              <w:tc>
                <w:tcPr>
                  <w:tcW w:w="332" w:type="pct"/>
                  <w:vMerge w:val="continue"/>
                  <w:shd w:val="clear" w:color="auto" w:fill="auto"/>
                  <w:noWrap w:val="0"/>
                  <w:vAlign w:val="center"/>
                </w:tcPr>
                <w:p w14:paraId="3F0C51C2">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671" w:type="pct"/>
                  <w:vMerge w:val="continue"/>
                  <w:shd w:val="clear" w:color="auto" w:fill="auto"/>
                  <w:noWrap w:val="0"/>
                  <w:vAlign w:val="center"/>
                </w:tcPr>
                <w:p w14:paraId="78914874">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81" w:type="pct"/>
                  <w:vMerge w:val="continue"/>
                  <w:shd w:val="clear" w:color="auto" w:fill="auto"/>
                  <w:noWrap w:val="0"/>
                  <w:vAlign w:val="center"/>
                </w:tcPr>
                <w:p w14:paraId="199DFD31">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36" w:type="pct"/>
                  <w:shd w:val="clear" w:color="auto" w:fill="auto"/>
                  <w:noWrap w:val="0"/>
                  <w:vAlign w:val="center"/>
                </w:tcPr>
                <w:p w14:paraId="364E6714">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33" w:name="_Toc23103"/>
                  <w:r>
                    <w:rPr>
                      <w:rFonts w:hint="default" w:ascii="Times New Roman" w:hAnsi="Times New Roman" w:eastAsia="宋体" w:cs="Times New Roman"/>
                      <w:b w:val="0"/>
                      <w:bCs w:val="0"/>
                      <w:color w:val="auto"/>
                      <w:sz w:val="21"/>
                      <w:szCs w:val="21"/>
                      <w:highlight w:val="none"/>
                      <w:vertAlign w:val="baseline"/>
                      <w:lang w:val="en-US" w:eastAsia="zh-CN"/>
                    </w:rPr>
                    <w:t>声功率级/dB（A）</w:t>
                  </w:r>
                  <w:bookmarkEnd w:id="33"/>
                </w:p>
              </w:tc>
              <w:tc>
                <w:tcPr>
                  <w:tcW w:w="416" w:type="pct"/>
                  <w:vMerge w:val="continue"/>
                  <w:shd w:val="clear" w:color="auto" w:fill="auto"/>
                  <w:noWrap w:val="0"/>
                  <w:vAlign w:val="center"/>
                </w:tcPr>
                <w:p w14:paraId="13F09FA4">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235" w:type="pct"/>
                  <w:shd w:val="clear" w:color="auto" w:fill="auto"/>
                  <w:noWrap w:val="0"/>
                  <w:vAlign w:val="center"/>
                </w:tcPr>
                <w:p w14:paraId="6AB2FE84">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34" w:name="_Toc12757"/>
                  <w:r>
                    <w:rPr>
                      <w:rFonts w:hint="default" w:ascii="Times New Roman" w:hAnsi="Times New Roman" w:eastAsia="宋体" w:cs="Times New Roman"/>
                      <w:b w:val="0"/>
                      <w:bCs w:val="0"/>
                      <w:color w:val="auto"/>
                      <w:sz w:val="21"/>
                      <w:szCs w:val="21"/>
                      <w:highlight w:val="none"/>
                      <w:vertAlign w:val="baseline"/>
                      <w:lang w:val="en-US" w:eastAsia="zh-CN"/>
                    </w:rPr>
                    <w:t>X</w:t>
                  </w:r>
                  <w:bookmarkEnd w:id="34"/>
                </w:p>
              </w:tc>
              <w:tc>
                <w:tcPr>
                  <w:tcW w:w="235" w:type="pct"/>
                  <w:shd w:val="clear" w:color="auto" w:fill="auto"/>
                  <w:noWrap w:val="0"/>
                  <w:vAlign w:val="center"/>
                </w:tcPr>
                <w:p w14:paraId="681A400B">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35" w:name="_Toc4626"/>
                  <w:r>
                    <w:rPr>
                      <w:rFonts w:hint="default" w:ascii="Times New Roman" w:hAnsi="Times New Roman" w:eastAsia="宋体" w:cs="Times New Roman"/>
                      <w:b w:val="0"/>
                      <w:bCs w:val="0"/>
                      <w:color w:val="auto"/>
                      <w:sz w:val="21"/>
                      <w:szCs w:val="21"/>
                      <w:highlight w:val="none"/>
                      <w:vertAlign w:val="baseline"/>
                      <w:lang w:val="en-US" w:eastAsia="zh-CN"/>
                    </w:rPr>
                    <w:t>Y</w:t>
                  </w:r>
                  <w:bookmarkEnd w:id="35"/>
                </w:p>
              </w:tc>
              <w:tc>
                <w:tcPr>
                  <w:tcW w:w="235" w:type="pct"/>
                  <w:shd w:val="clear" w:color="auto" w:fill="auto"/>
                  <w:noWrap w:val="0"/>
                  <w:vAlign w:val="center"/>
                </w:tcPr>
                <w:p w14:paraId="7BE76CC1">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36" w:name="_Toc32142"/>
                  <w:r>
                    <w:rPr>
                      <w:rFonts w:hint="default" w:ascii="Times New Roman" w:hAnsi="Times New Roman" w:eastAsia="宋体" w:cs="Times New Roman"/>
                      <w:b w:val="0"/>
                      <w:bCs w:val="0"/>
                      <w:color w:val="auto"/>
                      <w:sz w:val="21"/>
                      <w:szCs w:val="21"/>
                      <w:highlight w:val="none"/>
                      <w:vertAlign w:val="baseline"/>
                      <w:lang w:val="en-US" w:eastAsia="zh-CN"/>
                    </w:rPr>
                    <w:t>Z</w:t>
                  </w:r>
                  <w:bookmarkEnd w:id="36"/>
                </w:p>
              </w:tc>
              <w:tc>
                <w:tcPr>
                  <w:tcW w:w="344" w:type="pct"/>
                  <w:vMerge w:val="continue"/>
                  <w:shd w:val="clear" w:color="auto" w:fill="auto"/>
                  <w:noWrap w:val="0"/>
                  <w:vAlign w:val="center"/>
                </w:tcPr>
                <w:p w14:paraId="7236DF0B">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389" w:type="pct"/>
                  <w:vMerge w:val="continue"/>
                  <w:shd w:val="clear" w:color="auto" w:fill="auto"/>
                  <w:noWrap w:val="0"/>
                  <w:vAlign w:val="center"/>
                </w:tcPr>
                <w:p w14:paraId="3AA4788C">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259" w:type="pct"/>
                  <w:vMerge w:val="continue"/>
                  <w:shd w:val="clear" w:color="auto" w:fill="auto"/>
                  <w:noWrap w:val="0"/>
                  <w:vAlign w:val="center"/>
                </w:tcPr>
                <w:p w14:paraId="0509FC53">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26" w:type="pct"/>
                  <w:vMerge w:val="continue"/>
                  <w:shd w:val="clear" w:color="auto" w:fill="auto"/>
                  <w:noWrap w:val="0"/>
                  <w:vAlign w:val="center"/>
                </w:tcPr>
                <w:p w14:paraId="2C390556">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3" w:type="pct"/>
                  <w:shd w:val="clear" w:color="auto" w:fill="auto"/>
                  <w:noWrap w:val="0"/>
                  <w:vAlign w:val="center"/>
                </w:tcPr>
                <w:p w14:paraId="43C74AFA">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37" w:name="_Toc4845"/>
                  <w:r>
                    <w:rPr>
                      <w:rFonts w:hint="default" w:ascii="Times New Roman" w:hAnsi="Times New Roman" w:eastAsia="宋体" w:cs="Times New Roman"/>
                      <w:b w:val="0"/>
                      <w:bCs w:val="0"/>
                      <w:color w:val="auto"/>
                      <w:sz w:val="21"/>
                      <w:szCs w:val="21"/>
                      <w:highlight w:val="none"/>
                      <w:vertAlign w:val="baseline"/>
                      <w:lang w:val="en-US" w:eastAsia="zh-CN"/>
                    </w:rPr>
                    <w:t>声压级     /dB（A）</w:t>
                  </w:r>
                  <w:bookmarkEnd w:id="37"/>
                </w:p>
              </w:tc>
              <w:tc>
                <w:tcPr>
                  <w:tcW w:w="431" w:type="pct"/>
                  <w:shd w:val="clear" w:color="auto" w:fill="auto"/>
                  <w:noWrap w:val="0"/>
                  <w:vAlign w:val="center"/>
                </w:tcPr>
                <w:p w14:paraId="516E6E87">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38" w:name="_Toc5641"/>
                  <w:r>
                    <w:rPr>
                      <w:rFonts w:hint="default" w:ascii="Times New Roman" w:hAnsi="Times New Roman" w:eastAsia="宋体" w:cs="Times New Roman"/>
                      <w:b w:val="0"/>
                      <w:bCs w:val="0"/>
                      <w:color w:val="auto"/>
                      <w:sz w:val="21"/>
                      <w:szCs w:val="21"/>
                      <w:highlight w:val="none"/>
                      <w:vertAlign w:val="baseline"/>
                      <w:lang w:val="en-US" w:eastAsia="zh-CN"/>
                    </w:rPr>
                    <w:t>建筑物外距离/m</w:t>
                  </w:r>
                  <w:bookmarkEnd w:id="38"/>
                </w:p>
              </w:tc>
            </w:tr>
            <w:tr w14:paraId="68E2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32" w:type="pct"/>
                  <w:vMerge w:val="restart"/>
                  <w:shd w:val="clear" w:color="auto" w:fill="auto"/>
                  <w:noWrap w:val="0"/>
                  <w:vAlign w:val="center"/>
                </w:tcPr>
                <w:p w14:paraId="1C813FC4">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39" w:name="_Toc8960"/>
                  <w:r>
                    <w:rPr>
                      <w:rFonts w:hint="default" w:ascii="Times New Roman" w:hAnsi="Times New Roman" w:eastAsia="宋体" w:cs="Times New Roman"/>
                      <w:b w:val="0"/>
                      <w:bCs w:val="0"/>
                      <w:color w:val="auto"/>
                      <w:sz w:val="21"/>
                      <w:szCs w:val="21"/>
                      <w:highlight w:val="none"/>
                      <w:vertAlign w:val="baseline"/>
                      <w:lang w:val="en-US" w:eastAsia="zh-CN"/>
                    </w:rPr>
                    <w:t>生产车间1#</w:t>
                  </w:r>
                  <w:bookmarkEnd w:id="39"/>
                </w:p>
              </w:tc>
              <w:tc>
                <w:tcPr>
                  <w:tcW w:w="671" w:type="pct"/>
                  <w:shd w:val="clear" w:color="auto" w:fill="auto"/>
                  <w:noWrap w:val="0"/>
                  <w:vAlign w:val="center"/>
                </w:tcPr>
                <w:p w14:paraId="0D48D27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kern w:val="2"/>
                      <w:sz w:val="21"/>
                      <w:szCs w:val="21"/>
                      <w:lang w:val="en-US" w:eastAsia="zh-CN" w:bidi="ar-SA"/>
                    </w:rPr>
                  </w:pPr>
                  <w:r>
                    <w:rPr>
                      <w:rFonts w:hint="eastAsia"/>
                      <w:color w:val="auto"/>
                      <w:szCs w:val="21"/>
                      <w:lang w:val="en-US" w:eastAsia="zh-CN"/>
                    </w:rPr>
                    <w:t>等离子切割机</w:t>
                  </w:r>
                </w:p>
              </w:tc>
              <w:tc>
                <w:tcPr>
                  <w:tcW w:w="181" w:type="pct"/>
                  <w:shd w:val="clear" w:color="auto" w:fill="auto"/>
                  <w:noWrap w:val="0"/>
                  <w:vAlign w:val="center"/>
                </w:tcPr>
                <w:p w14:paraId="2B6CA56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436" w:type="pct"/>
                  <w:shd w:val="clear" w:color="auto" w:fill="auto"/>
                  <w:noWrap w:val="0"/>
                  <w:vAlign w:val="center"/>
                </w:tcPr>
                <w:p w14:paraId="409BABDF">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40" w:name="_Toc22891"/>
                  <w:r>
                    <w:rPr>
                      <w:rFonts w:hint="eastAsia" w:ascii="Times New Roman" w:hAnsi="Times New Roman" w:eastAsia="宋体" w:cs="Times New Roman"/>
                      <w:b w:val="0"/>
                      <w:bCs w:val="0"/>
                      <w:color w:val="auto"/>
                      <w:sz w:val="21"/>
                      <w:szCs w:val="21"/>
                      <w:highlight w:val="none"/>
                      <w:vertAlign w:val="baseline"/>
                      <w:lang w:val="en-US" w:eastAsia="zh-CN"/>
                    </w:rPr>
                    <w:t>80</w:t>
                  </w:r>
                  <w:bookmarkEnd w:id="40"/>
                </w:p>
              </w:tc>
              <w:tc>
                <w:tcPr>
                  <w:tcW w:w="416" w:type="pct"/>
                  <w:vMerge w:val="restart"/>
                  <w:shd w:val="clear" w:color="auto" w:fill="auto"/>
                  <w:noWrap w:val="0"/>
                  <w:vAlign w:val="center"/>
                </w:tcPr>
                <w:p w14:paraId="026CC5E9">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41" w:name="_Toc32168"/>
                  <w:r>
                    <w:rPr>
                      <w:rFonts w:hint="default" w:ascii="Times New Roman" w:hAnsi="Times New Roman" w:eastAsia="宋体" w:cs="Times New Roman"/>
                      <w:b w:val="0"/>
                      <w:bCs w:val="0"/>
                      <w:color w:val="auto"/>
                      <w:sz w:val="21"/>
                      <w:szCs w:val="21"/>
                      <w:highlight w:val="none"/>
                      <w:vertAlign w:val="baseline"/>
                      <w:lang w:val="en-US" w:eastAsia="zh-CN"/>
                    </w:rPr>
                    <w:t>基础减振、墙体 隔声、距离 衰减</w:t>
                  </w:r>
                  <w:bookmarkEnd w:id="41"/>
                </w:p>
              </w:tc>
              <w:tc>
                <w:tcPr>
                  <w:tcW w:w="235" w:type="pct"/>
                  <w:shd w:val="clear" w:color="auto" w:fill="auto"/>
                  <w:noWrap w:val="0"/>
                  <w:vAlign w:val="center"/>
                </w:tcPr>
                <w:p w14:paraId="2AFFF0E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35</w:t>
                  </w:r>
                </w:p>
              </w:tc>
              <w:tc>
                <w:tcPr>
                  <w:tcW w:w="235" w:type="pct"/>
                  <w:shd w:val="clear" w:color="auto" w:fill="auto"/>
                  <w:noWrap w:val="0"/>
                  <w:vAlign w:val="center"/>
                </w:tcPr>
                <w:p w14:paraId="3D8D6D7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186</w:t>
                  </w:r>
                </w:p>
              </w:tc>
              <w:tc>
                <w:tcPr>
                  <w:tcW w:w="235" w:type="pct"/>
                  <w:shd w:val="clear" w:color="auto" w:fill="auto"/>
                  <w:noWrap w:val="0"/>
                  <w:vAlign w:val="center"/>
                </w:tcPr>
                <w:p w14:paraId="3F5248A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 xml:space="preserve">3.05 </w:t>
                  </w:r>
                </w:p>
              </w:tc>
              <w:tc>
                <w:tcPr>
                  <w:tcW w:w="877" w:type="dxa"/>
                  <w:shd w:val="clear" w:color="auto" w:fill="auto"/>
                  <w:noWrap w:val="0"/>
                  <w:vAlign w:val="center"/>
                </w:tcPr>
                <w:p w14:paraId="1130B5EB">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cs="Times New Roman"/>
                      <w:color w:val="auto"/>
                      <w:szCs w:val="21"/>
                      <w:lang w:val="en-US" w:eastAsia="zh-CN"/>
                    </w:rPr>
                    <w:t>3</w:t>
                  </w:r>
                  <w:r>
                    <w:rPr>
                      <w:rFonts w:hint="eastAsia" w:ascii="Times New Roman" w:hAnsi="宋体" w:eastAsia="宋体" w:cs="Times New Roman"/>
                      <w:color w:val="auto"/>
                      <w:szCs w:val="21"/>
                      <w:lang w:val="en-US" w:eastAsia="zh-CN"/>
                    </w:rPr>
                    <w:t>0.26</w:t>
                  </w:r>
                </w:p>
              </w:tc>
              <w:tc>
                <w:tcPr>
                  <w:tcW w:w="992" w:type="dxa"/>
                  <w:shd w:val="clear" w:color="auto" w:fill="auto"/>
                  <w:noWrap w:val="0"/>
                  <w:vAlign w:val="center"/>
                </w:tcPr>
                <w:p w14:paraId="209C2367">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76.15</w:t>
                  </w:r>
                </w:p>
              </w:tc>
              <w:tc>
                <w:tcPr>
                  <w:tcW w:w="259" w:type="pct"/>
                  <w:vMerge w:val="restart"/>
                  <w:shd w:val="clear" w:color="auto" w:fill="auto"/>
                  <w:noWrap w:val="0"/>
                  <w:vAlign w:val="center"/>
                </w:tcPr>
                <w:p w14:paraId="2BCA0C89">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42" w:name="_Toc23594"/>
                  <w:r>
                    <w:rPr>
                      <w:rFonts w:hint="eastAsia" w:ascii="Times New Roman" w:hAnsi="Times New Roman" w:eastAsia="宋体" w:cs="Times New Roman"/>
                      <w:b w:val="0"/>
                      <w:bCs w:val="0"/>
                      <w:color w:val="auto"/>
                      <w:sz w:val="21"/>
                      <w:szCs w:val="21"/>
                      <w:highlight w:val="none"/>
                      <w:vertAlign w:val="baseline"/>
                      <w:lang w:val="en-US" w:eastAsia="zh-CN"/>
                    </w:rPr>
                    <w:t>昼间</w:t>
                  </w:r>
                  <w:bookmarkEnd w:id="42"/>
                </w:p>
              </w:tc>
              <w:tc>
                <w:tcPr>
                  <w:tcW w:w="426" w:type="pct"/>
                  <w:shd w:val="clear" w:color="auto" w:fill="auto"/>
                  <w:noWrap w:val="0"/>
                  <w:vAlign w:val="center"/>
                </w:tcPr>
                <w:p w14:paraId="2D6460B7">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43" w:name="_Toc14821"/>
                  <w:r>
                    <w:rPr>
                      <w:rFonts w:hint="eastAsia" w:ascii="Times New Roman" w:hAnsi="Times New Roman" w:eastAsia="宋体" w:cs="Times New Roman"/>
                      <w:b w:val="0"/>
                      <w:bCs w:val="0"/>
                      <w:color w:val="auto"/>
                      <w:sz w:val="21"/>
                      <w:szCs w:val="21"/>
                      <w:highlight w:val="none"/>
                      <w:vertAlign w:val="baseline"/>
                      <w:lang w:val="en-US" w:eastAsia="zh-CN"/>
                    </w:rPr>
                    <w:t>20</w:t>
                  </w:r>
                  <w:bookmarkEnd w:id="43"/>
                </w:p>
              </w:tc>
              <w:tc>
                <w:tcPr>
                  <w:tcW w:w="1027" w:type="dxa"/>
                  <w:shd w:val="clear" w:color="auto" w:fill="auto"/>
                  <w:noWrap w:val="0"/>
                  <w:vAlign w:val="center"/>
                </w:tcPr>
                <w:p w14:paraId="69F5FC7C">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44" w:name="_Toc25631"/>
                  <w:r>
                    <w:rPr>
                      <w:rFonts w:hint="eastAsia" w:ascii="Times New Roman" w:hAnsi="Times New Roman" w:eastAsia="宋体" w:cs="Times New Roman"/>
                      <w:b w:val="0"/>
                      <w:bCs w:val="0"/>
                      <w:color w:val="auto"/>
                      <w:sz w:val="21"/>
                      <w:szCs w:val="21"/>
                      <w:highlight w:val="none"/>
                      <w:vertAlign w:val="baseline"/>
                      <w:lang w:val="en-US" w:eastAsia="zh-CN"/>
                    </w:rPr>
                    <w:t>50.13</w:t>
                  </w:r>
                  <w:bookmarkEnd w:id="44"/>
                  <w:r>
                    <w:rPr>
                      <w:rFonts w:hint="eastAsia" w:ascii="Times New Roman" w:hAnsi="Times New Roman" w:eastAsia="宋体" w:cs="Times New Roman"/>
                      <w:b w:val="0"/>
                      <w:bCs w:val="0"/>
                      <w:color w:val="auto"/>
                      <w:sz w:val="21"/>
                      <w:szCs w:val="21"/>
                      <w:highlight w:val="none"/>
                      <w:vertAlign w:val="baseline"/>
                      <w:lang w:val="en-US" w:eastAsia="zh-CN"/>
                    </w:rPr>
                    <w:t xml:space="preserve"> </w:t>
                  </w:r>
                </w:p>
              </w:tc>
              <w:tc>
                <w:tcPr>
                  <w:tcW w:w="431" w:type="pct"/>
                  <w:shd w:val="clear" w:color="auto" w:fill="auto"/>
                  <w:noWrap w:val="0"/>
                  <w:vAlign w:val="center"/>
                </w:tcPr>
                <w:p w14:paraId="629FD4DE">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45" w:name="_Toc19876"/>
                  <w:r>
                    <w:rPr>
                      <w:rFonts w:hint="eastAsia" w:ascii="Times New Roman" w:hAnsi="Times New Roman" w:eastAsia="宋体" w:cs="Times New Roman"/>
                      <w:b w:val="0"/>
                      <w:bCs w:val="0"/>
                      <w:color w:val="auto"/>
                      <w:sz w:val="21"/>
                      <w:szCs w:val="21"/>
                      <w:highlight w:val="none"/>
                      <w:vertAlign w:val="baseline"/>
                      <w:lang w:val="en-US" w:eastAsia="zh-CN"/>
                    </w:rPr>
                    <w:t>1</w:t>
                  </w:r>
                  <w:bookmarkEnd w:id="45"/>
                </w:p>
              </w:tc>
            </w:tr>
            <w:tr w14:paraId="7BD5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332" w:type="pct"/>
                  <w:vMerge w:val="continue"/>
                  <w:shd w:val="clear" w:color="auto" w:fill="auto"/>
                  <w:noWrap w:val="0"/>
                  <w:vAlign w:val="center"/>
                </w:tcPr>
                <w:p w14:paraId="0DDA5675">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671" w:type="pct"/>
                  <w:shd w:val="clear" w:color="auto" w:fill="auto"/>
                  <w:noWrap w:val="0"/>
                  <w:vAlign w:val="center"/>
                </w:tcPr>
                <w:p w14:paraId="12AC4734">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kern w:val="2"/>
                      <w:sz w:val="21"/>
                      <w:szCs w:val="21"/>
                      <w:lang w:val="en-US" w:eastAsia="zh-CN" w:bidi="ar-SA"/>
                    </w:rPr>
                  </w:pPr>
                  <w:r>
                    <w:rPr>
                      <w:rFonts w:hint="eastAsia"/>
                      <w:color w:val="auto"/>
                      <w:szCs w:val="21"/>
                      <w:lang w:val="en-US" w:eastAsia="zh-CN"/>
                    </w:rPr>
                    <w:t>二氧化碳保护焊</w:t>
                  </w:r>
                </w:p>
              </w:tc>
              <w:tc>
                <w:tcPr>
                  <w:tcW w:w="181" w:type="pct"/>
                  <w:shd w:val="clear" w:color="auto" w:fill="auto"/>
                  <w:noWrap w:val="0"/>
                  <w:vAlign w:val="center"/>
                </w:tcPr>
                <w:p w14:paraId="1CBB379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436" w:type="pct"/>
                  <w:shd w:val="clear" w:color="auto" w:fill="auto"/>
                  <w:noWrap w:val="0"/>
                  <w:vAlign w:val="center"/>
                </w:tcPr>
                <w:p w14:paraId="3FF736AC">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46" w:name="_Toc301"/>
                  <w:r>
                    <w:rPr>
                      <w:rFonts w:hint="eastAsia" w:ascii="Times New Roman" w:hAnsi="Times New Roman" w:eastAsia="宋体" w:cs="Times New Roman"/>
                      <w:b w:val="0"/>
                      <w:bCs w:val="0"/>
                      <w:color w:val="auto"/>
                      <w:sz w:val="21"/>
                      <w:szCs w:val="21"/>
                      <w:highlight w:val="none"/>
                      <w:vertAlign w:val="baseline"/>
                      <w:lang w:val="en-US" w:eastAsia="zh-CN"/>
                    </w:rPr>
                    <w:t>80</w:t>
                  </w:r>
                  <w:bookmarkEnd w:id="46"/>
                </w:p>
              </w:tc>
              <w:tc>
                <w:tcPr>
                  <w:tcW w:w="416" w:type="pct"/>
                  <w:vMerge w:val="continue"/>
                  <w:shd w:val="clear" w:color="auto" w:fill="auto"/>
                  <w:noWrap w:val="0"/>
                  <w:vAlign w:val="center"/>
                </w:tcPr>
                <w:p w14:paraId="774092AA">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235" w:type="pct"/>
                  <w:shd w:val="clear" w:color="auto" w:fill="auto"/>
                  <w:noWrap w:val="0"/>
                  <w:vAlign w:val="center"/>
                </w:tcPr>
                <w:p w14:paraId="683A665A">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39</w:t>
                  </w:r>
                </w:p>
              </w:tc>
              <w:tc>
                <w:tcPr>
                  <w:tcW w:w="235" w:type="pct"/>
                  <w:shd w:val="clear" w:color="auto" w:fill="auto"/>
                  <w:noWrap w:val="0"/>
                  <w:vAlign w:val="center"/>
                </w:tcPr>
                <w:p w14:paraId="3AFECEC3">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210</w:t>
                  </w:r>
                </w:p>
              </w:tc>
              <w:tc>
                <w:tcPr>
                  <w:tcW w:w="235" w:type="pct"/>
                  <w:shd w:val="clear" w:color="auto" w:fill="auto"/>
                  <w:noWrap w:val="0"/>
                  <w:vAlign w:val="center"/>
                </w:tcPr>
                <w:p w14:paraId="206CD594">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 xml:space="preserve">3.00 </w:t>
                  </w:r>
                </w:p>
              </w:tc>
              <w:tc>
                <w:tcPr>
                  <w:tcW w:w="877" w:type="dxa"/>
                  <w:shd w:val="clear" w:color="auto" w:fill="auto"/>
                  <w:noWrap w:val="0"/>
                  <w:vAlign w:val="center"/>
                </w:tcPr>
                <w:p w14:paraId="605ADD56">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cs="Times New Roman"/>
                      <w:color w:val="auto"/>
                      <w:szCs w:val="21"/>
                      <w:lang w:val="en-US" w:eastAsia="zh-CN"/>
                    </w:rPr>
                    <w:t>3</w:t>
                  </w:r>
                  <w:r>
                    <w:rPr>
                      <w:rFonts w:hint="eastAsia" w:ascii="Times New Roman" w:hAnsi="宋体" w:eastAsia="宋体" w:cs="Times New Roman"/>
                      <w:color w:val="auto"/>
                      <w:szCs w:val="21"/>
                      <w:lang w:val="en-US" w:eastAsia="zh-CN"/>
                    </w:rPr>
                    <w:t>0.26</w:t>
                  </w:r>
                </w:p>
              </w:tc>
              <w:tc>
                <w:tcPr>
                  <w:tcW w:w="992" w:type="dxa"/>
                  <w:shd w:val="clear" w:color="auto" w:fill="auto"/>
                  <w:noWrap w:val="0"/>
                  <w:vAlign w:val="center"/>
                </w:tcPr>
                <w:p w14:paraId="006B3D7D">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76.15</w:t>
                  </w:r>
                </w:p>
              </w:tc>
              <w:tc>
                <w:tcPr>
                  <w:tcW w:w="259" w:type="pct"/>
                  <w:vMerge w:val="continue"/>
                  <w:shd w:val="clear" w:color="auto" w:fill="auto"/>
                  <w:noWrap w:val="0"/>
                  <w:vAlign w:val="center"/>
                </w:tcPr>
                <w:p w14:paraId="3C29C61D">
                  <w:pPr>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426" w:type="pct"/>
                  <w:shd w:val="clear" w:color="auto" w:fill="auto"/>
                  <w:noWrap w:val="0"/>
                  <w:vAlign w:val="center"/>
                </w:tcPr>
                <w:p w14:paraId="137F3A20">
                  <w:pPr>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20</w:t>
                  </w:r>
                </w:p>
              </w:tc>
              <w:tc>
                <w:tcPr>
                  <w:tcW w:w="1027" w:type="dxa"/>
                  <w:shd w:val="clear" w:color="auto" w:fill="auto"/>
                  <w:noWrap w:val="0"/>
                  <w:vAlign w:val="center"/>
                </w:tcPr>
                <w:p w14:paraId="64DC464B">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47" w:name="_Toc23608"/>
                  <w:r>
                    <w:rPr>
                      <w:rFonts w:hint="eastAsia" w:ascii="Times New Roman" w:hAnsi="Times New Roman" w:eastAsia="宋体" w:cs="Times New Roman"/>
                      <w:b w:val="0"/>
                      <w:bCs w:val="0"/>
                      <w:color w:val="auto"/>
                      <w:sz w:val="21"/>
                      <w:szCs w:val="21"/>
                      <w:highlight w:val="none"/>
                      <w:vertAlign w:val="baseline"/>
                      <w:lang w:val="en-US" w:eastAsia="zh-CN"/>
                    </w:rPr>
                    <w:t>50.13</w:t>
                  </w:r>
                  <w:bookmarkEnd w:id="47"/>
                  <w:r>
                    <w:rPr>
                      <w:rFonts w:hint="eastAsia" w:ascii="Times New Roman" w:hAnsi="Times New Roman" w:eastAsia="宋体" w:cs="Times New Roman"/>
                      <w:b w:val="0"/>
                      <w:bCs w:val="0"/>
                      <w:color w:val="auto"/>
                      <w:sz w:val="21"/>
                      <w:szCs w:val="21"/>
                      <w:highlight w:val="none"/>
                      <w:vertAlign w:val="baseline"/>
                      <w:lang w:val="en-US" w:eastAsia="zh-CN"/>
                    </w:rPr>
                    <w:t xml:space="preserve"> </w:t>
                  </w:r>
                </w:p>
              </w:tc>
              <w:tc>
                <w:tcPr>
                  <w:tcW w:w="431" w:type="pct"/>
                  <w:shd w:val="clear" w:color="auto" w:fill="auto"/>
                  <w:noWrap w:val="0"/>
                  <w:vAlign w:val="center"/>
                </w:tcPr>
                <w:p w14:paraId="109F5D1A">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48" w:name="_Toc22612"/>
                  <w:r>
                    <w:rPr>
                      <w:rFonts w:hint="eastAsia" w:ascii="Times New Roman" w:hAnsi="Times New Roman" w:eastAsia="宋体" w:cs="Times New Roman"/>
                      <w:b w:val="0"/>
                      <w:bCs w:val="0"/>
                      <w:color w:val="auto"/>
                      <w:sz w:val="21"/>
                      <w:szCs w:val="21"/>
                      <w:highlight w:val="none"/>
                      <w:vertAlign w:val="baseline"/>
                      <w:lang w:val="en-US" w:eastAsia="zh-CN"/>
                    </w:rPr>
                    <w:t>1</w:t>
                  </w:r>
                  <w:bookmarkEnd w:id="48"/>
                </w:p>
              </w:tc>
            </w:tr>
            <w:tr w14:paraId="1E0B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32" w:type="pct"/>
                  <w:vMerge w:val="continue"/>
                  <w:shd w:val="clear" w:color="auto" w:fill="auto"/>
                  <w:noWrap w:val="0"/>
                  <w:vAlign w:val="center"/>
                </w:tcPr>
                <w:p w14:paraId="26386A8D">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671" w:type="pct"/>
                  <w:shd w:val="clear" w:color="auto" w:fill="auto"/>
                  <w:noWrap w:val="0"/>
                  <w:vAlign w:val="center"/>
                </w:tcPr>
                <w:p w14:paraId="673513C8">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kern w:val="2"/>
                      <w:sz w:val="21"/>
                      <w:szCs w:val="21"/>
                      <w:lang w:val="en-US" w:eastAsia="zh-CN" w:bidi="ar-SA"/>
                    </w:rPr>
                  </w:pPr>
                  <w:r>
                    <w:rPr>
                      <w:rFonts w:hint="eastAsia"/>
                      <w:color w:val="auto"/>
                      <w:szCs w:val="21"/>
                      <w:lang w:val="en-US" w:eastAsia="zh-CN"/>
                    </w:rPr>
                    <w:t>激光焊机</w:t>
                  </w:r>
                </w:p>
              </w:tc>
              <w:tc>
                <w:tcPr>
                  <w:tcW w:w="181" w:type="pct"/>
                  <w:shd w:val="clear" w:color="auto" w:fill="auto"/>
                  <w:noWrap w:val="0"/>
                  <w:vAlign w:val="center"/>
                </w:tcPr>
                <w:p w14:paraId="5D5A209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436" w:type="pct"/>
                  <w:shd w:val="clear" w:color="auto" w:fill="auto"/>
                  <w:noWrap w:val="0"/>
                  <w:vAlign w:val="center"/>
                </w:tcPr>
                <w:p w14:paraId="23358AA2">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49" w:name="_Toc12725"/>
                  <w:r>
                    <w:rPr>
                      <w:rFonts w:hint="eastAsia" w:ascii="Times New Roman" w:hAnsi="Times New Roman" w:eastAsia="宋体" w:cs="Times New Roman"/>
                      <w:b w:val="0"/>
                      <w:bCs w:val="0"/>
                      <w:color w:val="auto"/>
                      <w:sz w:val="21"/>
                      <w:szCs w:val="21"/>
                      <w:highlight w:val="none"/>
                      <w:vertAlign w:val="baseline"/>
                      <w:lang w:val="en-US" w:eastAsia="zh-CN"/>
                    </w:rPr>
                    <w:t>80</w:t>
                  </w:r>
                  <w:bookmarkEnd w:id="49"/>
                </w:p>
              </w:tc>
              <w:tc>
                <w:tcPr>
                  <w:tcW w:w="416" w:type="pct"/>
                  <w:vMerge w:val="continue"/>
                  <w:shd w:val="clear" w:color="auto" w:fill="auto"/>
                  <w:noWrap w:val="0"/>
                  <w:vAlign w:val="center"/>
                </w:tcPr>
                <w:p w14:paraId="461237D8">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235" w:type="pct"/>
                  <w:shd w:val="clear" w:color="auto" w:fill="auto"/>
                  <w:noWrap w:val="0"/>
                  <w:vAlign w:val="center"/>
                </w:tcPr>
                <w:p w14:paraId="765E8B21">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50</w:t>
                  </w:r>
                </w:p>
              </w:tc>
              <w:tc>
                <w:tcPr>
                  <w:tcW w:w="235" w:type="pct"/>
                  <w:shd w:val="clear" w:color="auto" w:fill="auto"/>
                  <w:noWrap w:val="0"/>
                  <w:vAlign w:val="center"/>
                </w:tcPr>
                <w:p w14:paraId="4B0200EB">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272</w:t>
                  </w:r>
                </w:p>
              </w:tc>
              <w:tc>
                <w:tcPr>
                  <w:tcW w:w="235" w:type="pct"/>
                  <w:shd w:val="clear" w:color="auto" w:fill="auto"/>
                  <w:noWrap w:val="0"/>
                  <w:vAlign w:val="center"/>
                </w:tcPr>
                <w:p w14:paraId="2F07FB19">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 xml:space="preserve">2.92 </w:t>
                  </w:r>
                </w:p>
              </w:tc>
              <w:tc>
                <w:tcPr>
                  <w:tcW w:w="877" w:type="dxa"/>
                  <w:shd w:val="clear" w:color="auto" w:fill="auto"/>
                  <w:noWrap w:val="0"/>
                  <w:vAlign w:val="center"/>
                </w:tcPr>
                <w:p w14:paraId="5DE3B390">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cs="Times New Roman"/>
                      <w:color w:val="auto"/>
                      <w:szCs w:val="21"/>
                      <w:lang w:val="en-US" w:eastAsia="zh-CN"/>
                    </w:rPr>
                    <w:t>3</w:t>
                  </w:r>
                  <w:r>
                    <w:rPr>
                      <w:rFonts w:hint="eastAsia" w:ascii="Times New Roman" w:hAnsi="宋体" w:eastAsia="宋体" w:cs="Times New Roman"/>
                      <w:color w:val="auto"/>
                      <w:szCs w:val="21"/>
                      <w:lang w:val="en-US" w:eastAsia="zh-CN"/>
                    </w:rPr>
                    <w:t>0.26</w:t>
                  </w:r>
                </w:p>
              </w:tc>
              <w:tc>
                <w:tcPr>
                  <w:tcW w:w="992" w:type="dxa"/>
                  <w:shd w:val="clear" w:color="auto" w:fill="auto"/>
                  <w:noWrap w:val="0"/>
                  <w:vAlign w:val="center"/>
                </w:tcPr>
                <w:p w14:paraId="3EFD876C">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76.15</w:t>
                  </w:r>
                </w:p>
              </w:tc>
              <w:tc>
                <w:tcPr>
                  <w:tcW w:w="259" w:type="pct"/>
                  <w:vMerge w:val="continue"/>
                  <w:shd w:val="clear" w:color="auto" w:fill="auto"/>
                  <w:noWrap w:val="0"/>
                  <w:vAlign w:val="center"/>
                </w:tcPr>
                <w:p w14:paraId="75D9D8CB">
                  <w:pPr>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426" w:type="pct"/>
                  <w:shd w:val="clear" w:color="auto" w:fill="auto"/>
                  <w:noWrap w:val="0"/>
                  <w:vAlign w:val="center"/>
                </w:tcPr>
                <w:p w14:paraId="0E6230AB">
                  <w:pPr>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20</w:t>
                  </w:r>
                </w:p>
              </w:tc>
              <w:tc>
                <w:tcPr>
                  <w:tcW w:w="1027" w:type="dxa"/>
                  <w:shd w:val="clear" w:color="auto" w:fill="auto"/>
                  <w:noWrap w:val="0"/>
                  <w:vAlign w:val="center"/>
                </w:tcPr>
                <w:p w14:paraId="113926F2">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50" w:name="_Toc7205"/>
                  <w:r>
                    <w:rPr>
                      <w:rFonts w:hint="eastAsia" w:ascii="Times New Roman" w:hAnsi="Times New Roman" w:eastAsia="宋体" w:cs="Times New Roman"/>
                      <w:b w:val="0"/>
                      <w:bCs w:val="0"/>
                      <w:color w:val="auto"/>
                      <w:sz w:val="21"/>
                      <w:szCs w:val="21"/>
                      <w:highlight w:val="none"/>
                      <w:vertAlign w:val="baseline"/>
                      <w:lang w:val="en-US" w:eastAsia="zh-CN"/>
                    </w:rPr>
                    <w:t>50.13</w:t>
                  </w:r>
                  <w:bookmarkEnd w:id="50"/>
                  <w:r>
                    <w:rPr>
                      <w:rFonts w:hint="eastAsia" w:ascii="Times New Roman" w:hAnsi="Times New Roman" w:eastAsia="宋体" w:cs="Times New Roman"/>
                      <w:b w:val="0"/>
                      <w:bCs w:val="0"/>
                      <w:color w:val="auto"/>
                      <w:sz w:val="21"/>
                      <w:szCs w:val="21"/>
                      <w:highlight w:val="none"/>
                      <w:vertAlign w:val="baseline"/>
                      <w:lang w:val="en-US" w:eastAsia="zh-CN"/>
                    </w:rPr>
                    <w:t xml:space="preserve"> </w:t>
                  </w:r>
                </w:p>
              </w:tc>
              <w:tc>
                <w:tcPr>
                  <w:tcW w:w="431" w:type="pct"/>
                  <w:shd w:val="clear" w:color="auto" w:fill="auto"/>
                  <w:noWrap w:val="0"/>
                  <w:vAlign w:val="center"/>
                </w:tcPr>
                <w:p w14:paraId="7FA0430E">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51" w:name="_Toc6667"/>
                  <w:r>
                    <w:rPr>
                      <w:rFonts w:hint="eastAsia" w:ascii="Times New Roman" w:hAnsi="Times New Roman" w:eastAsia="宋体" w:cs="Times New Roman"/>
                      <w:b w:val="0"/>
                      <w:bCs w:val="0"/>
                      <w:color w:val="auto"/>
                      <w:sz w:val="21"/>
                      <w:szCs w:val="21"/>
                      <w:highlight w:val="none"/>
                      <w:vertAlign w:val="baseline"/>
                      <w:lang w:val="en-US" w:eastAsia="zh-CN"/>
                    </w:rPr>
                    <w:t>1</w:t>
                  </w:r>
                  <w:bookmarkEnd w:id="51"/>
                </w:p>
              </w:tc>
            </w:tr>
            <w:tr w14:paraId="3AA7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 w:hRule="atLeast"/>
              </w:trPr>
              <w:tc>
                <w:tcPr>
                  <w:tcW w:w="332" w:type="pct"/>
                  <w:vMerge w:val="continue"/>
                  <w:shd w:val="clear" w:color="auto" w:fill="auto"/>
                  <w:noWrap w:val="0"/>
                  <w:vAlign w:val="center"/>
                </w:tcPr>
                <w:p w14:paraId="216CCC2E">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671" w:type="pct"/>
                  <w:shd w:val="clear" w:color="auto" w:fill="auto"/>
                  <w:noWrap w:val="0"/>
                  <w:vAlign w:val="center"/>
                </w:tcPr>
                <w:p w14:paraId="3CB9612A">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kern w:val="2"/>
                      <w:sz w:val="21"/>
                      <w:szCs w:val="21"/>
                      <w:lang w:val="en-US" w:eastAsia="zh-CN" w:bidi="ar-SA"/>
                    </w:rPr>
                  </w:pPr>
                  <w:r>
                    <w:rPr>
                      <w:rFonts w:hint="eastAsia"/>
                      <w:color w:val="auto"/>
                      <w:szCs w:val="21"/>
                      <w:lang w:val="en-US" w:eastAsia="zh-CN"/>
                    </w:rPr>
                    <w:t>机器人焊机</w:t>
                  </w:r>
                </w:p>
              </w:tc>
              <w:tc>
                <w:tcPr>
                  <w:tcW w:w="181" w:type="pct"/>
                  <w:shd w:val="clear" w:color="auto" w:fill="auto"/>
                  <w:noWrap w:val="0"/>
                  <w:vAlign w:val="center"/>
                </w:tcPr>
                <w:p w14:paraId="7EFF069A">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436" w:type="pct"/>
                  <w:shd w:val="clear" w:color="auto" w:fill="auto"/>
                  <w:noWrap w:val="0"/>
                  <w:vAlign w:val="center"/>
                </w:tcPr>
                <w:p w14:paraId="4350AD27">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52" w:name="_Toc17896"/>
                  <w:r>
                    <w:rPr>
                      <w:rFonts w:hint="eastAsia" w:ascii="Times New Roman" w:hAnsi="Times New Roman" w:eastAsia="宋体" w:cs="Times New Roman"/>
                      <w:b w:val="0"/>
                      <w:bCs w:val="0"/>
                      <w:color w:val="auto"/>
                      <w:sz w:val="21"/>
                      <w:szCs w:val="21"/>
                      <w:highlight w:val="none"/>
                      <w:vertAlign w:val="baseline"/>
                      <w:lang w:val="en-US" w:eastAsia="zh-CN"/>
                    </w:rPr>
                    <w:t>80</w:t>
                  </w:r>
                  <w:bookmarkEnd w:id="52"/>
                </w:p>
              </w:tc>
              <w:tc>
                <w:tcPr>
                  <w:tcW w:w="416" w:type="pct"/>
                  <w:vMerge w:val="continue"/>
                  <w:shd w:val="clear" w:color="auto" w:fill="auto"/>
                  <w:noWrap w:val="0"/>
                  <w:vAlign w:val="center"/>
                </w:tcPr>
                <w:p w14:paraId="2B029389">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235" w:type="pct"/>
                  <w:shd w:val="clear" w:color="auto" w:fill="auto"/>
                  <w:noWrap w:val="0"/>
                  <w:vAlign w:val="center"/>
                </w:tcPr>
                <w:p w14:paraId="265B6B1E">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64</w:t>
                  </w:r>
                </w:p>
              </w:tc>
              <w:tc>
                <w:tcPr>
                  <w:tcW w:w="235" w:type="pct"/>
                  <w:shd w:val="clear" w:color="auto" w:fill="auto"/>
                  <w:noWrap w:val="0"/>
                  <w:vAlign w:val="center"/>
                </w:tcPr>
                <w:p w14:paraId="10E5B162">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274</w:t>
                  </w:r>
                </w:p>
              </w:tc>
              <w:tc>
                <w:tcPr>
                  <w:tcW w:w="235" w:type="pct"/>
                  <w:shd w:val="clear" w:color="auto" w:fill="auto"/>
                  <w:noWrap w:val="0"/>
                  <w:vAlign w:val="center"/>
                </w:tcPr>
                <w:p w14:paraId="73B42DFD">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2.72</w:t>
                  </w:r>
                </w:p>
              </w:tc>
              <w:tc>
                <w:tcPr>
                  <w:tcW w:w="877" w:type="dxa"/>
                  <w:shd w:val="clear" w:color="auto" w:fill="auto"/>
                  <w:noWrap w:val="0"/>
                  <w:vAlign w:val="center"/>
                </w:tcPr>
                <w:p w14:paraId="6E824940">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cs="Times New Roman"/>
                      <w:color w:val="auto"/>
                      <w:szCs w:val="21"/>
                      <w:lang w:val="en-US" w:eastAsia="zh-CN"/>
                    </w:rPr>
                    <w:t>3</w:t>
                  </w:r>
                  <w:r>
                    <w:rPr>
                      <w:rFonts w:hint="eastAsia" w:ascii="Times New Roman" w:hAnsi="宋体" w:eastAsia="宋体" w:cs="Times New Roman"/>
                      <w:color w:val="auto"/>
                      <w:szCs w:val="21"/>
                      <w:lang w:val="en-US" w:eastAsia="zh-CN"/>
                    </w:rPr>
                    <w:t>0.26</w:t>
                  </w:r>
                </w:p>
              </w:tc>
              <w:tc>
                <w:tcPr>
                  <w:tcW w:w="992" w:type="dxa"/>
                  <w:shd w:val="clear" w:color="auto" w:fill="auto"/>
                  <w:noWrap w:val="0"/>
                  <w:vAlign w:val="center"/>
                </w:tcPr>
                <w:p w14:paraId="354B4F95">
                  <w:pPr>
                    <w:pStyle w:val="56"/>
                    <w:keepNext w:val="0"/>
                    <w:pageBreakBefore w:val="0"/>
                    <w:widowControl w:val="0"/>
                    <w:kinsoku/>
                    <w:wordWrap/>
                    <w:overflowPunct/>
                    <w:topLinePunct w:val="0"/>
                    <w:autoSpaceDE/>
                    <w:autoSpaceDN/>
                    <w:bidi w:val="0"/>
                    <w:adjustRightInd/>
                    <w:snapToGrid/>
                    <w:spacing w:before="48" w:beforeLines="15" w:after="48" w:afterLines="15" w:line="240" w:lineRule="auto"/>
                    <w:textAlignment w:val="auto"/>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76.15</w:t>
                  </w:r>
                </w:p>
              </w:tc>
              <w:tc>
                <w:tcPr>
                  <w:tcW w:w="259" w:type="pct"/>
                  <w:vMerge w:val="continue"/>
                  <w:shd w:val="clear" w:color="auto" w:fill="auto"/>
                  <w:noWrap w:val="0"/>
                  <w:vAlign w:val="center"/>
                </w:tcPr>
                <w:p w14:paraId="5FF7692F">
                  <w:pPr>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426" w:type="pct"/>
                  <w:shd w:val="clear" w:color="auto" w:fill="auto"/>
                  <w:noWrap w:val="0"/>
                  <w:vAlign w:val="center"/>
                </w:tcPr>
                <w:p w14:paraId="5476A6D6">
                  <w:pPr>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20</w:t>
                  </w:r>
                </w:p>
              </w:tc>
              <w:tc>
                <w:tcPr>
                  <w:tcW w:w="1027" w:type="dxa"/>
                  <w:shd w:val="clear" w:color="auto" w:fill="auto"/>
                  <w:noWrap w:val="0"/>
                  <w:vAlign w:val="center"/>
                </w:tcPr>
                <w:p w14:paraId="4A51B70C">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53" w:name="_Toc31250"/>
                  <w:r>
                    <w:rPr>
                      <w:rFonts w:hint="eastAsia" w:ascii="Times New Roman" w:hAnsi="Times New Roman" w:eastAsia="宋体" w:cs="Times New Roman"/>
                      <w:b w:val="0"/>
                      <w:bCs w:val="0"/>
                      <w:color w:val="auto"/>
                      <w:sz w:val="21"/>
                      <w:szCs w:val="21"/>
                      <w:highlight w:val="none"/>
                      <w:vertAlign w:val="baseline"/>
                      <w:lang w:val="en-US" w:eastAsia="zh-CN"/>
                    </w:rPr>
                    <w:t>50.13</w:t>
                  </w:r>
                  <w:bookmarkEnd w:id="53"/>
                  <w:r>
                    <w:rPr>
                      <w:rFonts w:hint="eastAsia" w:ascii="Times New Roman" w:hAnsi="Times New Roman" w:eastAsia="宋体" w:cs="Times New Roman"/>
                      <w:b w:val="0"/>
                      <w:bCs w:val="0"/>
                      <w:color w:val="auto"/>
                      <w:sz w:val="21"/>
                      <w:szCs w:val="21"/>
                      <w:highlight w:val="none"/>
                      <w:vertAlign w:val="baseline"/>
                      <w:lang w:val="en-US" w:eastAsia="zh-CN"/>
                    </w:rPr>
                    <w:t xml:space="preserve"> </w:t>
                  </w:r>
                </w:p>
              </w:tc>
              <w:tc>
                <w:tcPr>
                  <w:tcW w:w="431" w:type="pct"/>
                  <w:shd w:val="clear" w:color="auto" w:fill="auto"/>
                  <w:noWrap w:val="0"/>
                  <w:vAlign w:val="center"/>
                </w:tcPr>
                <w:p w14:paraId="48F8EB4F">
                  <w:pPr>
                    <w:pStyle w:val="4"/>
                    <w:keepNext/>
                    <w:keepLines w:val="0"/>
                    <w:pageBreakBefore w:val="0"/>
                    <w:widowControl w:val="0"/>
                    <w:kinsoku/>
                    <w:wordWrap/>
                    <w:overflowPunct w:val="0"/>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bookmarkStart w:id="54" w:name="_Toc31999"/>
                  <w:r>
                    <w:rPr>
                      <w:rFonts w:hint="eastAsia" w:ascii="Times New Roman" w:hAnsi="Times New Roman" w:eastAsia="宋体" w:cs="Times New Roman"/>
                      <w:b w:val="0"/>
                      <w:bCs w:val="0"/>
                      <w:color w:val="auto"/>
                      <w:sz w:val="21"/>
                      <w:szCs w:val="21"/>
                      <w:highlight w:val="none"/>
                      <w:vertAlign w:val="baseline"/>
                      <w:lang w:val="en-US" w:eastAsia="zh-CN"/>
                    </w:rPr>
                    <w:t>1</w:t>
                  </w:r>
                  <w:bookmarkEnd w:id="54"/>
                </w:p>
              </w:tc>
            </w:tr>
          </w:tbl>
          <w:p w14:paraId="7106898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3.2 预测计算</w:t>
            </w:r>
          </w:p>
          <w:p w14:paraId="4B37BAA4">
            <w:pPr>
              <w:keepNext w:val="0"/>
              <w:keepLines w:val="0"/>
              <w:pageBreakBefore w:val="0"/>
              <w:widowControl w:val="0"/>
              <w:kinsoku/>
              <w:wordWrap/>
              <w:overflowPunct/>
              <w:topLinePunct w:val="0"/>
              <w:autoSpaceDE/>
              <w:autoSpaceDN/>
              <w:bidi w:val="0"/>
              <w:adjustRightInd/>
              <w:snapToGrid/>
              <w:spacing w:line="520" w:lineRule="exact"/>
              <w:ind w:lef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 声环境》（HJ</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2.4-20</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）要求，本次评价声环境质量预测范围为厂区四周</w:t>
            </w:r>
            <w:r>
              <w:rPr>
                <w:rFonts w:hint="default" w:ascii="Times New Roman" w:hAnsi="Times New Roman" w:eastAsia="宋体" w:cs="Times New Roman"/>
                <w:color w:val="auto"/>
                <w:sz w:val="24"/>
                <w:szCs w:val="24"/>
                <w:highlight w:val="none"/>
                <w:lang w:eastAsia="zh-CN"/>
              </w:rPr>
              <w:t>边界</w:t>
            </w:r>
            <w:r>
              <w:rPr>
                <w:rFonts w:hint="default" w:ascii="Times New Roman" w:hAnsi="Times New Roman" w:eastAsia="宋体" w:cs="Times New Roman"/>
                <w:color w:val="auto"/>
                <w:sz w:val="24"/>
                <w:szCs w:val="24"/>
                <w:highlight w:val="none"/>
              </w:rPr>
              <w:t>。本次评价在</w:t>
            </w:r>
            <w:r>
              <w:rPr>
                <w:rFonts w:hint="default" w:ascii="Times New Roman" w:hAnsi="Times New Roman" w:eastAsia="宋体" w:cs="Times New Roman"/>
                <w:color w:val="auto"/>
                <w:sz w:val="24"/>
                <w:szCs w:val="24"/>
                <w:highlight w:val="none"/>
                <w:lang w:eastAsia="zh-CN"/>
              </w:rPr>
              <w:t>边界四周</w:t>
            </w:r>
            <w:r>
              <w:rPr>
                <w:rFonts w:hint="default" w:ascii="Times New Roman" w:hAnsi="Times New Roman" w:eastAsia="宋体" w:cs="Times New Roman"/>
                <w:color w:val="auto"/>
                <w:sz w:val="24"/>
                <w:szCs w:val="24"/>
                <w:highlight w:val="none"/>
              </w:rPr>
              <w:t>各设1个预测点，</w:t>
            </w:r>
            <w:r>
              <w:rPr>
                <w:rFonts w:hint="default" w:ascii="Times New Roman" w:hAnsi="Times New Roman"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HJ</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2.4-2</w:t>
            </w:r>
            <w:r>
              <w:rPr>
                <w:rFonts w:hint="default" w:ascii="Times New Roman" w:hAnsi="Times New Roman" w:cs="Times New Roman"/>
                <w:color w:val="auto"/>
                <w:sz w:val="24"/>
                <w:szCs w:val="24"/>
                <w:highlight w:val="none"/>
                <w:lang w:val="en-US" w:eastAsia="zh-CN"/>
              </w:rPr>
              <w:t>021</w:t>
            </w:r>
            <w:r>
              <w:rPr>
                <w:rFonts w:hint="default" w:ascii="Times New Roman" w:hAnsi="Times New Roman" w:eastAsia="宋体" w:cs="Times New Roman"/>
                <w:color w:val="auto"/>
                <w:sz w:val="24"/>
                <w:szCs w:val="24"/>
                <w:highlight w:val="none"/>
              </w:rPr>
              <w:t>中声级预测模式进行预测。</w:t>
            </w:r>
          </w:p>
          <w:p w14:paraId="4C015A8F">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（1）预测条件假设</w:t>
            </w:r>
          </w:p>
          <w:p w14:paraId="71652C66">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①所有产噪设备均在正常工况条件下运行；</w:t>
            </w:r>
          </w:p>
          <w:p w14:paraId="6BC6D769">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②考虑室内声源所在</w:t>
            </w:r>
            <w:r>
              <w:rPr>
                <w:rFonts w:hint="default" w:ascii="Times New Roman" w:hAnsi="Times New Roman" w:eastAsia="宋体" w:cs="Times New Roman"/>
                <w:color w:val="auto"/>
                <w:sz w:val="24"/>
                <w:szCs w:val="24"/>
                <w:highlight w:val="none"/>
                <w:lang w:eastAsia="zh-CN"/>
              </w:rPr>
              <w:t>位置</w:t>
            </w:r>
            <w:r>
              <w:rPr>
                <w:rFonts w:hint="default" w:ascii="Times New Roman" w:hAnsi="Times New Roman" w:eastAsia="宋体" w:cs="Times New Roman"/>
                <w:color w:val="auto"/>
                <w:sz w:val="24"/>
                <w:szCs w:val="24"/>
                <w:highlight w:val="none"/>
              </w:rPr>
              <w:t>围护结构的隔声、吸声作用；</w:t>
            </w:r>
          </w:p>
          <w:p w14:paraId="03026F18">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③衰减仅考虑几何发散衰减，屏障衰减。</w:t>
            </w:r>
          </w:p>
          <w:p w14:paraId="1379E0AE">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（2）室内声源</w:t>
            </w:r>
          </w:p>
          <w:p w14:paraId="4F90A84E">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①如果已知声源的声压级L</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，且声源位于地面上，则</w:t>
            </w:r>
          </w:p>
          <w:p w14:paraId="01F504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506855" cy="312420"/>
                  <wp:effectExtent l="0" t="0" r="17145" b="1460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21"/>
                          <a:srcRect l="-764" t="-31200"/>
                          <a:stretch>
                            <a:fillRect/>
                          </a:stretch>
                        </pic:blipFill>
                        <pic:spPr>
                          <a:xfrm>
                            <a:off x="0" y="0"/>
                            <a:ext cx="1506855" cy="312420"/>
                          </a:xfrm>
                          <a:prstGeom prst="rect">
                            <a:avLst/>
                          </a:prstGeom>
                          <a:noFill/>
                          <a:ln>
                            <a:noFill/>
                          </a:ln>
                        </pic:spPr>
                      </pic:pic>
                    </a:graphicData>
                  </a:graphic>
                </wp:inline>
              </w:drawing>
            </w:r>
          </w:p>
          <w:p w14:paraId="7F24BD31">
            <w:pPr>
              <w:keepNext w:val="0"/>
              <w:keepLines w:val="0"/>
              <w:pageBreakBefore w:val="0"/>
              <w:widowControl w:val="0"/>
              <w:kinsoku/>
              <w:wordWrap/>
              <w:overflowPunct/>
              <w:topLinePunct w:val="0"/>
              <w:bidi w:val="0"/>
              <w:spacing w:line="520" w:lineRule="exact"/>
              <w:ind w:firstLine="480" w:firstLineChars="200"/>
              <w:jc w:val="left"/>
              <w:rPr>
                <w:rFonts w:hint="eastAsia"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sz w:val="24"/>
                <w:szCs w:val="24"/>
                <w:highlight w:val="none"/>
              </w:rPr>
              <w:t>②首先计算出某个室内声源靠近围护结构处的声压级：</w:t>
            </w:r>
          </w:p>
        </w:tc>
      </w:tr>
    </w:tbl>
    <w:p w14:paraId="5611FB4A">
      <w:pPr>
        <w:pStyle w:val="35"/>
        <w:rPr>
          <w:rFonts w:hint="default"/>
          <w:color w:val="auto"/>
        </w:rPr>
        <w:sectPr>
          <w:pgSz w:w="16840" w:h="11907" w:orient="landscape"/>
          <w:pgMar w:top="1440" w:right="1800" w:bottom="1440" w:left="1800" w:header="851" w:footer="851" w:gutter="0"/>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7913"/>
      </w:tblGrid>
      <w:tr w14:paraId="4CB3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9" w:hRule="atLeast"/>
        </w:trPr>
        <w:tc>
          <w:tcPr>
            <w:tcW w:w="610" w:type="dxa"/>
          </w:tcPr>
          <w:p w14:paraId="48D0666A">
            <w:pPr>
              <w:pStyle w:val="35"/>
              <w:rPr>
                <w:rFonts w:hint="default"/>
                <w:color w:val="auto"/>
                <w:vertAlign w:val="baseline"/>
              </w:rPr>
            </w:pPr>
          </w:p>
        </w:tc>
        <w:tc>
          <w:tcPr>
            <w:tcW w:w="7913" w:type="dxa"/>
          </w:tcPr>
          <w:p w14:paraId="1E078842">
            <w:pPr>
              <w:keepNext w:val="0"/>
              <w:keepLines w:val="0"/>
              <w:pageBreakBefore w:val="0"/>
              <w:widowControl w:val="0"/>
              <w:kinsoku/>
              <w:wordWrap/>
              <w:overflowPunct/>
              <w:topLinePunct w:val="0"/>
              <w:bidi w:val="0"/>
              <w:spacing w:line="240" w:lineRule="auto"/>
              <w:ind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2031365" cy="494030"/>
                  <wp:effectExtent l="0" t="0" r="6985" b="1270"/>
                  <wp:docPr id="1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8"/>
                          <pic:cNvPicPr>
                            <a:picLocks noChangeAspect="1"/>
                          </pic:cNvPicPr>
                        </pic:nvPicPr>
                        <pic:blipFill>
                          <a:blip r:embed="rId22"/>
                          <a:stretch>
                            <a:fillRect/>
                          </a:stretch>
                        </pic:blipFill>
                        <pic:spPr>
                          <a:xfrm>
                            <a:off x="0" y="0"/>
                            <a:ext cx="2031365" cy="494030"/>
                          </a:xfrm>
                          <a:prstGeom prst="rect">
                            <a:avLst/>
                          </a:prstGeom>
                          <a:noFill/>
                          <a:ln>
                            <a:noFill/>
                          </a:ln>
                        </pic:spPr>
                      </pic:pic>
                    </a:graphicData>
                  </a:graphic>
                </wp:inline>
              </w:drawing>
            </w:r>
          </w:p>
          <w:p w14:paraId="061FE1C7">
            <w:pPr>
              <w:keepNext w:val="0"/>
              <w:keepLines w:val="0"/>
              <w:pageBreakBefore w:val="0"/>
              <w:widowControl w:val="0"/>
              <w:kinsoku/>
              <w:wordWrap/>
              <w:overflowPunct/>
              <w:topLinePunct w:val="0"/>
              <w:bidi w:val="0"/>
              <w:spacing w:line="52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p1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某个室内声源靠近围护结构处的声压级。</w:t>
            </w:r>
          </w:p>
          <w:p w14:paraId="0114D28E">
            <w:pPr>
              <w:keepNext w:val="0"/>
              <w:keepLines w:val="0"/>
              <w:pageBreakBefore w:val="0"/>
              <w:widowControl w:val="0"/>
              <w:kinsoku/>
              <w:wordWrap/>
              <w:overflowPunct/>
              <w:topLinePunct w:val="0"/>
              <w:bidi w:val="0"/>
              <w:spacing w:line="520" w:lineRule="exact"/>
              <w:ind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w</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某个室内声源靠近围护结构处产生的声功率级。</w:t>
            </w:r>
          </w:p>
          <w:p w14:paraId="392B129D">
            <w:pPr>
              <w:keepNext w:val="0"/>
              <w:keepLines w:val="0"/>
              <w:pageBreakBefore w:val="0"/>
              <w:widowControl w:val="0"/>
              <w:kinsoku/>
              <w:wordWrap/>
              <w:overflowPunct/>
              <w:topLinePunct w:val="0"/>
              <w:autoSpaceDE/>
              <w:autoSpaceDN/>
              <w:bidi w:val="0"/>
              <w:adjustRightInd/>
              <w:snapToGrid/>
              <w:spacing w:line="520" w:lineRule="exact"/>
              <w:ind w:firstLine="720" w:firstLineChars="3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指向性因数；通常对无指向性声源，当声源放在房间中心时，Q=1；当放在一面墙的中心时，Q=2；当放在两面墙夹角处时，Q=4；当放在三面墙夹角处时，Q=8。</w:t>
            </w:r>
          </w:p>
          <w:p w14:paraId="1E0746F8">
            <w:pPr>
              <w:keepNext w:val="0"/>
              <w:keepLines w:val="0"/>
              <w:pageBreakBefore w:val="0"/>
              <w:widowControl w:val="0"/>
              <w:kinsoku/>
              <w:wordWrap/>
              <w:overflowPunct/>
              <w:topLinePunct w:val="0"/>
              <w:autoSpaceDE/>
              <w:autoSpaceDN/>
              <w:bidi w:val="0"/>
              <w:adjustRightInd/>
              <w:snapToGrid/>
              <w:spacing w:line="520" w:lineRule="exact"/>
              <w:ind w:firstLine="720" w:firstLineChars="3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房间常数；R=S</w:t>
            </w:r>
            <w:r>
              <w:rPr>
                <w:rFonts w:hint="default" w:ascii="Times New Roman" w:hAnsi="Times New Roman" w:eastAsia="宋体" w:cs="Times New Roman"/>
                <w:color w:val="auto"/>
                <w:sz w:val="24"/>
                <w:szCs w:val="24"/>
                <w:highlight w:val="none"/>
                <w:lang w:eastAsia="zh-CN"/>
              </w:rPr>
              <w:t>α</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α</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，S为房间内表面面积，m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α</w:t>
            </w:r>
            <w:r>
              <w:rPr>
                <w:rFonts w:hint="default" w:ascii="Times New Roman" w:hAnsi="Times New Roman" w:eastAsia="宋体" w:cs="Times New Roman"/>
                <w:color w:val="auto"/>
                <w:sz w:val="24"/>
                <w:szCs w:val="24"/>
                <w:highlight w:val="none"/>
              </w:rPr>
              <w:t>为平均吸声系数，本评价</w:t>
            </w:r>
            <w:r>
              <w:rPr>
                <w:rFonts w:hint="default" w:ascii="Times New Roman" w:hAnsi="Times New Roman" w:eastAsia="宋体" w:cs="Times New Roman"/>
                <w:color w:val="auto"/>
                <w:sz w:val="24"/>
                <w:szCs w:val="24"/>
                <w:highlight w:val="none"/>
                <w:lang w:eastAsia="zh-CN"/>
              </w:rPr>
              <w:t>α</w:t>
            </w:r>
            <w:r>
              <w:rPr>
                <w:rFonts w:hint="default" w:ascii="Times New Roman" w:hAnsi="Times New Roman" w:eastAsia="宋体" w:cs="Times New Roman"/>
                <w:color w:val="auto"/>
                <w:sz w:val="24"/>
                <w:szCs w:val="24"/>
                <w:highlight w:val="none"/>
              </w:rPr>
              <w:t>取0.15。</w:t>
            </w:r>
          </w:p>
          <w:p w14:paraId="30046786">
            <w:pPr>
              <w:keepNext w:val="0"/>
              <w:keepLines w:val="0"/>
              <w:pageBreakBefore w:val="0"/>
              <w:widowControl w:val="0"/>
              <w:kinsoku/>
              <w:wordWrap/>
              <w:overflowPunct/>
              <w:topLinePunct w:val="0"/>
              <w:autoSpaceDE/>
              <w:autoSpaceDN/>
              <w:bidi w:val="0"/>
              <w:adjustRightInd/>
              <w:snapToGrid/>
              <w:spacing w:line="520" w:lineRule="exact"/>
              <w:ind w:firstLine="720" w:firstLineChars="3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r</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声源到靠近围护结构某点处的距离，m。</w:t>
            </w:r>
          </w:p>
          <w:p w14:paraId="19A42A7E">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③计算出所有室内声源在围护结构处产生的总声压级：</w:t>
            </w:r>
          </w:p>
          <w:p w14:paraId="2442BBB3">
            <w:pPr>
              <w:keepNext w:val="0"/>
              <w:keepLines w:val="0"/>
              <w:pageBreakBefore w:val="0"/>
              <w:widowControl w:val="0"/>
              <w:kinsoku/>
              <w:wordWrap/>
              <w:overflowPunct/>
              <w:topLinePunct w:val="0"/>
              <w:bidi w:val="0"/>
              <w:spacing w:line="240" w:lineRule="auto"/>
              <w:ind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737360" cy="490220"/>
                  <wp:effectExtent l="0" t="0" r="15240" b="5080"/>
                  <wp:docPr id="1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9"/>
                          <pic:cNvPicPr>
                            <a:picLocks noChangeAspect="1"/>
                          </pic:cNvPicPr>
                        </pic:nvPicPr>
                        <pic:blipFill>
                          <a:blip r:embed="rId23"/>
                          <a:stretch>
                            <a:fillRect/>
                          </a:stretch>
                        </pic:blipFill>
                        <pic:spPr>
                          <a:xfrm>
                            <a:off x="0" y="0"/>
                            <a:ext cx="1737360" cy="490220"/>
                          </a:xfrm>
                          <a:prstGeom prst="rect">
                            <a:avLst/>
                          </a:prstGeom>
                          <a:noFill/>
                          <a:ln>
                            <a:noFill/>
                          </a:ln>
                        </pic:spPr>
                      </pic:pic>
                    </a:graphicData>
                  </a:graphic>
                </wp:inline>
              </w:drawing>
            </w:r>
          </w:p>
          <w:p w14:paraId="34DF72D7">
            <w:pPr>
              <w:keepNext w:val="0"/>
              <w:keepLines w:val="0"/>
              <w:pageBreakBefore w:val="0"/>
              <w:widowControl w:val="0"/>
              <w:kinsoku/>
              <w:wordWrap/>
              <w:overflowPunct/>
              <w:topLinePunct w:val="0"/>
              <w:bidi w:val="0"/>
              <w:spacing w:line="52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p1</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T</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靠近围护结构处室内N个声源的叠加声压级，dB</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157722FC">
            <w:pPr>
              <w:keepNext w:val="0"/>
              <w:keepLines w:val="0"/>
              <w:pageBreakBefore w:val="0"/>
              <w:widowControl w:val="0"/>
              <w:kinsoku/>
              <w:wordWrap/>
              <w:overflowPunct/>
              <w:topLinePunct w:val="0"/>
              <w:bidi w:val="0"/>
              <w:spacing w:line="520" w:lineRule="exact"/>
              <w:ind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p1.j</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j声源的声压级，dB</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19984C39">
            <w:pPr>
              <w:keepNext w:val="0"/>
              <w:keepLines w:val="0"/>
              <w:pageBreakBefore w:val="0"/>
              <w:widowControl w:val="0"/>
              <w:kinsoku/>
              <w:wordWrap/>
              <w:overflowPunct/>
              <w:topLinePunct w:val="0"/>
              <w:bidi w:val="0"/>
              <w:spacing w:line="520" w:lineRule="exact"/>
              <w:ind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rPr>
              <w:t>室内声源总数。</w:t>
            </w:r>
          </w:p>
          <w:p w14:paraId="5B40CE66">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④计算出室外靠近围护结构处的声压级：</w:t>
            </w:r>
          </w:p>
          <w:p w14:paraId="3F65A7DA">
            <w:pPr>
              <w:keepNext w:val="0"/>
              <w:keepLines w:val="0"/>
              <w:pageBreakBefore w:val="0"/>
              <w:widowControl w:val="0"/>
              <w:kinsoku/>
              <w:wordWrap/>
              <w:overflowPunct/>
              <w:topLinePunct w:val="0"/>
              <w:bidi w:val="0"/>
              <w:spacing w:line="240" w:lineRule="auto"/>
              <w:ind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593850" cy="306070"/>
                  <wp:effectExtent l="0" t="0" r="6350" b="17780"/>
                  <wp:docPr id="1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0"/>
                          <pic:cNvPicPr>
                            <a:picLocks noChangeAspect="1"/>
                          </pic:cNvPicPr>
                        </pic:nvPicPr>
                        <pic:blipFill>
                          <a:blip r:embed="rId24"/>
                          <a:stretch>
                            <a:fillRect/>
                          </a:stretch>
                        </pic:blipFill>
                        <pic:spPr>
                          <a:xfrm>
                            <a:off x="0" y="0"/>
                            <a:ext cx="1593850" cy="306070"/>
                          </a:xfrm>
                          <a:prstGeom prst="rect">
                            <a:avLst/>
                          </a:prstGeom>
                          <a:noFill/>
                          <a:ln>
                            <a:noFill/>
                          </a:ln>
                        </pic:spPr>
                      </pic:pic>
                    </a:graphicData>
                  </a:graphic>
                </wp:inline>
              </w:drawing>
            </w:r>
          </w:p>
          <w:p w14:paraId="111DA705">
            <w:pPr>
              <w:keepNext w:val="0"/>
              <w:keepLines w:val="0"/>
              <w:pageBreakBefore w:val="0"/>
              <w:widowControl w:val="0"/>
              <w:kinsoku/>
              <w:wordWrap/>
              <w:overflowPunct/>
              <w:topLinePunct w:val="0"/>
              <w:bidi w:val="0"/>
              <w:spacing w:line="52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p1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靠近开口处（或窗户）室内某倍频带的声压级或A声级，dB</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1B0CFD90">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靠近开口处（或窗户）室内某倍频带的声压级或A声级，dB</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6CF75121">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TL</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隔墙（或窗户）倍频带的声压级或A声级的隔声量，dB</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6260CB9F">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⑤将室外声级L</w:t>
            </w:r>
            <w:r>
              <w:rPr>
                <w:rFonts w:hint="default" w:ascii="Times New Roman" w:hAnsi="Times New Roman" w:eastAsia="宋体" w:cs="Times New Roman"/>
                <w:color w:val="auto"/>
                <w:sz w:val="24"/>
                <w:szCs w:val="24"/>
                <w:highlight w:val="none"/>
                <w:vertAlign w:val="subscript"/>
              </w:rPr>
              <w:t>p2</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T</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和透声面积换算成等效的室外声源，计算出等效声源的声功率级L</w:t>
            </w:r>
            <w:r>
              <w:rPr>
                <w:rFonts w:hint="default" w:ascii="Times New Roman" w:hAnsi="Times New Roman" w:eastAsia="宋体" w:cs="Times New Roman"/>
                <w:color w:val="auto"/>
                <w:sz w:val="24"/>
                <w:szCs w:val="24"/>
                <w:highlight w:val="none"/>
                <w:vertAlign w:val="subscript"/>
              </w:rPr>
              <w:t>W</w:t>
            </w:r>
            <w:r>
              <w:rPr>
                <w:rFonts w:hint="default" w:ascii="Times New Roman" w:hAnsi="Times New Roman" w:eastAsia="宋体" w:cs="Times New Roman"/>
                <w:color w:val="auto"/>
                <w:sz w:val="24"/>
                <w:szCs w:val="24"/>
                <w:highlight w:val="none"/>
              </w:rPr>
              <w:t>；</w:t>
            </w:r>
          </w:p>
          <w:p w14:paraId="116DEFA1">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599565" cy="245110"/>
                  <wp:effectExtent l="0" t="0" r="635" b="2540"/>
                  <wp:docPr id="1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
                          <pic:cNvPicPr>
                            <a:picLocks noChangeAspect="1"/>
                          </pic:cNvPicPr>
                        </pic:nvPicPr>
                        <pic:blipFill>
                          <a:blip r:embed="rId25"/>
                          <a:stretch>
                            <a:fillRect/>
                          </a:stretch>
                        </pic:blipFill>
                        <pic:spPr>
                          <a:xfrm>
                            <a:off x="0" y="0"/>
                            <a:ext cx="1599565" cy="245110"/>
                          </a:xfrm>
                          <a:prstGeom prst="rect">
                            <a:avLst/>
                          </a:prstGeom>
                          <a:noFill/>
                          <a:ln>
                            <a:noFill/>
                          </a:ln>
                        </pic:spPr>
                      </pic:pic>
                    </a:graphicData>
                  </a:graphic>
                </wp:inline>
              </w:drawing>
            </w:r>
          </w:p>
          <w:p w14:paraId="33A08A79">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式中：s</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为透声面积，m</w:t>
            </w:r>
            <w:r>
              <w:rPr>
                <w:rFonts w:hint="default" w:ascii="Times New Roman" w:hAnsi="Times New Roman" w:eastAsia="宋体" w:cs="Times New Roman"/>
                <w:color w:val="auto"/>
                <w:sz w:val="24"/>
                <w:szCs w:val="24"/>
                <w:highlight w:val="none"/>
                <w:vertAlign w:val="superscript"/>
              </w:rPr>
              <w:t>2</w:t>
            </w:r>
          </w:p>
          <w:p w14:paraId="6028EF31">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⑥等效室外声源的位置为围护结构的位置，其声功率级为L</w:t>
            </w:r>
            <w:r>
              <w:rPr>
                <w:rFonts w:hint="default" w:ascii="Times New Roman" w:hAnsi="Times New Roman" w:eastAsia="宋体" w:cs="Times New Roman"/>
                <w:color w:val="auto"/>
                <w:sz w:val="24"/>
                <w:szCs w:val="24"/>
                <w:highlight w:val="none"/>
                <w:vertAlign w:val="subscript"/>
              </w:rPr>
              <w:t>w</w:t>
            </w:r>
            <w:r>
              <w:rPr>
                <w:rFonts w:hint="default" w:ascii="Times New Roman" w:hAnsi="Times New Roman" w:eastAsia="宋体" w:cs="Times New Roman"/>
                <w:color w:val="auto"/>
                <w:sz w:val="24"/>
                <w:szCs w:val="24"/>
                <w:highlight w:val="none"/>
              </w:rPr>
              <w:t>，由此按室外声源方法计算等效室外声源在预测点产生的A声级。</w:t>
            </w:r>
          </w:p>
          <w:p w14:paraId="5350C9D1">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（3）室外声源</w:t>
            </w:r>
          </w:p>
          <w:p w14:paraId="61436D1B">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计算某个声源在预测点的声压级</w:t>
            </w:r>
          </w:p>
          <w:p w14:paraId="59FDCE9A">
            <w:pPr>
              <w:keepNext w:val="0"/>
              <w:keepLines w:val="0"/>
              <w:pageBreakBefore w:val="0"/>
              <w:widowControl w:val="0"/>
              <w:kinsoku/>
              <w:wordWrap/>
              <w:overflowPunct/>
              <w:topLinePunct w:val="0"/>
              <w:bidi w:val="0"/>
              <w:spacing w:line="240" w:lineRule="auto"/>
              <w:ind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2041525" cy="290195"/>
                  <wp:effectExtent l="0" t="0" r="15875" b="14605"/>
                  <wp:docPr id="1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2"/>
                          <pic:cNvPicPr>
                            <a:picLocks noChangeAspect="1"/>
                          </pic:cNvPicPr>
                        </pic:nvPicPr>
                        <pic:blipFill>
                          <a:blip r:embed="rId26"/>
                          <a:stretch>
                            <a:fillRect/>
                          </a:stretch>
                        </pic:blipFill>
                        <pic:spPr>
                          <a:xfrm>
                            <a:off x="0" y="0"/>
                            <a:ext cx="2041525" cy="290195"/>
                          </a:xfrm>
                          <a:prstGeom prst="rect">
                            <a:avLst/>
                          </a:prstGeom>
                          <a:noFill/>
                          <a:ln>
                            <a:noFill/>
                          </a:ln>
                        </pic:spPr>
                      </pic:pic>
                    </a:graphicData>
                  </a:graphic>
                </wp:inline>
              </w:drawing>
            </w:r>
          </w:p>
          <w:p w14:paraId="681981CB">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r</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点声源在预测点产生的声压级，dB</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083AB317">
            <w:pPr>
              <w:keepNext w:val="0"/>
              <w:keepLines w:val="0"/>
              <w:pageBreakBefore w:val="0"/>
              <w:widowControl w:val="0"/>
              <w:kinsoku/>
              <w:wordWrap/>
              <w:overflowPunct/>
              <w:topLinePunct w:val="0"/>
              <w:bidi w:val="0"/>
              <w:spacing w:line="520" w:lineRule="exact"/>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参考位置r0处的声压级，dB</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35FB71B3">
            <w:pPr>
              <w:keepNext w:val="0"/>
              <w:keepLines w:val="0"/>
              <w:pageBreakBefore w:val="0"/>
              <w:widowControl w:val="0"/>
              <w:kinsoku/>
              <w:wordWrap/>
              <w:overflowPunct/>
              <w:topLinePunct w:val="0"/>
              <w:bidi w:val="0"/>
              <w:spacing w:line="520" w:lineRule="exact"/>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r</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预测点距声源的距离，m；</w:t>
            </w:r>
          </w:p>
          <w:p w14:paraId="53057392">
            <w:pPr>
              <w:keepNext w:val="0"/>
              <w:keepLines w:val="0"/>
              <w:pageBreakBefore w:val="0"/>
              <w:widowControl w:val="0"/>
              <w:kinsoku/>
              <w:wordWrap/>
              <w:overflowPunct/>
              <w:topLinePunct w:val="0"/>
              <w:bidi w:val="0"/>
              <w:spacing w:line="520" w:lineRule="exact"/>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参考位置距声源的距离，m；</w:t>
            </w:r>
          </w:p>
          <w:p w14:paraId="39F14B89">
            <w:pPr>
              <w:keepNext w:val="0"/>
              <w:keepLines w:val="0"/>
              <w:pageBreakBefore w:val="0"/>
              <w:widowControl w:val="0"/>
              <w:kinsoku/>
              <w:wordWrap/>
              <w:overflowPunct/>
              <w:topLinePunct w:val="0"/>
              <w:bidi w:val="0"/>
              <w:spacing w:line="520" w:lineRule="exact"/>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div</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几何发散引起的衰减，dB；</w:t>
            </w:r>
          </w:p>
          <w:p w14:paraId="584B3A2A">
            <w:pPr>
              <w:keepNext w:val="0"/>
              <w:keepLines w:val="0"/>
              <w:pageBreakBefore w:val="0"/>
              <w:widowControl w:val="0"/>
              <w:kinsoku/>
              <w:wordWrap/>
              <w:overflowPunct/>
              <w:topLinePunct w:val="0"/>
              <w:bidi w:val="0"/>
              <w:spacing w:line="520" w:lineRule="exact"/>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bar</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障碍物屏蔽引起的衰减，dB；</w:t>
            </w:r>
          </w:p>
          <w:p w14:paraId="5F645709">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（4）计算总声压级</w:t>
            </w:r>
          </w:p>
          <w:p w14:paraId="068049A6">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设第i个室外声源在预测点产生的A声级为L</w:t>
            </w:r>
            <w:r>
              <w:rPr>
                <w:rFonts w:hint="default" w:ascii="Times New Roman" w:hAnsi="Times New Roman" w:eastAsia="宋体" w:cs="Times New Roman"/>
                <w:color w:val="auto"/>
                <w:sz w:val="24"/>
                <w:szCs w:val="24"/>
                <w:highlight w:val="none"/>
                <w:vertAlign w:val="subscript"/>
              </w:rPr>
              <w:t>A</w:t>
            </w:r>
            <w:r>
              <w:rPr>
                <w:rFonts w:hint="default" w:ascii="Times New Roman" w:hAnsi="Times New Roman" w:eastAsia="宋体" w:cs="Times New Roman"/>
                <w:color w:val="auto"/>
                <w:sz w:val="24"/>
                <w:szCs w:val="24"/>
                <w:highlight w:val="none"/>
              </w:rPr>
              <w:t>i，在T时间内该声源工作时间为ti；第j个等效室外声源在预测点产生的A声级为L</w:t>
            </w:r>
            <w:r>
              <w:rPr>
                <w:rFonts w:hint="default" w:ascii="Times New Roman" w:hAnsi="Times New Roman" w:eastAsia="宋体" w:cs="Times New Roman"/>
                <w:color w:val="auto"/>
                <w:sz w:val="24"/>
                <w:szCs w:val="24"/>
                <w:highlight w:val="none"/>
                <w:vertAlign w:val="subscript"/>
              </w:rPr>
              <w:t>A</w:t>
            </w:r>
            <w:r>
              <w:rPr>
                <w:rFonts w:hint="default" w:ascii="Times New Roman" w:hAnsi="Times New Roman" w:eastAsia="宋体" w:cs="Times New Roman"/>
                <w:color w:val="auto"/>
                <w:sz w:val="24"/>
                <w:szCs w:val="24"/>
                <w:highlight w:val="none"/>
              </w:rPr>
              <w:t>j，在T时间内该声源工作时间为tj，则拟建工程声源对预测点产生的贡献值（Leqg）</w:t>
            </w:r>
          </w:p>
          <w:p w14:paraId="3E292DDD">
            <w:pPr>
              <w:keepNext w:val="0"/>
              <w:keepLines w:val="0"/>
              <w:pageBreakBefore w:val="0"/>
              <w:widowControl w:val="0"/>
              <w:kinsoku/>
              <w:wordWrap/>
              <w:overflowPunct/>
              <w:topLinePunct w:val="0"/>
              <w:bidi w:val="0"/>
              <w:spacing w:line="240" w:lineRule="auto"/>
              <w:ind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2698750" cy="566420"/>
                  <wp:effectExtent l="0" t="0" r="6350" b="4445"/>
                  <wp:docPr id="1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3"/>
                          <pic:cNvPicPr>
                            <a:picLocks noChangeAspect="1"/>
                          </pic:cNvPicPr>
                        </pic:nvPicPr>
                        <pic:blipFill>
                          <a:blip r:embed="rId27"/>
                          <a:srcRect t="-16297"/>
                          <a:stretch>
                            <a:fillRect/>
                          </a:stretch>
                        </pic:blipFill>
                        <pic:spPr>
                          <a:xfrm>
                            <a:off x="0" y="0"/>
                            <a:ext cx="2698750" cy="566420"/>
                          </a:xfrm>
                          <a:prstGeom prst="rect">
                            <a:avLst/>
                          </a:prstGeom>
                          <a:noFill/>
                          <a:ln>
                            <a:noFill/>
                          </a:ln>
                        </pic:spPr>
                      </pic:pic>
                    </a:graphicData>
                  </a:graphic>
                </wp:inline>
              </w:drawing>
            </w:r>
          </w:p>
          <w:p w14:paraId="3F5EFBFB">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用于计算等效声级的时间，s；</w:t>
            </w:r>
          </w:p>
          <w:p w14:paraId="37D2DC2D">
            <w:pPr>
              <w:keepNext w:val="0"/>
              <w:keepLines w:val="0"/>
              <w:pageBreakBefore w:val="0"/>
              <w:widowControl w:val="0"/>
              <w:kinsoku/>
              <w:wordWrap/>
              <w:overflowPunct/>
              <w:topLinePunct w:val="0"/>
              <w:bidi w:val="0"/>
              <w:spacing w:line="520" w:lineRule="exact"/>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室外声源个数；</w:t>
            </w:r>
          </w:p>
          <w:p w14:paraId="6030D0CE">
            <w:pPr>
              <w:keepNext w:val="0"/>
              <w:keepLines w:val="0"/>
              <w:pageBreakBefore w:val="0"/>
              <w:widowControl w:val="0"/>
              <w:kinsoku/>
              <w:wordWrap/>
              <w:overflowPunct/>
              <w:topLinePunct w:val="0"/>
              <w:bidi w:val="0"/>
              <w:spacing w:line="520" w:lineRule="exact"/>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Ti</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在T时间内i声源工作时间，s；</w:t>
            </w:r>
          </w:p>
          <w:p w14:paraId="31507483">
            <w:pPr>
              <w:keepNext w:val="0"/>
              <w:keepLines w:val="0"/>
              <w:pageBreakBefore w:val="0"/>
              <w:widowControl w:val="0"/>
              <w:kinsoku/>
              <w:wordWrap/>
              <w:overflowPunct/>
              <w:topLinePunct w:val="0"/>
              <w:bidi w:val="0"/>
              <w:spacing w:line="520" w:lineRule="exact"/>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M——等效室外声源个数；</w:t>
            </w:r>
          </w:p>
          <w:p w14:paraId="69549B2A">
            <w:pPr>
              <w:keepNext w:val="0"/>
              <w:keepLines w:val="0"/>
              <w:pageBreakBefore w:val="0"/>
              <w:widowControl w:val="0"/>
              <w:kinsoku/>
              <w:wordWrap/>
              <w:overflowPunct/>
              <w:topLinePunct w:val="0"/>
              <w:bidi w:val="0"/>
              <w:spacing w:line="520" w:lineRule="exact"/>
              <w:ind w:firstLine="960" w:firstLineChars="4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j</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在T时间内j声源工作时间，s。</w:t>
            </w:r>
          </w:p>
          <w:p w14:paraId="45A45873">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（5）噪声预测计算</w:t>
            </w:r>
          </w:p>
          <w:p w14:paraId="73F50500">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2165350" cy="443865"/>
                  <wp:effectExtent l="0" t="0" r="6350" b="13335"/>
                  <wp:docPr id="1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4"/>
                          <pic:cNvPicPr>
                            <a:picLocks noChangeAspect="1"/>
                          </pic:cNvPicPr>
                        </pic:nvPicPr>
                        <pic:blipFill>
                          <a:blip r:embed="rId28"/>
                          <a:stretch>
                            <a:fillRect/>
                          </a:stretch>
                        </pic:blipFill>
                        <pic:spPr>
                          <a:xfrm>
                            <a:off x="0" y="0"/>
                            <a:ext cx="2165350" cy="443865"/>
                          </a:xfrm>
                          <a:prstGeom prst="rect">
                            <a:avLst/>
                          </a:prstGeom>
                          <a:noFill/>
                          <a:ln>
                            <a:noFill/>
                          </a:ln>
                        </pic:spPr>
                      </pic:pic>
                    </a:graphicData>
                  </a:graphic>
                </wp:inline>
              </w:drawing>
            </w:r>
          </w:p>
          <w:p w14:paraId="4E8CA7D8">
            <w:pPr>
              <w:keepNext w:val="0"/>
              <w:keepLines w:val="0"/>
              <w:pageBreakBefore w:val="0"/>
              <w:widowControl w:val="0"/>
              <w:kinsoku/>
              <w:wordWrap/>
              <w:overflowPunct/>
              <w:topLinePunct w:val="0"/>
              <w:bidi w:val="0"/>
              <w:spacing w:line="52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eqg</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项目声源在预测点的等效声级贡献值，dB</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5D7BECE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1200" w:firstLineChars="5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eqb</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预测点的背景值，dB</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23803F7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textAlignment w:val="baseline"/>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3.3 预测结果</w:t>
            </w:r>
          </w:p>
          <w:p w14:paraId="555C5FFA">
            <w:pPr>
              <w:numPr>
                <w:ilvl w:val="0"/>
                <w:numId w:val="0"/>
              </w:numPr>
              <w:adjustRightInd w:val="0"/>
              <w:snapToGrid w:val="0"/>
              <w:spacing w:line="5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eastAsia="zh-CN"/>
              </w:rPr>
              <w:t>厂界噪声预测结果（单位：dB（A））</w:t>
            </w:r>
          </w:p>
          <w:tbl>
            <w:tblPr>
              <w:tblStyle w:val="28"/>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24"/>
              <w:gridCol w:w="2003"/>
              <w:gridCol w:w="1876"/>
              <w:gridCol w:w="1976"/>
            </w:tblGrid>
            <w:tr w14:paraId="567EE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87" w:type="pct"/>
                  <w:tcBorders>
                    <w:left w:val="single" w:color="auto" w:sz="4" w:space="0"/>
                    <w:right w:val="single" w:color="auto" w:sz="4" w:space="0"/>
                  </w:tcBorders>
                  <w:noWrap w:val="0"/>
                  <w:vAlign w:val="center"/>
                </w:tcPr>
                <w:p w14:paraId="3FE11E76">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预测点位</w:t>
                  </w:r>
                </w:p>
              </w:tc>
              <w:tc>
                <w:tcPr>
                  <w:tcW w:w="1304" w:type="pct"/>
                  <w:tcBorders>
                    <w:right w:val="single" w:color="auto" w:sz="4" w:space="0"/>
                  </w:tcBorders>
                  <w:noWrap w:val="0"/>
                  <w:vAlign w:val="center"/>
                </w:tcPr>
                <w:p w14:paraId="51BD9117">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lang w:val="en-US" w:eastAsia="zh-CN"/>
                    </w:rPr>
                    <w:t>贡献值</w:t>
                  </w:r>
                </w:p>
              </w:tc>
              <w:tc>
                <w:tcPr>
                  <w:tcW w:w="1221" w:type="pct"/>
                  <w:noWrap w:val="0"/>
                  <w:vAlign w:val="center"/>
                </w:tcPr>
                <w:p w14:paraId="27C3E921">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标准值</w:t>
                  </w:r>
                </w:p>
              </w:tc>
              <w:tc>
                <w:tcPr>
                  <w:tcW w:w="1286" w:type="pct"/>
                  <w:noWrap w:val="0"/>
                  <w:vAlign w:val="center"/>
                </w:tcPr>
                <w:p w14:paraId="31CA3789">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eastAsia="宋体" w:cs="Times New Roman"/>
                      <w:b w:val="0"/>
                      <w:bCs w:val="0"/>
                      <w:color w:val="auto"/>
                      <w:sz w:val="21"/>
                      <w:szCs w:val="21"/>
                      <w:highlight w:val="none"/>
                      <w:u w:val="none"/>
                      <w:lang w:eastAsia="zh-CN"/>
                    </w:rPr>
                    <w:t>达标分析</w:t>
                  </w:r>
                </w:p>
              </w:tc>
            </w:tr>
            <w:tr w14:paraId="1A949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87" w:type="pct"/>
                  <w:tcBorders>
                    <w:left w:val="single" w:color="auto" w:sz="4" w:space="0"/>
                    <w:bottom w:val="single" w:color="auto" w:sz="4" w:space="0"/>
                    <w:right w:val="single" w:color="auto" w:sz="4" w:space="0"/>
                  </w:tcBorders>
                  <w:noWrap w:val="0"/>
                  <w:vAlign w:val="center"/>
                </w:tcPr>
                <w:p w14:paraId="0CE56253">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sz w:val="21"/>
                      <w:szCs w:val="21"/>
                      <w:highlight w:val="none"/>
                      <w:u w:val="none"/>
                    </w:rPr>
                    <w:t>东厂界</w:t>
                  </w:r>
                </w:p>
              </w:tc>
              <w:tc>
                <w:tcPr>
                  <w:tcW w:w="1304" w:type="pct"/>
                  <w:tcBorders>
                    <w:bottom w:val="single" w:color="auto" w:sz="4" w:space="0"/>
                    <w:right w:val="single" w:color="auto" w:sz="4" w:space="0"/>
                  </w:tcBorders>
                  <w:shd w:val="clear" w:color="auto" w:fill="auto"/>
                  <w:noWrap w:val="0"/>
                  <w:vAlign w:val="center"/>
                </w:tcPr>
                <w:p w14:paraId="3CEC90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rPr>
                    <w:t>43.82</w:t>
                  </w:r>
                </w:p>
              </w:tc>
              <w:tc>
                <w:tcPr>
                  <w:tcW w:w="1221" w:type="pct"/>
                  <w:vMerge w:val="restart"/>
                  <w:noWrap w:val="0"/>
                  <w:vAlign w:val="center"/>
                </w:tcPr>
                <w:p w14:paraId="66590A09">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rPr>
                    <w:t>昼间</w:t>
                  </w:r>
                  <w:r>
                    <w:rPr>
                      <w:rFonts w:hint="default" w:ascii="Times New Roman" w:hAnsi="Times New Roman" w:eastAsia="宋体" w:cs="Times New Roman"/>
                      <w:b w:val="0"/>
                      <w:bCs w:val="0"/>
                      <w:color w:val="auto"/>
                      <w:sz w:val="21"/>
                      <w:szCs w:val="21"/>
                      <w:highlight w:val="none"/>
                      <w:u w:val="none"/>
                      <w:lang w:eastAsia="zh-CN"/>
                    </w:rPr>
                    <w:t>≤</w:t>
                  </w:r>
                  <w:r>
                    <w:rPr>
                      <w:rFonts w:hint="default" w:ascii="Times New Roman" w:hAnsi="Times New Roman" w:eastAsia="宋体" w:cs="Times New Roman"/>
                      <w:b w:val="0"/>
                      <w:bCs w:val="0"/>
                      <w:color w:val="auto"/>
                      <w:sz w:val="21"/>
                      <w:szCs w:val="21"/>
                      <w:highlight w:val="none"/>
                      <w:u w:val="none"/>
                      <w:lang w:val="en-US" w:eastAsia="zh-CN"/>
                    </w:rPr>
                    <w:t>6</w:t>
                  </w:r>
                  <w:r>
                    <w:rPr>
                      <w:rFonts w:hint="default" w:ascii="Times New Roman" w:hAnsi="Times New Roman" w:cs="Times New Roman"/>
                      <w:b w:val="0"/>
                      <w:bCs w:val="0"/>
                      <w:color w:val="auto"/>
                      <w:sz w:val="21"/>
                      <w:szCs w:val="21"/>
                      <w:highlight w:val="none"/>
                      <w:u w:val="none"/>
                      <w:lang w:val="en-US" w:eastAsia="zh-CN"/>
                    </w:rPr>
                    <w:t>5，夜间≤55</w:t>
                  </w:r>
                </w:p>
              </w:tc>
              <w:tc>
                <w:tcPr>
                  <w:tcW w:w="1286" w:type="pct"/>
                  <w:noWrap w:val="0"/>
                  <w:vAlign w:val="center"/>
                </w:tcPr>
                <w:p w14:paraId="7B867319">
                  <w:pPr>
                    <w:keepNext w:val="0"/>
                    <w:keepLines w:val="0"/>
                    <w:pageBreakBefore w:val="0"/>
                    <w:widowControl w:val="0"/>
                    <w:kinsoku/>
                    <w:wordWrap/>
                    <w:overflowPunct/>
                    <w:topLinePunct w:val="0"/>
                    <w:autoSpaceDE/>
                    <w:autoSpaceDN/>
                    <w:bidi w:val="0"/>
                    <w:adjustRightInd/>
                    <w:spacing w:before="63" w:beforeLines="20" w:after="63" w:afterLines="20" w:line="240" w:lineRule="auto"/>
                    <w:ind w:left="0" w:leftChars="0" w:right="0" w:rightChars="0" w:firstLine="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达标</w:t>
                  </w:r>
                </w:p>
              </w:tc>
            </w:tr>
            <w:tr w14:paraId="11A21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87" w:type="pct"/>
                  <w:tcBorders>
                    <w:left w:val="single" w:color="auto" w:sz="4" w:space="0"/>
                  </w:tcBorders>
                  <w:noWrap w:val="0"/>
                  <w:vAlign w:val="center"/>
                </w:tcPr>
                <w:p w14:paraId="44AD4498">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u w:val="none"/>
                      <w:lang w:val="en-US" w:eastAsia="zh-CN" w:bidi="ar-SA"/>
                    </w:rPr>
                    <w:t>南</w:t>
                  </w:r>
                  <w:r>
                    <w:rPr>
                      <w:rFonts w:hint="default" w:ascii="Times New Roman" w:hAnsi="Times New Roman" w:eastAsia="宋体" w:cs="Times New Roman"/>
                      <w:b w:val="0"/>
                      <w:bCs w:val="0"/>
                      <w:i w:val="0"/>
                      <w:iCs w:val="0"/>
                      <w:color w:val="auto"/>
                      <w:sz w:val="21"/>
                      <w:szCs w:val="21"/>
                      <w:highlight w:val="none"/>
                      <w:u w:val="none"/>
                    </w:rPr>
                    <w:t>厂界</w:t>
                  </w:r>
                </w:p>
              </w:tc>
              <w:tc>
                <w:tcPr>
                  <w:tcW w:w="1304" w:type="pct"/>
                  <w:tcBorders>
                    <w:top w:val="single" w:color="auto" w:sz="4" w:space="0"/>
                    <w:bottom w:val="single" w:color="auto" w:sz="4" w:space="0"/>
                    <w:right w:val="single" w:color="auto" w:sz="4" w:space="0"/>
                  </w:tcBorders>
                  <w:shd w:val="clear" w:color="auto" w:fill="auto"/>
                  <w:noWrap w:val="0"/>
                  <w:vAlign w:val="center"/>
                </w:tcPr>
                <w:p w14:paraId="6232BB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rPr>
                    <w:t>38.39</w:t>
                  </w:r>
                </w:p>
              </w:tc>
              <w:tc>
                <w:tcPr>
                  <w:tcW w:w="1221" w:type="pct"/>
                  <w:vMerge w:val="continue"/>
                  <w:noWrap w:val="0"/>
                  <w:vAlign w:val="center"/>
                </w:tcPr>
                <w:p w14:paraId="53AADFAC">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rPr>
                  </w:pPr>
                </w:p>
              </w:tc>
              <w:tc>
                <w:tcPr>
                  <w:tcW w:w="1286" w:type="pct"/>
                  <w:noWrap w:val="0"/>
                  <w:vAlign w:val="center"/>
                </w:tcPr>
                <w:p w14:paraId="08EC9403">
                  <w:pPr>
                    <w:keepNext w:val="0"/>
                    <w:keepLines w:val="0"/>
                    <w:pageBreakBefore w:val="0"/>
                    <w:widowControl w:val="0"/>
                    <w:kinsoku/>
                    <w:wordWrap/>
                    <w:overflowPunct/>
                    <w:topLinePunct w:val="0"/>
                    <w:autoSpaceDE/>
                    <w:autoSpaceDN/>
                    <w:bidi w:val="0"/>
                    <w:adjustRightIn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达标</w:t>
                  </w:r>
                </w:p>
              </w:tc>
            </w:tr>
            <w:tr w14:paraId="3F9A1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87" w:type="pct"/>
                  <w:tcBorders>
                    <w:left w:val="single" w:color="auto" w:sz="4" w:space="0"/>
                  </w:tcBorders>
                  <w:noWrap w:val="0"/>
                  <w:vAlign w:val="center"/>
                </w:tcPr>
                <w:p w14:paraId="4ECB0BC9">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sz w:val="21"/>
                      <w:szCs w:val="21"/>
                      <w:highlight w:val="none"/>
                      <w:u w:val="none"/>
                      <w:lang w:eastAsia="zh-CN"/>
                    </w:rPr>
                    <w:t>西</w:t>
                  </w:r>
                  <w:r>
                    <w:rPr>
                      <w:rFonts w:hint="default" w:ascii="Times New Roman" w:hAnsi="Times New Roman" w:eastAsia="宋体" w:cs="Times New Roman"/>
                      <w:b w:val="0"/>
                      <w:bCs w:val="0"/>
                      <w:i w:val="0"/>
                      <w:iCs w:val="0"/>
                      <w:color w:val="auto"/>
                      <w:sz w:val="21"/>
                      <w:szCs w:val="21"/>
                      <w:highlight w:val="none"/>
                      <w:u w:val="none"/>
                    </w:rPr>
                    <w:t>厂界</w:t>
                  </w:r>
                </w:p>
              </w:tc>
              <w:tc>
                <w:tcPr>
                  <w:tcW w:w="1304" w:type="pct"/>
                  <w:tcBorders>
                    <w:top w:val="single" w:color="auto" w:sz="4" w:space="0"/>
                    <w:bottom w:val="single" w:color="auto" w:sz="4" w:space="0"/>
                    <w:right w:val="single" w:color="auto" w:sz="4" w:space="0"/>
                  </w:tcBorders>
                  <w:shd w:val="clear" w:color="auto" w:fill="auto"/>
                  <w:noWrap w:val="0"/>
                  <w:vAlign w:val="center"/>
                </w:tcPr>
                <w:p w14:paraId="065EC9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rPr>
                    <w:t>51.55</w:t>
                  </w:r>
                </w:p>
              </w:tc>
              <w:tc>
                <w:tcPr>
                  <w:tcW w:w="1221" w:type="pct"/>
                  <w:vMerge w:val="continue"/>
                  <w:noWrap w:val="0"/>
                  <w:vAlign w:val="center"/>
                </w:tcPr>
                <w:p w14:paraId="1F98D55C">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rPr>
                  </w:pPr>
                </w:p>
              </w:tc>
              <w:tc>
                <w:tcPr>
                  <w:tcW w:w="1286" w:type="pct"/>
                  <w:noWrap w:val="0"/>
                  <w:vAlign w:val="center"/>
                </w:tcPr>
                <w:p w14:paraId="67F0AC21">
                  <w:pPr>
                    <w:keepNext w:val="0"/>
                    <w:keepLines w:val="0"/>
                    <w:pageBreakBefore w:val="0"/>
                    <w:widowControl w:val="0"/>
                    <w:kinsoku/>
                    <w:wordWrap/>
                    <w:overflowPunct/>
                    <w:topLinePunct w:val="0"/>
                    <w:autoSpaceDE/>
                    <w:autoSpaceDN/>
                    <w:bidi w:val="0"/>
                    <w:adjustRightIn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达标</w:t>
                  </w:r>
                </w:p>
              </w:tc>
            </w:tr>
            <w:tr w14:paraId="3FD62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87" w:type="pct"/>
                  <w:tcBorders>
                    <w:left w:val="single" w:color="auto" w:sz="4" w:space="0"/>
                  </w:tcBorders>
                  <w:noWrap w:val="0"/>
                  <w:vAlign w:val="center"/>
                </w:tcPr>
                <w:p w14:paraId="3A3BCF8D">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sz w:val="21"/>
                      <w:szCs w:val="21"/>
                      <w:highlight w:val="none"/>
                      <w:u w:val="none"/>
                      <w:lang w:eastAsia="zh-CN"/>
                    </w:rPr>
                    <w:t>北</w:t>
                  </w:r>
                  <w:r>
                    <w:rPr>
                      <w:rFonts w:hint="default" w:ascii="Times New Roman" w:hAnsi="Times New Roman" w:eastAsia="宋体" w:cs="Times New Roman"/>
                      <w:b w:val="0"/>
                      <w:bCs w:val="0"/>
                      <w:i w:val="0"/>
                      <w:iCs w:val="0"/>
                      <w:color w:val="auto"/>
                      <w:sz w:val="21"/>
                      <w:szCs w:val="21"/>
                      <w:highlight w:val="none"/>
                      <w:u w:val="none"/>
                    </w:rPr>
                    <w:t>厂界</w:t>
                  </w:r>
                </w:p>
              </w:tc>
              <w:tc>
                <w:tcPr>
                  <w:tcW w:w="1304" w:type="pct"/>
                  <w:tcBorders>
                    <w:top w:val="single" w:color="auto" w:sz="4" w:space="0"/>
                    <w:bottom w:val="single" w:color="auto" w:sz="4" w:space="0"/>
                    <w:right w:val="single" w:color="auto" w:sz="4" w:space="0"/>
                  </w:tcBorders>
                  <w:shd w:val="clear" w:color="auto" w:fill="auto"/>
                  <w:noWrap w:val="0"/>
                  <w:vAlign w:val="center"/>
                </w:tcPr>
                <w:p w14:paraId="636C130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rPr>
                    <w:t>47.89</w:t>
                  </w:r>
                </w:p>
              </w:tc>
              <w:tc>
                <w:tcPr>
                  <w:tcW w:w="1221" w:type="pct"/>
                  <w:vMerge w:val="continue"/>
                  <w:noWrap w:val="0"/>
                  <w:vAlign w:val="center"/>
                </w:tcPr>
                <w:p w14:paraId="408056EC">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rPr>
                  </w:pPr>
                </w:p>
              </w:tc>
              <w:tc>
                <w:tcPr>
                  <w:tcW w:w="1286" w:type="pct"/>
                  <w:noWrap w:val="0"/>
                  <w:vAlign w:val="center"/>
                </w:tcPr>
                <w:p w14:paraId="3280D8A0">
                  <w:pPr>
                    <w:keepNext w:val="0"/>
                    <w:keepLines w:val="0"/>
                    <w:pageBreakBefore w:val="0"/>
                    <w:widowControl w:val="0"/>
                    <w:kinsoku/>
                    <w:wordWrap/>
                    <w:overflowPunct/>
                    <w:topLinePunct w:val="0"/>
                    <w:autoSpaceDE/>
                    <w:autoSpaceDN/>
                    <w:bidi w:val="0"/>
                    <w:adjustRightIn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达标</w:t>
                  </w:r>
                </w:p>
              </w:tc>
            </w:tr>
          </w:tbl>
          <w:p w14:paraId="52D423E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leftChars="0" w:firstLine="480" w:firstLineChars="200"/>
              <w:textAlignment w:val="baseline"/>
              <w:rPr>
                <w:rFonts w:hint="default" w:ascii="Times New Roman" w:hAnsi="Times New Roman" w:eastAsia="宋体" w:cs="Times New Roman"/>
                <w:b w:val="0"/>
                <w:bCs w:val="0"/>
                <w:color w:val="auto"/>
                <w:sz w:val="24"/>
                <w:szCs w:val="22"/>
                <w:highlight w:val="none"/>
                <w:u w:val="none"/>
                <w:lang w:val="en-US" w:eastAsia="zh-CN"/>
              </w:rPr>
            </w:pPr>
            <w:r>
              <w:rPr>
                <w:rFonts w:hint="default" w:ascii="Times New Roman" w:hAnsi="Times New Roman" w:cs="Times New Roman"/>
                <w:b w:val="0"/>
                <w:bCs w:val="0"/>
                <w:color w:val="auto"/>
                <w:sz w:val="24"/>
                <w:szCs w:val="22"/>
                <w:highlight w:val="none"/>
                <w:u w:val="none"/>
                <w:lang w:val="en-US" w:eastAsia="zh-CN"/>
              </w:rPr>
              <w:t>本项目日生产</w:t>
            </w:r>
            <w:r>
              <w:rPr>
                <w:rFonts w:hint="eastAsia" w:cs="Times New Roman"/>
                <w:b w:val="0"/>
                <w:bCs w:val="0"/>
                <w:color w:val="auto"/>
                <w:sz w:val="24"/>
                <w:szCs w:val="22"/>
                <w:highlight w:val="none"/>
                <w:u w:val="none"/>
                <w:lang w:val="en-US" w:eastAsia="zh-CN"/>
              </w:rPr>
              <w:t>8</w:t>
            </w:r>
            <w:r>
              <w:rPr>
                <w:rFonts w:hint="default" w:ascii="Times New Roman" w:hAnsi="Times New Roman" w:cs="Times New Roman"/>
                <w:b w:val="0"/>
                <w:bCs w:val="0"/>
                <w:color w:val="auto"/>
                <w:sz w:val="24"/>
                <w:szCs w:val="22"/>
                <w:highlight w:val="none"/>
                <w:u w:val="none"/>
                <w:lang w:val="en-US" w:eastAsia="zh-CN"/>
              </w:rPr>
              <w:t>小时，</w:t>
            </w:r>
            <w:r>
              <w:rPr>
                <w:rFonts w:hint="default" w:ascii="Times New Roman" w:hAnsi="Times New Roman" w:eastAsia="宋体" w:cs="Times New Roman"/>
                <w:b w:val="0"/>
                <w:bCs w:val="0"/>
                <w:color w:val="auto"/>
                <w:sz w:val="24"/>
                <w:szCs w:val="22"/>
                <w:highlight w:val="none"/>
                <w:u w:val="none"/>
                <w:lang w:val="en-US" w:eastAsia="zh-CN"/>
              </w:rPr>
              <w:t>由上表可知，本工程高噪声设备经基础减振、厂房隔声、距离衰减后，东、西、南、北四周厂界噪声预测值均可满足《工业企业厂界环境噪声排放标准》（GB12348-2008）</w:t>
            </w:r>
            <w:r>
              <w:rPr>
                <w:rFonts w:hint="eastAsia" w:cs="Times New Roman"/>
                <w:b w:val="0"/>
                <w:bCs w:val="0"/>
                <w:color w:val="auto"/>
                <w:sz w:val="24"/>
                <w:szCs w:val="22"/>
                <w:highlight w:val="none"/>
                <w:u w:val="none"/>
                <w:lang w:val="en-US" w:eastAsia="zh-CN"/>
              </w:rPr>
              <w:t>3</w:t>
            </w:r>
            <w:r>
              <w:rPr>
                <w:rFonts w:hint="default" w:ascii="Times New Roman" w:hAnsi="Times New Roman" w:eastAsia="宋体" w:cs="Times New Roman"/>
                <w:b w:val="0"/>
                <w:bCs w:val="0"/>
                <w:color w:val="auto"/>
                <w:sz w:val="24"/>
                <w:szCs w:val="22"/>
                <w:highlight w:val="none"/>
                <w:u w:val="none"/>
                <w:lang w:val="en-US" w:eastAsia="zh-CN"/>
              </w:rPr>
              <w:t>类</w:t>
            </w:r>
            <w:r>
              <w:rPr>
                <w:rFonts w:hint="default" w:ascii="Times New Roman" w:hAnsi="Times New Roman" w:cs="Times New Roman"/>
                <w:b w:val="0"/>
                <w:bCs w:val="0"/>
                <w:color w:val="auto"/>
                <w:sz w:val="24"/>
                <w:szCs w:val="22"/>
                <w:highlight w:val="none"/>
                <w:u w:val="none"/>
                <w:lang w:val="en-US" w:eastAsia="zh-CN"/>
              </w:rPr>
              <w:t>昼间</w:t>
            </w:r>
            <w:r>
              <w:rPr>
                <w:rFonts w:hint="default" w:ascii="Times New Roman" w:hAnsi="Times New Roman" w:eastAsia="宋体" w:cs="Times New Roman"/>
                <w:b w:val="0"/>
                <w:bCs w:val="0"/>
                <w:color w:val="auto"/>
                <w:sz w:val="24"/>
                <w:szCs w:val="22"/>
                <w:highlight w:val="none"/>
                <w:u w:val="none"/>
                <w:lang w:val="en-US" w:eastAsia="zh-CN"/>
              </w:rPr>
              <w:t>标准要求。因此，评价认为经采取以上措施后，项目营运过程中产生的噪声对周围声环境影响较小。</w:t>
            </w:r>
          </w:p>
          <w:p w14:paraId="7F9A2C8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leftChars="0"/>
              <w:textAlignment w:val="baseline"/>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4、固体废物影响分析</w:t>
            </w:r>
          </w:p>
          <w:p w14:paraId="779E307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textAlignment w:val="baseline"/>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4.1 项目固废产生、处置及相关参数</w:t>
            </w:r>
          </w:p>
          <w:p w14:paraId="305907A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表4</w:t>
            </w:r>
            <w:r>
              <w:rPr>
                <w:rFonts w:hint="eastAsia" w:cs="Times New Roman"/>
                <w:color w:val="auto"/>
                <w:kern w:val="2"/>
                <w:sz w:val="21"/>
                <w:szCs w:val="21"/>
                <w:highlight w:val="none"/>
                <w:lang w:val="en-US" w:eastAsia="zh-CN" w:bidi="ar-SA"/>
              </w:rPr>
              <w:t>-13</w:t>
            </w:r>
            <w:r>
              <w:rPr>
                <w:rFonts w:hint="default" w:ascii="Times New Roman" w:hAnsi="Times New Roman" w:eastAsia="宋体" w:cs="Times New Roman"/>
                <w:color w:val="auto"/>
                <w:kern w:val="2"/>
                <w:sz w:val="21"/>
                <w:szCs w:val="21"/>
                <w:highlight w:val="none"/>
                <w:lang w:val="en-US" w:eastAsia="zh-CN" w:bidi="ar-SA"/>
              </w:rPr>
              <w:t xml:space="preserve">  </w:t>
            </w:r>
            <w:r>
              <w:rPr>
                <w:rFonts w:hint="eastAsia" w:cs="Times New Roman"/>
                <w:color w:val="auto"/>
                <w:kern w:val="2"/>
                <w:sz w:val="21"/>
                <w:szCs w:val="21"/>
                <w:highlight w:val="none"/>
                <w:lang w:val="en-US" w:eastAsia="zh-CN" w:bidi="ar-SA"/>
              </w:rPr>
              <w:t>项目</w:t>
            </w:r>
            <w:r>
              <w:rPr>
                <w:rFonts w:hint="default" w:ascii="Times New Roman" w:hAnsi="Times New Roman" w:eastAsia="宋体" w:cs="Times New Roman"/>
                <w:color w:val="auto"/>
                <w:kern w:val="2"/>
                <w:sz w:val="21"/>
                <w:szCs w:val="21"/>
                <w:highlight w:val="none"/>
                <w:lang w:val="en-US" w:eastAsia="zh-CN" w:bidi="ar-SA"/>
              </w:rPr>
              <w:t>固体废物产生、处置情况及相关参数一览表</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9"/>
              <w:gridCol w:w="1729"/>
              <w:gridCol w:w="722"/>
              <w:gridCol w:w="1133"/>
              <w:gridCol w:w="1091"/>
              <w:gridCol w:w="1159"/>
              <w:gridCol w:w="1125"/>
            </w:tblGrid>
            <w:tr w14:paraId="479B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468" w:type="pct"/>
                  <w:tcBorders>
                    <w:tl2br w:val="nil"/>
                    <w:tr2bl w:val="nil"/>
                  </w:tcBorders>
                  <w:shd w:val="clear" w:color="auto" w:fill="auto"/>
                  <w:noWrap w:val="0"/>
                  <w:vAlign w:val="center"/>
                </w:tcPr>
                <w:p w14:paraId="59F771AA">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产污环节</w:t>
                  </w:r>
                </w:p>
              </w:tc>
              <w:tc>
                <w:tcPr>
                  <w:tcW w:w="1125" w:type="pct"/>
                  <w:tcBorders>
                    <w:tl2br w:val="nil"/>
                    <w:tr2bl w:val="nil"/>
                  </w:tcBorders>
                  <w:shd w:val="clear" w:color="auto" w:fill="auto"/>
                  <w:noWrap w:val="0"/>
                  <w:vAlign w:val="center"/>
                </w:tcPr>
                <w:p w14:paraId="0E03B0CE">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固体废物名称</w:t>
                  </w:r>
                </w:p>
              </w:tc>
              <w:tc>
                <w:tcPr>
                  <w:tcW w:w="470" w:type="pct"/>
                  <w:tcBorders>
                    <w:tl2br w:val="nil"/>
                    <w:tr2bl w:val="nil"/>
                  </w:tcBorders>
                  <w:shd w:val="clear" w:color="auto" w:fill="auto"/>
                  <w:noWrap w:val="0"/>
                  <w:vAlign w:val="center"/>
                </w:tcPr>
                <w:p w14:paraId="5AA6AE01">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固废</w:t>
                  </w:r>
                  <w:r>
                    <w:rPr>
                      <w:rFonts w:hint="default" w:ascii="Times New Roman" w:hAnsi="Times New Roman" w:eastAsia="宋体" w:cs="Times New Roman"/>
                      <w:b w:val="0"/>
                      <w:bCs w:val="0"/>
                      <w:color w:val="auto"/>
                      <w:sz w:val="21"/>
                      <w:szCs w:val="21"/>
                      <w:highlight w:val="none"/>
                      <w:u w:val="none"/>
                      <w:lang w:val="en-US" w:eastAsia="zh-CN"/>
                    </w:rPr>
                    <w:t xml:space="preserve"> </w:t>
                  </w:r>
                  <w:r>
                    <w:rPr>
                      <w:rFonts w:hint="default" w:ascii="Times New Roman" w:hAnsi="Times New Roman" w:eastAsia="宋体" w:cs="Times New Roman"/>
                      <w:b w:val="0"/>
                      <w:bCs w:val="0"/>
                      <w:color w:val="auto"/>
                      <w:sz w:val="21"/>
                      <w:szCs w:val="21"/>
                      <w:highlight w:val="none"/>
                      <w:u w:val="none"/>
                    </w:rPr>
                    <w:t>属性</w:t>
                  </w:r>
                </w:p>
              </w:tc>
              <w:tc>
                <w:tcPr>
                  <w:tcW w:w="737" w:type="pct"/>
                  <w:tcBorders>
                    <w:tl2br w:val="nil"/>
                    <w:tr2bl w:val="nil"/>
                  </w:tcBorders>
                  <w:shd w:val="clear" w:color="auto" w:fill="auto"/>
                  <w:noWrap w:val="0"/>
                  <w:vAlign w:val="center"/>
                </w:tcPr>
                <w:p w14:paraId="529FEA30">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产生量</w:t>
                  </w:r>
                </w:p>
              </w:tc>
              <w:tc>
                <w:tcPr>
                  <w:tcW w:w="710" w:type="pct"/>
                  <w:tcBorders>
                    <w:tl2br w:val="nil"/>
                    <w:tr2bl w:val="nil"/>
                  </w:tcBorders>
                  <w:shd w:val="clear" w:color="auto" w:fill="auto"/>
                  <w:noWrap w:val="0"/>
                  <w:vAlign w:val="center"/>
                </w:tcPr>
                <w:p w14:paraId="2C106633">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处置措施</w:t>
                  </w:r>
                </w:p>
              </w:tc>
              <w:tc>
                <w:tcPr>
                  <w:tcW w:w="754" w:type="pct"/>
                  <w:tcBorders>
                    <w:tl2br w:val="nil"/>
                    <w:tr2bl w:val="nil"/>
                  </w:tcBorders>
                  <w:shd w:val="clear" w:color="auto" w:fill="auto"/>
                  <w:noWrap w:val="0"/>
                  <w:vAlign w:val="center"/>
                </w:tcPr>
                <w:p w14:paraId="7C1E18EB">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处置量</w:t>
                  </w:r>
                </w:p>
              </w:tc>
              <w:tc>
                <w:tcPr>
                  <w:tcW w:w="732" w:type="pct"/>
                  <w:tcBorders>
                    <w:tl2br w:val="nil"/>
                    <w:tr2bl w:val="nil"/>
                  </w:tcBorders>
                  <w:shd w:val="clear" w:color="auto" w:fill="auto"/>
                  <w:noWrap w:val="0"/>
                  <w:vAlign w:val="center"/>
                </w:tcPr>
                <w:p w14:paraId="10FB5CFC">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最终去向</w:t>
                  </w:r>
                </w:p>
              </w:tc>
            </w:tr>
            <w:tr w14:paraId="2EE2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 w:hRule="atLeast"/>
              </w:trPr>
              <w:tc>
                <w:tcPr>
                  <w:tcW w:w="468" w:type="pct"/>
                  <w:vMerge w:val="restart"/>
                  <w:tcBorders>
                    <w:tl2br w:val="nil"/>
                    <w:tr2bl w:val="nil"/>
                  </w:tcBorders>
                  <w:shd w:val="clear" w:color="auto" w:fill="auto"/>
                  <w:noWrap w:val="0"/>
                  <w:vAlign w:val="center"/>
                </w:tcPr>
                <w:p w14:paraId="3A97EEC0">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生产过程</w:t>
                  </w:r>
                </w:p>
              </w:tc>
              <w:tc>
                <w:tcPr>
                  <w:tcW w:w="1125" w:type="pct"/>
                  <w:tcBorders>
                    <w:tl2br w:val="nil"/>
                    <w:tr2bl w:val="nil"/>
                  </w:tcBorders>
                  <w:shd w:val="clear" w:color="auto" w:fill="auto"/>
                  <w:noWrap w:val="0"/>
                  <w:vAlign w:val="center"/>
                </w:tcPr>
                <w:p w14:paraId="68B81A19">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废边角料</w:t>
                  </w:r>
                </w:p>
              </w:tc>
              <w:tc>
                <w:tcPr>
                  <w:tcW w:w="470" w:type="pct"/>
                  <w:vMerge w:val="restart"/>
                  <w:tcBorders>
                    <w:tl2br w:val="nil"/>
                    <w:tr2bl w:val="nil"/>
                  </w:tcBorders>
                  <w:shd w:val="clear" w:color="auto" w:fill="auto"/>
                  <w:noWrap w:val="0"/>
                  <w:vAlign w:val="center"/>
                </w:tcPr>
                <w:p w14:paraId="7579E23C">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一般固废</w:t>
                  </w:r>
                </w:p>
              </w:tc>
              <w:tc>
                <w:tcPr>
                  <w:tcW w:w="737" w:type="pct"/>
                  <w:tcBorders>
                    <w:tl2br w:val="nil"/>
                    <w:tr2bl w:val="nil"/>
                  </w:tcBorders>
                  <w:shd w:val="clear" w:color="auto" w:fill="auto"/>
                  <w:noWrap w:val="0"/>
                  <w:vAlign w:val="center"/>
                </w:tcPr>
                <w:p w14:paraId="4C2DF295">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4t/a</w:t>
                  </w:r>
                </w:p>
              </w:tc>
              <w:tc>
                <w:tcPr>
                  <w:tcW w:w="710" w:type="pct"/>
                  <w:vMerge w:val="restart"/>
                  <w:tcBorders>
                    <w:tl2br w:val="nil"/>
                    <w:tr2bl w:val="nil"/>
                  </w:tcBorders>
                  <w:shd w:val="clear" w:color="auto" w:fill="auto"/>
                  <w:noWrap w:val="0"/>
                  <w:vAlign w:val="center"/>
                </w:tcPr>
                <w:p w14:paraId="19910D97">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一般固废暂存间暂存</w:t>
                  </w:r>
                </w:p>
              </w:tc>
              <w:tc>
                <w:tcPr>
                  <w:tcW w:w="754" w:type="pct"/>
                  <w:tcBorders>
                    <w:tl2br w:val="nil"/>
                    <w:tr2bl w:val="nil"/>
                  </w:tcBorders>
                  <w:shd w:val="clear" w:color="auto" w:fill="auto"/>
                  <w:noWrap w:val="0"/>
                  <w:vAlign w:val="center"/>
                </w:tcPr>
                <w:p w14:paraId="22F597FF">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4t/a</w:t>
                  </w:r>
                </w:p>
              </w:tc>
              <w:tc>
                <w:tcPr>
                  <w:tcW w:w="732" w:type="pct"/>
                  <w:vMerge w:val="restart"/>
                  <w:tcBorders>
                    <w:tl2br w:val="nil"/>
                    <w:tr2bl w:val="nil"/>
                  </w:tcBorders>
                  <w:shd w:val="clear" w:color="auto" w:fill="auto"/>
                  <w:noWrap w:val="0"/>
                  <w:vAlign w:val="center"/>
                </w:tcPr>
                <w:p w14:paraId="63B55243">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收集后外售废品回收站</w:t>
                  </w:r>
                </w:p>
              </w:tc>
            </w:tr>
            <w:tr w14:paraId="024C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68" w:type="pct"/>
                  <w:vMerge w:val="continue"/>
                  <w:tcBorders>
                    <w:tl2br w:val="nil"/>
                    <w:tr2bl w:val="nil"/>
                  </w:tcBorders>
                  <w:shd w:val="clear" w:color="auto" w:fill="auto"/>
                  <w:noWrap w:val="0"/>
                  <w:vAlign w:val="center"/>
                </w:tcPr>
                <w:p w14:paraId="7A9CFBE7">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s="Times New Roman"/>
                      <w:b w:val="0"/>
                      <w:bCs w:val="0"/>
                      <w:color w:val="auto"/>
                      <w:kern w:val="2"/>
                      <w:sz w:val="21"/>
                      <w:szCs w:val="21"/>
                      <w:highlight w:val="none"/>
                      <w:u w:val="none"/>
                      <w:lang w:val="en-US" w:eastAsia="zh-CN" w:bidi="ar-SA"/>
                    </w:rPr>
                  </w:pPr>
                </w:p>
              </w:tc>
              <w:tc>
                <w:tcPr>
                  <w:tcW w:w="1125" w:type="pct"/>
                  <w:tcBorders>
                    <w:tl2br w:val="nil"/>
                    <w:tr2bl w:val="nil"/>
                  </w:tcBorders>
                  <w:shd w:val="clear" w:color="auto" w:fill="auto"/>
                  <w:noWrap w:val="0"/>
                  <w:vAlign w:val="center"/>
                </w:tcPr>
                <w:p w14:paraId="58102014">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废焊材</w:t>
                  </w:r>
                </w:p>
              </w:tc>
              <w:tc>
                <w:tcPr>
                  <w:tcW w:w="470" w:type="pct"/>
                  <w:vMerge w:val="continue"/>
                  <w:tcBorders>
                    <w:tl2br w:val="nil"/>
                    <w:tr2bl w:val="nil"/>
                  </w:tcBorders>
                  <w:shd w:val="clear" w:color="auto" w:fill="auto"/>
                  <w:noWrap w:val="0"/>
                  <w:vAlign w:val="center"/>
                </w:tcPr>
                <w:p w14:paraId="76FF2F69">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sz w:val="21"/>
                      <w:szCs w:val="21"/>
                      <w:highlight w:val="none"/>
                      <w:u w:val="none"/>
                      <w:lang w:val="en-US" w:eastAsia="zh-CN"/>
                    </w:rPr>
                  </w:pPr>
                </w:p>
              </w:tc>
              <w:tc>
                <w:tcPr>
                  <w:tcW w:w="737" w:type="pct"/>
                  <w:tcBorders>
                    <w:tl2br w:val="nil"/>
                    <w:tr2bl w:val="nil"/>
                  </w:tcBorders>
                  <w:shd w:val="clear" w:color="auto" w:fill="auto"/>
                  <w:noWrap w:val="0"/>
                  <w:vAlign w:val="center"/>
                </w:tcPr>
                <w:p w14:paraId="14E68DC2">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0.4</w:t>
                  </w:r>
                  <w:r>
                    <w:rPr>
                      <w:rFonts w:hint="eastAsia" w:ascii="Times New Roman" w:hAnsi="Times New Roman" w:eastAsia="宋体" w:cs="Times New Roman"/>
                      <w:b w:val="0"/>
                      <w:bCs w:val="0"/>
                      <w:color w:val="auto"/>
                      <w:sz w:val="21"/>
                      <w:szCs w:val="21"/>
                      <w:highlight w:val="none"/>
                      <w:u w:val="none"/>
                      <w:lang w:val="en-US" w:eastAsia="zh-CN"/>
                    </w:rPr>
                    <w:t>t/a</w:t>
                  </w:r>
                </w:p>
              </w:tc>
              <w:tc>
                <w:tcPr>
                  <w:tcW w:w="710" w:type="pct"/>
                  <w:vMerge w:val="continue"/>
                  <w:tcBorders>
                    <w:tl2br w:val="nil"/>
                    <w:tr2bl w:val="nil"/>
                  </w:tcBorders>
                  <w:shd w:val="clear" w:color="auto" w:fill="auto"/>
                  <w:noWrap w:val="0"/>
                  <w:vAlign w:val="center"/>
                </w:tcPr>
                <w:p w14:paraId="71299586">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sz w:val="21"/>
                      <w:szCs w:val="21"/>
                      <w:highlight w:val="none"/>
                      <w:u w:val="none"/>
                      <w:lang w:val="en-US" w:eastAsia="zh-CN"/>
                    </w:rPr>
                  </w:pPr>
                </w:p>
              </w:tc>
              <w:tc>
                <w:tcPr>
                  <w:tcW w:w="754" w:type="pct"/>
                  <w:tcBorders>
                    <w:tl2br w:val="nil"/>
                    <w:tr2bl w:val="nil"/>
                  </w:tcBorders>
                  <w:shd w:val="clear" w:color="auto" w:fill="auto"/>
                  <w:noWrap w:val="0"/>
                  <w:vAlign w:val="center"/>
                </w:tcPr>
                <w:p w14:paraId="5098F0E9">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0.4</w:t>
                  </w:r>
                  <w:r>
                    <w:rPr>
                      <w:rFonts w:hint="eastAsia" w:ascii="Times New Roman" w:hAnsi="Times New Roman" w:eastAsia="宋体" w:cs="Times New Roman"/>
                      <w:b w:val="0"/>
                      <w:bCs w:val="0"/>
                      <w:color w:val="auto"/>
                      <w:sz w:val="21"/>
                      <w:szCs w:val="21"/>
                      <w:highlight w:val="none"/>
                      <w:u w:val="none"/>
                      <w:lang w:val="en-US" w:eastAsia="zh-CN"/>
                    </w:rPr>
                    <w:t>t/a</w:t>
                  </w:r>
                </w:p>
              </w:tc>
              <w:tc>
                <w:tcPr>
                  <w:tcW w:w="732" w:type="pct"/>
                  <w:vMerge w:val="continue"/>
                  <w:tcBorders>
                    <w:tl2br w:val="nil"/>
                    <w:tr2bl w:val="nil"/>
                  </w:tcBorders>
                  <w:shd w:val="clear" w:color="auto" w:fill="auto"/>
                  <w:noWrap w:val="0"/>
                  <w:vAlign w:val="center"/>
                </w:tcPr>
                <w:p w14:paraId="0345BC1F">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cs="Times New Roman"/>
                      <w:b w:val="0"/>
                      <w:bCs w:val="0"/>
                      <w:color w:val="auto"/>
                      <w:kern w:val="2"/>
                      <w:sz w:val="21"/>
                      <w:szCs w:val="21"/>
                      <w:highlight w:val="none"/>
                      <w:u w:val="none"/>
                      <w:lang w:val="en-US" w:eastAsia="zh-CN" w:bidi="ar-SA"/>
                    </w:rPr>
                  </w:pPr>
                </w:p>
              </w:tc>
            </w:tr>
            <w:tr w14:paraId="7521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9" w:hRule="atLeast"/>
              </w:trPr>
              <w:tc>
                <w:tcPr>
                  <w:tcW w:w="468" w:type="pct"/>
                  <w:vMerge w:val="continue"/>
                  <w:tcBorders>
                    <w:tl2br w:val="nil"/>
                    <w:tr2bl w:val="nil"/>
                  </w:tcBorders>
                  <w:shd w:val="clear" w:color="auto" w:fill="auto"/>
                  <w:noWrap w:val="0"/>
                  <w:vAlign w:val="center"/>
                </w:tcPr>
                <w:p w14:paraId="6390BA97">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p>
              </w:tc>
              <w:tc>
                <w:tcPr>
                  <w:tcW w:w="1125" w:type="pct"/>
                  <w:tcBorders>
                    <w:tl2br w:val="nil"/>
                    <w:tr2bl w:val="nil"/>
                  </w:tcBorders>
                  <w:shd w:val="clear" w:color="auto" w:fill="auto"/>
                  <w:noWrap w:val="0"/>
                  <w:vAlign w:val="center"/>
                </w:tcPr>
                <w:p w14:paraId="4D9B4051">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single"/>
                      <w:vertAlign w:val="baseline"/>
                      <w:lang w:val="en-US" w:eastAsia="zh-CN" w:bidi="ar-SA"/>
                    </w:rPr>
                  </w:pPr>
                  <w:r>
                    <w:rPr>
                      <w:rFonts w:hint="default" w:ascii="Times New Roman" w:hAnsi="Times New Roman" w:cs="Times New Roman"/>
                      <w:b w:val="0"/>
                      <w:bCs w:val="0"/>
                      <w:color w:val="auto"/>
                      <w:kern w:val="2"/>
                      <w:sz w:val="21"/>
                      <w:szCs w:val="21"/>
                      <w:highlight w:val="none"/>
                      <w:u w:val="single"/>
                      <w:vertAlign w:val="baseline"/>
                      <w:lang w:val="en-US" w:eastAsia="zh-CN" w:bidi="ar-SA"/>
                    </w:rPr>
                    <w:t>集尘灰</w:t>
                  </w:r>
                </w:p>
              </w:tc>
              <w:tc>
                <w:tcPr>
                  <w:tcW w:w="470" w:type="pct"/>
                  <w:vMerge w:val="continue"/>
                  <w:tcBorders>
                    <w:tl2br w:val="nil"/>
                    <w:tr2bl w:val="nil"/>
                  </w:tcBorders>
                  <w:shd w:val="clear" w:color="auto" w:fill="auto"/>
                  <w:noWrap w:val="0"/>
                  <w:vAlign w:val="center"/>
                </w:tcPr>
                <w:p w14:paraId="7AFB4399">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sz w:val="21"/>
                      <w:szCs w:val="21"/>
                      <w:highlight w:val="none"/>
                      <w:u w:val="single"/>
                      <w:lang w:val="en-US" w:eastAsia="zh-CN"/>
                    </w:rPr>
                  </w:pPr>
                </w:p>
              </w:tc>
              <w:tc>
                <w:tcPr>
                  <w:tcW w:w="737" w:type="pct"/>
                  <w:tcBorders>
                    <w:tl2br w:val="nil"/>
                    <w:tr2bl w:val="nil"/>
                  </w:tcBorders>
                  <w:shd w:val="clear" w:color="auto" w:fill="auto"/>
                  <w:noWrap w:val="0"/>
                  <w:vAlign w:val="center"/>
                </w:tcPr>
                <w:p w14:paraId="28154D49">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sz w:val="21"/>
                      <w:szCs w:val="21"/>
                      <w:highlight w:val="none"/>
                      <w:u w:val="single"/>
                      <w:lang w:val="en-US" w:eastAsia="zh-CN"/>
                    </w:rPr>
                  </w:pPr>
                  <w:r>
                    <w:rPr>
                      <w:rFonts w:hint="eastAsia" w:hAnsi="Times New Roman" w:cs="Times New Roman"/>
                      <w:b w:val="0"/>
                      <w:bCs w:val="0"/>
                      <w:color w:val="auto"/>
                      <w:sz w:val="21"/>
                      <w:szCs w:val="21"/>
                      <w:highlight w:val="none"/>
                      <w:u w:val="single"/>
                      <w:lang w:val="en-US" w:eastAsia="zh-CN"/>
                    </w:rPr>
                    <w:t>5.3561</w:t>
                  </w:r>
                  <w:r>
                    <w:rPr>
                      <w:rFonts w:hint="eastAsia" w:ascii="Times New Roman" w:hAnsi="Times New Roman" w:eastAsia="宋体" w:cs="Times New Roman"/>
                      <w:b w:val="0"/>
                      <w:bCs w:val="0"/>
                      <w:color w:val="auto"/>
                      <w:sz w:val="21"/>
                      <w:szCs w:val="21"/>
                      <w:highlight w:val="none"/>
                      <w:u w:val="single"/>
                      <w:lang w:val="en-US" w:eastAsia="zh-CN"/>
                    </w:rPr>
                    <w:t>t/a</w:t>
                  </w:r>
                </w:p>
              </w:tc>
              <w:tc>
                <w:tcPr>
                  <w:tcW w:w="710" w:type="pct"/>
                  <w:vMerge w:val="continue"/>
                  <w:tcBorders>
                    <w:tl2br w:val="nil"/>
                    <w:tr2bl w:val="nil"/>
                  </w:tcBorders>
                  <w:shd w:val="clear" w:color="auto" w:fill="auto"/>
                  <w:noWrap w:val="0"/>
                  <w:vAlign w:val="center"/>
                </w:tcPr>
                <w:p w14:paraId="7B05F60E">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cs="Times New Roman"/>
                      <w:b w:val="0"/>
                      <w:bCs w:val="0"/>
                      <w:color w:val="auto"/>
                      <w:sz w:val="21"/>
                      <w:szCs w:val="21"/>
                      <w:highlight w:val="none"/>
                      <w:u w:val="single"/>
                      <w:lang w:val="en-US" w:eastAsia="zh-CN"/>
                    </w:rPr>
                  </w:pPr>
                </w:p>
              </w:tc>
              <w:tc>
                <w:tcPr>
                  <w:tcW w:w="754" w:type="pct"/>
                  <w:tcBorders>
                    <w:tl2br w:val="nil"/>
                    <w:tr2bl w:val="nil"/>
                  </w:tcBorders>
                  <w:shd w:val="clear" w:color="auto" w:fill="auto"/>
                  <w:noWrap w:val="0"/>
                  <w:vAlign w:val="center"/>
                </w:tcPr>
                <w:p w14:paraId="2287D581">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sz w:val="21"/>
                      <w:szCs w:val="21"/>
                      <w:highlight w:val="none"/>
                      <w:u w:val="single"/>
                      <w:lang w:val="en-US" w:eastAsia="zh-CN"/>
                    </w:rPr>
                    <w:t>5.3561</w:t>
                  </w:r>
                  <w:r>
                    <w:rPr>
                      <w:rFonts w:hint="eastAsia" w:ascii="Times New Roman" w:hAnsi="Times New Roman" w:eastAsia="宋体" w:cs="Times New Roman"/>
                      <w:b w:val="0"/>
                      <w:bCs w:val="0"/>
                      <w:color w:val="auto"/>
                      <w:sz w:val="21"/>
                      <w:szCs w:val="21"/>
                      <w:highlight w:val="none"/>
                      <w:u w:val="single"/>
                      <w:lang w:val="en-US" w:eastAsia="zh-CN"/>
                    </w:rPr>
                    <w:t>t/a</w:t>
                  </w:r>
                </w:p>
              </w:tc>
              <w:tc>
                <w:tcPr>
                  <w:tcW w:w="732" w:type="pct"/>
                  <w:vMerge w:val="continue"/>
                  <w:tcBorders>
                    <w:tl2br w:val="nil"/>
                    <w:tr2bl w:val="nil"/>
                  </w:tcBorders>
                  <w:shd w:val="clear" w:color="auto" w:fill="auto"/>
                  <w:noWrap w:val="0"/>
                  <w:vAlign w:val="center"/>
                </w:tcPr>
                <w:p w14:paraId="318687C7">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r>
            <w:tr w14:paraId="0CA0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8" w:type="pct"/>
                  <w:vMerge w:val="continue"/>
                  <w:tcBorders>
                    <w:tl2br w:val="nil"/>
                    <w:tr2bl w:val="nil"/>
                  </w:tcBorders>
                  <w:shd w:val="clear" w:color="auto" w:fill="auto"/>
                  <w:noWrap w:val="0"/>
                  <w:vAlign w:val="center"/>
                </w:tcPr>
                <w:p w14:paraId="003A1A09">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p>
              </w:tc>
              <w:tc>
                <w:tcPr>
                  <w:tcW w:w="1125" w:type="pct"/>
                  <w:tcBorders>
                    <w:tl2br w:val="nil"/>
                    <w:tr2bl w:val="nil"/>
                  </w:tcBorders>
                  <w:shd w:val="clear" w:color="auto" w:fill="auto"/>
                  <w:noWrap w:val="0"/>
                  <w:vAlign w:val="center"/>
                </w:tcPr>
                <w:p w14:paraId="5E39ACC6">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r>
                    <w:rPr>
                      <w:rFonts w:hint="default" w:ascii="Times New Roman" w:hAnsi="Times New Roman" w:cs="Times New Roman"/>
                      <w:b w:val="0"/>
                      <w:bCs w:val="0"/>
                      <w:color w:val="auto"/>
                      <w:kern w:val="2"/>
                      <w:sz w:val="21"/>
                      <w:szCs w:val="21"/>
                      <w:highlight w:val="none"/>
                      <w:u w:val="none"/>
                      <w:vertAlign w:val="baseline"/>
                      <w:lang w:val="en-US" w:eastAsia="zh-CN" w:bidi="ar-SA"/>
                    </w:rPr>
                    <w:t>除尘器废布袋</w:t>
                  </w:r>
                </w:p>
              </w:tc>
              <w:tc>
                <w:tcPr>
                  <w:tcW w:w="470" w:type="pct"/>
                  <w:vMerge w:val="continue"/>
                  <w:tcBorders>
                    <w:tl2br w:val="nil"/>
                    <w:tr2bl w:val="nil"/>
                  </w:tcBorders>
                  <w:shd w:val="clear" w:color="auto" w:fill="auto"/>
                  <w:noWrap w:val="0"/>
                  <w:vAlign w:val="center"/>
                </w:tcPr>
                <w:p w14:paraId="4581E5ED">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sz w:val="21"/>
                      <w:szCs w:val="21"/>
                      <w:highlight w:val="none"/>
                      <w:u w:val="none"/>
                      <w:lang w:val="en-US" w:eastAsia="zh-CN"/>
                    </w:rPr>
                  </w:pPr>
                </w:p>
              </w:tc>
              <w:tc>
                <w:tcPr>
                  <w:tcW w:w="737" w:type="pct"/>
                  <w:tcBorders>
                    <w:tl2br w:val="nil"/>
                    <w:tr2bl w:val="nil"/>
                  </w:tcBorders>
                  <w:shd w:val="clear" w:color="auto" w:fill="auto"/>
                  <w:noWrap w:val="0"/>
                  <w:vAlign w:val="center"/>
                </w:tcPr>
                <w:p w14:paraId="175CC42B">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sz w:val="21"/>
                      <w:szCs w:val="21"/>
                      <w:highlight w:val="none"/>
                      <w:u w:val="none"/>
                      <w:lang w:val="en-US" w:eastAsia="zh-CN"/>
                    </w:rPr>
                  </w:pPr>
                  <w:r>
                    <w:rPr>
                      <w:rFonts w:hint="default" w:hAnsi="Times New Roman" w:cs="Times New Roman"/>
                      <w:b w:val="0"/>
                      <w:bCs w:val="0"/>
                      <w:color w:val="auto"/>
                      <w:sz w:val="21"/>
                      <w:szCs w:val="21"/>
                      <w:highlight w:val="none"/>
                      <w:u w:val="none"/>
                      <w:lang w:val="en-US" w:eastAsia="zh-CN"/>
                    </w:rPr>
                    <w:t>2个/a</w:t>
                  </w:r>
                </w:p>
              </w:tc>
              <w:tc>
                <w:tcPr>
                  <w:tcW w:w="710" w:type="pct"/>
                  <w:vMerge w:val="continue"/>
                  <w:tcBorders>
                    <w:tl2br w:val="nil"/>
                    <w:tr2bl w:val="nil"/>
                  </w:tcBorders>
                  <w:shd w:val="clear" w:color="auto" w:fill="auto"/>
                  <w:noWrap w:val="0"/>
                  <w:vAlign w:val="center"/>
                </w:tcPr>
                <w:p w14:paraId="00CFDD5B">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cs="Times New Roman"/>
                      <w:b w:val="0"/>
                      <w:bCs w:val="0"/>
                      <w:color w:val="auto"/>
                      <w:sz w:val="21"/>
                      <w:szCs w:val="21"/>
                      <w:highlight w:val="none"/>
                      <w:u w:val="none"/>
                      <w:lang w:val="en-US" w:eastAsia="zh-CN"/>
                    </w:rPr>
                  </w:pPr>
                </w:p>
              </w:tc>
              <w:tc>
                <w:tcPr>
                  <w:tcW w:w="754" w:type="pct"/>
                  <w:tcBorders>
                    <w:tl2br w:val="nil"/>
                    <w:tr2bl w:val="nil"/>
                  </w:tcBorders>
                  <w:shd w:val="clear" w:color="auto" w:fill="auto"/>
                  <w:noWrap w:val="0"/>
                  <w:vAlign w:val="center"/>
                </w:tcPr>
                <w:p w14:paraId="79323363">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hAnsi="Times New Roman" w:cs="Times New Roman"/>
                      <w:b w:val="0"/>
                      <w:bCs w:val="0"/>
                      <w:color w:val="auto"/>
                      <w:sz w:val="21"/>
                      <w:szCs w:val="21"/>
                      <w:highlight w:val="none"/>
                      <w:u w:val="none"/>
                      <w:lang w:val="en-US" w:eastAsia="zh-CN"/>
                    </w:rPr>
                    <w:t>2个/a</w:t>
                  </w:r>
                </w:p>
              </w:tc>
              <w:tc>
                <w:tcPr>
                  <w:tcW w:w="732" w:type="pct"/>
                  <w:vMerge w:val="continue"/>
                  <w:tcBorders>
                    <w:tl2br w:val="nil"/>
                    <w:tr2bl w:val="nil"/>
                  </w:tcBorders>
                  <w:shd w:val="clear" w:color="auto" w:fill="auto"/>
                  <w:noWrap w:val="0"/>
                  <w:vAlign w:val="center"/>
                </w:tcPr>
                <w:p w14:paraId="493FD721">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r>
            <w:tr w14:paraId="3809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continue"/>
                  <w:tcBorders>
                    <w:tl2br w:val="nil"/>
                    <w:tr2bl w:val="nil"/>
                  </w:tcBorders>
                  <w:shd w:val="clear" w:color="auto" w:fill="auto"/>
                  <w:noWrap w:val="0"/>
                  <w:vAlign w:val="center"/>
                </w:tcPr>
                <w:p w14:paraId="20D4B9B5">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p>
              </w:tc>
              <w:tc>
                <w:tcPr>
                  <w:tcW w:w="1125" w:type="pct"/>
                  <w:tcBorders>
                    <w:tl2br w:val="nil"/>
                    <w:tr2bl w:val="nil"/>
                  </w:tcBorders>
                  <w:shd w:val="clear" w:color="auto" w:fill="auto"/>
                  <w:noWrap w:val="0"/>
                  <w:vAlign w:val="center"/>
                </w:tcPr>
                <w:p w14:paraId="436CBD69">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r>
                    <w:rPr>
                      <w:rFonts w:hint="default" w:ascii="Times New Roman" w:hAnsi="Times New Roman" w:cs="Times New Roman"/>
                      <w:b w:val="0"/>
                      <w:bCs w:val="0"/>
                      <w:color w:val="auto"/>
                      <w:kern w:val="2"/>
                      <w:sz w:val="21"/>
                      <w:szCs w:val="21"/>
                      <w:highlight w:val="none"/>
                      <w:u w:val="none"/>
                      <w:vertAlign w:val="baseline"/>
                      <w:lang w:val="en-US" w:eastAsia="zh-CN" w:bidi="ar-SA"/>
                    </w:rPr>
                    <w:t>废</w:t>
                  </w:r>
                  <w:r>
                    <w:rPr>
                      <w:rFonts w:hint="eastAsia" w:cs="Times New Roman"/>
                      <w:b w:val="0"/>
                      <w:bCs w:val="0"/>
                      <w:color w:val="auto"/>
                      <w:kern w:val="2"/>
                      <w:sz w:val="21"/>
                      <w:szCs w:val="21"/>
                      <w:highlight w:val="none"/>
                      <w:u w:val="none"/>
                      <w:vertAlign w:val="baseline"/>
                      <w:lang w:val="en-US" w:eastAsia="zh-CN" w:bidi="ar-SA"/>
                    </w:rPr>
                    <w:t>切削</w:t>
                  </w:r>
                  <w:r>
                    <w:rPr>
                      <w:rFonts w:hint="default" w:ascii="Times New Roman" w:hAnsi="Times New Roman" w:cs="Times New Roman"/>
                      <w:b w:val="0"/>
                      <w:bCs w:val="0"/>
                      <w:color w:val="auto"/>
                      <w:kern w:val="2"/>
                      <w:sz w:val="21"/>
                      <w:szCs w:val="21"/>
                      <w:highlight w:val="none"/>
                      <w:u w:val="none"/>
                      <w:vertAlign w:val="baseline"/>
                      <w:lang w:val="en-US" w:eastAsia="zh-CN" w:bidi="ar-SA"/>
                    </w:rPr>
                    <w:t>液</w:t>
                  </w:r>
                </w:p>
              </w:tc>
              <w:tc>
                <w:tcPr>
                  <w:tcW w:w="470" w:type="pct"/>
                  <w:vMerge w:val="restart"/>
                  <w:tcBorders>
                    <w:tl2br w:val="nil"/>
                    <w:tr2bl w:val="nil"/>
                  </w:tcBorders>
                  <w:shd w:val="clear" w:color="auto" w:fill="auto"/>
                  <w:noWrap w:val="0"/>
                  <w:vAlign w:val="center"/>
                </w:tcPr>
                <w:p w14:paraId="438E4F0D">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危险废物</w:t>
                  </w:r>
                </w:p>
              </w:tc>
              <w:tc>
                <w:tcPr>
                  <w:tcW w:w="737" w:type="pct"/>
                  <w:tcBorders>
                    <w:tl2br w:val="nil"/>
                    <w:tr2bl w:val="nil"/>
                  </w:tcBorders>
                  <w:shd w:val="clear" w:color="auto" w:fill="auto"/>
                  <w:noWrap w:val="0"/>
                  <w:vAlign w:val="center"/>
                </w:tcPr>
                <w:p w14:paraId="3E14EEC4">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cs="Times New Roman"/>
                      <w:b w:val="0"/>
                      <w:bCs w:val="0"/>
                      <w:color w:val="auto"/>
                      <w:sz w:val="21"/>
                      <w:szCs w:val="21"/>
                      <w:highlight w:val="none"/>
                      <w:u w:val="none"/>
                      <w:lang w:val="en-US" w:eastAsia="zh-CN"/>
                    </w:rPr>
                  </w:pPr>
                  <w:r>
                    <w:rPr>
                      <w:rFonts w:hint="eastAsia" w:ascii="Times New Roman" w:hAnsi="Times New Roman" w:cs="Times New Roman"/>
                      <w:b w:val="0"/>
                      <w:bCs w:val="0"/>
                      <w:color w:val="auto"/>
                      <w:sz w:val="21"/>
                      <w:szCs w:val="21"/>
                      <w:highlight w:val="none"/>
                      <w:u w:val="none"/>
                      <w:lang w:val="en-US" w:eastAsia="zh-CN"/>
                    </w:rPr>
                    <w:t>0.2</w:t>
                  </w:r>
                  <w:r>
                    <w:rPr>
                      <w:rFonts w:hint="default" w:hAnsi="Times New Roman" w:cs="Times New Roman"/>
                      <w:b w:val="0"/>
                      <w:bCs w:val="0"/>
                      <w:color w:val="auto"/>
                      <w:sz w:val="21"/>
                      <w:szCs w:val="21"/>
                      <w:highlight w:val="none"/>
                      <w:u w:val="none"/>
                      <w:lang w:val="en-US" w:eastAsia="zh-CN"/>
                    </w:rPr>
                    <w:t>t/a</w:t>
                  </w:r>
                </w:p>
              </w:tc>
              <w:tc>
                <w:tcPr>
                  <w:tcW w:w="710" w:type="pct"/>
                  <w:vMerge w:val="restart"/>
                  <w:tcBorders>
                    <w:tl2br w:val="nil"/>
                    <w:tr2bl w:val="nil"/>
                  </w:tcBorders>
                  <w:shd w:val="clear" w:color="auto" w:fill="auto"/>
                  <w:noWrap w:val="0"/>
                  <w:vAlign w:val="center"/>
                </w:tcPr>
                <w:p w14:paraId="361AD347">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危废暂存间暂存</w:t>
                  </w:r>
                </w:p>
              </w:tc>
              <w:tc>
                <w:tcPr>
                  <w:tcW w:w="754" w:type="pct"/>
                  <w:tcBorders>
                    <w:tl2br w:val="nil"/>
                    <w:tr2bl w:val="nil"/>
                  </w:tcBorders>
                  <w:shd w:val="clear" w:color="auto" w:fill="auto"/>
                  <w:noWrap w:val="0"/>
                  <w:vAlign w:val="center"/>
                </w:tcPr>
                <w:p w14:paraId="3BCFAA15">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sz w:val="21"/>
                      <w:szCs w:val="21"/>
                      <w:highlight w:val="none"/>
                      <w:u w:val="none"/>
                      <w:lang w:val="en-US" w:eastAsia="zh-CN"/>
                    </w:rPr>
                    <w:t>0.2</w:t>
                  </w:r>
                  <w:r>
                    <w:rPr>
                      <w:rFonts w:hint="default" w:hAnsi="Times New Roman" w:cs="Times New Roman"/>
                      <w:b w:val="0"/>
                      <w:bCs w:val="0"/>
                      <w:color w:val="auto"/>
                      <w:sz w:val="21"/>
                      <w:szCs w:val="21"/>
                      <w:highlight w:val="none"/>
                      <w:u w:val="none"/>
                      <w:lang w:val="en-US" w:eastAsia="zh-CN"/>
                    </w:rPr>
                    <w:t>t/a</w:t>
                  </w:r>
                </w:p>
              </w:tc>
              <w:tc>
                <w:tcPr>
                  <w:tcW w:w="732" w:type="pct"/>
                  <w:vMerge w:val="restart"/>
                  <w:tcBorders>
                    <w:tl2br w:val="nil"/>
                    <w:tr2bl w:val="nil"/>
                  </w:tcBorders>
                  <w:shd w:val="clear" w:color="auto" w:fill="auto"/>
                  <w:noWrap w:val="0"/>
                  <w:vAlign w:val="center"/>
                </w:tcPr>
                <w:p w14:paraId="1D5136BF">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定期由有资质单位处理</w:t>
                  </w:r>
                </w:p>
              </w:tc>
            </w:tr>
            <w:tr w14:paraId="282A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468" w:type="pct"/>
                  <w:vMerge w:val="continue"/>
                  <w:tcBorders>
                    <w:tl2br w:val="nil"/>
                    <w:tr2bl w:val="nil"/>
                  </w:tcBorders>
                  <w:shd w:val="clear" w:color="auto" w:fill="auto"/>
                  <w:noWrap w:val="0"/>
                  <w:vAlign w:val="center"/>
                </w:tcPr>
                <w:p w14:paraId="4C795F6D">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p>
              </w:tc>
              <w:tc>
                <w:tcPr>
                  <w:tcW w:w="1125" w:type="pct"/>
                  <w:tcBorders>
                    <w:tl2br w:val="nil"/>
                    <w:tr2bl w:val="nil"/>
                  </w:tcBorders>
                  <w:shd w:val="clear" w:color="auto" w:fill="auto"/>
                  <w:noWrap w:val="0"/>
                  <w:vAlign w:val="center"/>
                </w:tcPr>
                <w:p w14:paraId="01345480">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r>
                    <w:rPr>
                      <w:rFonts w:hint="default" w:ascii="Times New Roman" w:hAnsi="Times New Roman" w:cs="Times New Roman"/>
                      <w:b w:val="0"/>
                      <w:bCs w:val="0"/>
                      <w:color w:val="auto"/>
                      <w:kern w:val="2"/>
                      <w:sz w:val="21"/>
                      <w:szCs w:val="21"/>
                      <w:highlight w:val="none"/>
                      <w:u w:val="none"/>
                      <w:vertAlign w:val="baseline"/>
                      <w:lang w:val="en-US" w:eastAsia="zh-CN" w:bidi="ar-SA"/>
                    </w:rPr>
                    <w:t>废机油</w:t>
                  </w:r>
                </w:p>
              </w:tc>
              <w:tc>
                <w:tcPr>
                  <w:tcW w:w="470" w:type="pct"/>
                  <w:vMerge w:val="continue"/>
                  <w:tcBorders>
                    <w:tl2br w:val="nil"/>
                    <w:tr2bl w:val="nil"/>
                  </w:tcBorders>
                  <w:shd w:val="clear" w:color="auto" w:fill="auto"/>
                  <w:noWrap w:val="0"/>
                  <w:vAlign w:val="center"/>
                </w:tcPr>
                <w:p w14:paraId="0ECAE5FE">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sz w:val="21"/>
                      <w:szCs w:val="21"/>
                      <w:highlight w:val="none"/>
                      <w:u w:val="none"/>
                      <w:lang w:val="en-US" w:eastAsia="zh-CN"/>
                    </w:rPr>
                  </w:pPr>
                </w:p>
              </w:tc>
              <w:tc>
                <w:tcPr>
                  <w:tcW w:w="737" w:type="pct"/>
                  <w:tcBorders>
                    <w:tl2br w:val="nil"/>
                    <w:tr2bl w:val="nil"/>
                  </w:tcBorders>
                  <w:shd w:val="clear" w:color="auto" w:fill="auto"/>
                  <w:noWrap w:val="0"/>
                  <w:vAlign w:val="center"/>
                </w:tcPr>
                <w:p w14:paraId="572CC04D">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0.002</w:t>
                  </w:r>
                  <w:r>
                    <w:rPr>
                      <w:rFonts w:hint="default" w:hAnsi="Times New Roman" w:cs="Times New Roman"/>
                      <w:b w:val="0"/>
                      <w:bCs w:val="0"/>
                      <w:color w:val="auto"/>
                      <w:sz w:val="21"/>
                      <w:szCs w:val="21"/>
                      <w:highlight w:val="none"/>
                      <w:u w:val="none"/>
                      <w:lang w:val="en-US" w:eastAsia="zh-CN"/>
                    </w:rPr>
                    <w:t>t/a</w:t>
                  </w:r>
                </w:p>
              </w:tc>
              <w:tc>
                <w:tcPr>
                  <w:tcW w:w="710" w:type="pct"/>
                  <w:vMerge w:val="continue"/>
                  <w:tcBorders>
                    <w:tl2br w:val="nil"/>
                    <w:tr2bl w:val="nil"/>
                  </w:tcBorders>
                  <w:shd w:val="clear" w:color="auto" w:fill="auto"/>
                  <w:noWrap w:val="0"/>
                  <w:vAlign w:val="center"/>
                </w:tcPr>
                <w:p w14:paraId="18D1F0BD">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sz w:val="21"/>
                      <w:szCs w:val="21"/>
                      <w:highlight w:val="none"/>
                      <w:u w:val="none"/>
                      <w:lang w:val="en-US" w:eastAsia="zh-CN"/>
                    </w:rPr>
                  </w:pPr>
                </w:p>
              </w:tc>
              <w:tc>
                <w:tcPr>
                  <w:tcW w:w="754" w:type="pct"/>
                  <w:tcBorders>
                    <w:tl2br w:val="nil"/>
                    <w:tr2bl w:val="nil"/>
                  </w:tcBorders>
                  <w:shd w:val="clear" w:color="auto" w:fill="auto"/>
                  <w:noWrap w:val="0"/>
                  <w:vAlign w:val="center"/>
                </w:tcPr>
                <w:p w14:paraId="2D1D0C61">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0.002</w:t>
                  </w:r>
                  <w:r>
                    <w:rPr>
                      <w:rFonts w:hint="default" w:hAnsi="Times New Roman" w:cs="Times New Roman"/>
                      <w:b w:val="0"/>
                      <w:bCs w:val="0"/>
                      <w:color w:val="auto"/>
                      <w:sz w:val="21"/>
                      <w:szCs w:val="21"/>
                      <w:highlight w:val="none"/>
                      <w:u w:val="none"/>
                      <w:lang w:val="en-US" w:eastAsia="zh-CN"/>
                    </w:rPr>
                    <w:t>t/a</w:t>
                  </w:r>
                </w:p>
              </w:tc>
              <w:tc>
                <w:tcPr>
                  <w:tcW w:w="732" w:type="pct"/>
                  <w:vMerge w:val="continue"/>
                  <w:tcBorders>
                    <w:tl2br w:val="nil"/>
                    <w:tr2bl w:val="nil"/>
                  </w:tcBorders>
                  <w:shd w:val="clear" w:color="auto" w:fill="auto"/>
                  <w:noWrap w:val="0"/>
                  <w:vAlign w:val="center"/>
                </w:tcPr>
                <w:p w14:paraId="2C52ADE1">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sz w:val="21"/>
                      <w:szCs w:val="21"/>
                      <w:highlight w:val="none"/>
                      <w:u w:val="none"/>
                    </w:rPr>
                  </w:pPr>
                </w:p>
              </w:tc>
            </w:tr>
            <w:tr w14:paraId="32D6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468" w:type="pct"/>
                  <w:vMerge w:val="continue"/>
                  <w:tcBorders>
                    <w:tl2br w:val="nil"/>
                    <w:tr2bl w:val="nil"/>
                  </w:tcBorders>
                  <w:shd w:val="clear" w:color="auto" w:fill="auto"/>
                  <w:noWrap w:val="0"/>
                  <w:vAlign w:val="center"/>
                </w:tcPr>
                <w:p w14:paraId="38D9A7A9">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p>
              </w:tc>
              <w:tc>
                <w:tcPr>
                  <w:tcW w:w="1125" w:type="pct"/>
                  <w:tcBorders>
                    <w:tl2br w:val="nil"/>
                    <w:tr2bl w:val="nil"/>
                  </w:tcBorders>
                  <w:shd w:val="clear" w:color="auto" w:fill="auto"/>
                  <w:noWrap w:val="0"/>
                  <w:vAlign w:val="center"/>
                </w:tcPr>
                <w:p w14:paraId="3F9333CC">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r>
                    <w:rPr>
                      <w:rFonts w:hint="default" w:ascii="Times New Roman" w:hAnsi="Times New Roman" w:cs="Times New Roman"/>
                      <w:b w:val="0"/>
                      <w:bCs w:val="0"/>
                      <w:color w:val="auto"/>
                      <w:kern w:val="2"/>
                      <w:sz w:val="21"/>
                      <w:szCs w:val="21"/>
                      <w:highlight w:val="none"/>
                      <w:u w:val="none"/>
                      <w:vertAlign w:val="baseline"/>
                      <w:lang w:val="en-US" w:eastAsia="zh-CN" w:bidi="ar-SA"/>
                    </w:rPr>
                    <w:t>废包装桶</w:t>
                  </w:r>
                </w:p>
              </w:tc>
              <w:tc>
                <w:tcPr>
                  <w:tcW w:w="470" w:type="pct"/>
                  <w:vMerge w:val="continue"/>
                  <w:tcBorders>
                    <w:tl2br w:val="nil"/>
                    <w:tr2bl w:val="nil"/>
                  </w:tcBorders>
                  <w:shd w:val="clear" w:color="auto" w:fill="auto"/>
                  <w:noWrap w:val="0"/>
                  <w:vAlign w:val="center"/>
                </w:tcPr>
                <w:p w14:paraId="74D01E2E">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sz w:val="21"/>
                      <w:szCs w:val="21"/>
                      <w:highlight w:val="none"/>
                      <w:u w:val="none"/>
                      <w:lang w:val="en-US" w:eastAsia="zh-CN"/>
                    </w:rPr>
                  </w:pPr>
                </w:p>
              </w:tc>
              <w:tc>
                <w:tcPr>
                  <w:tcW w:w="737" w:type="pct"/>
                  <w:tcBorders>
                    <w:tl2br w:val="nil"/>
                    <w:tr2bl w:val="nil"/>
                  </w:tcBorders>
                  <w:shd w:val="clear" w:color="auto" w:fill="auto"/>
                  <w:noWrap w:val="0"/>
                  <w:vAlign w:val="center"/>
                </w:tcPr>
                <w:p w14:paraId="3976A892">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0.076</w:t>
                  </w:r>
                  <w:r>
                    <w:rPr>
                      <w:rFonts w:hint="default" w:hAnsi="Times New Roman" w:cs="Times New Roman"/>
                      <w:b w:val="0"/>
                      <w:bCs w:val="0"/>
                      <w:color w:val="auto"/>
                      <w:sz w:val="21"/>
                      <w:szCs w:val="21"/>
                      <w:highlight w:val="none"/>
                      <w:u w:val="none"/>
                      <w:lang w:val="en-US" w:eastAsia="zh-CN"/>
                    </w:rPr>
                    <w:t>t/a</w:t>
                  </w:r>
                </w:p>
              </w:tc>
              <w:tc>
                <w:tcPr>
                  <w:tcW w:w="710" w:type="pct"/>
                  <w:vMerge w:val="continue"/>
                  <w:tcBorders>
                    <w:tl2br w:val="nil"/>
                    <w:tr2bl w:val="nil"/>
                  </w:tcBorders>
                  <w:shd w:val="clear" w:color="auto" w:fill="auto"/>
                  <w:noWrap w:val="0"/>
                  <w:vAlign w:val="center"/>
                </w:tcPr>
                <w:p w14:paraId="78556C88">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sz w:val="21"/>
                      <w:szCs w:val="21"/>
                      <w:highlight w:val="none"/>
                      <w:u w:val="none"/>
                      <w:lang w:val="en-US" w:eastAsia="zh-CN"/>
                    </w:rPr>
                  </w:pPr>
                </w:p>
              </w:tc>
              <w:tc>
                <w:tcPr>
                  <w:tcW w:w="754" w:type="pct"/>
                  <w:tcBorders>
                    <w:tl2br w:val="nil"/>
                    <w:tr2bl w:val="nil"/>
                  </w:tcBorders>
                  <w:shd w:val="clear" w:color="auto" w:fill="auto"/>
                  <w:noWrap w:val="0"/>
                  <w:vAlign w:val="center"/>
                </w:tcPr>
                <w:p w14:paraId="734405E0">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0.076</w:t>
                  </w:r>
                  <w:r>
                    <w:rPr>
                      <w:rFonts w:hint="default" w:hAnsi="Times New Roman" w:cs="Times New Roman"/>
                      <w:b w:val="0"/>
                      <w:bCs w:val="0"/>
                      <w:color w:val="auto"/>
                      <w:sz w:val="21"/>
                      <w:szCs w:val="21"/>
                      <w:highlight w:val="none"/>
                      <w:u w:val="none"/>
                      <w:lang w:val="en-US" w:eastAsia="zh-CN"/>
                    </w:rPr>
                    <w:t>t/a</w:t>
                  </w:r>
                </w:p>
              </w:tc>
              <w:tc>
                <w:tcPr>
                  <w:tcW w:w="732" w:type="pct"/>
                  <w:vMerge w:val="continue"/>
                  <w:tcBorders>
                    <w:tl2br w:val="nil"/>
                    <w:tr2bl w:val="nil"/>
                  </w:tcBorders>
                  <w:shd w:val="clear" w:color="auto" w:fill="auto"/>
                  <w:noWrap w:val="0"/>
                  <w:vAlign w:val="center"/>
                </w:tcPr>
                <w:p w14:paraId="7BBA00ED">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sz w:val="21"/>
                      <w:szCs w:val="21"/>
                      <w:highlight w:val="none"/>
                      <w:u w:val="none"/>
                    </w:rPr>
                  </w:pPr>
                </w:p>
              </w:tc>
            </w:tr>
            <w:tr w14:paraId="2850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468" w:type="pct"/>
                  <w:vMerge w:val="continue"/>
                  <w:tcBorders>
                    <w:tl2br w:val="nil"/>
                    <w:tr2bl w:val="nil"/>
                  </w:tcBorders>
                  <w:shd w:val="clear" w:color="auto" w:fill="auto"/>
                  <w:noWrap w:val="0"/>
                  <w:vAlign w:val="center"/>
                </w:tcPr>
                <w:p w14:paraId="3947CE53">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p>
              </w:tc>
              <w:tc>
                <w:tcPr>
                  <w:tcW w:w="1125" w:type="pct"/>
                  <w:tcBorders>
                    <w:tl2br w:val="nil"/>
                    <w:tr2bl w:val="nil"/>
                  </w:tcBorders>
                  <w:shd w:val="clear" w:color="auto" w:fill="auto"/>
                  <w:noWrap w:val="0"/>
                  <w:vAlign w:val="center"/>
                </w:tcPr>
                <w:p w14:paraId="03405B4B">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废防锈油</w:t>
                  </w:r>
                </w:p>
              </w:tc>
              <w:tc>
                <w:tcPr>
                  <w:tcW w:w="470" w:type="pct"/>
                  <w:vMerge w:val="continue"/>
                  <w:tcBorders>
                    <w:tl2br w:val="nil"/>
                    <w:tr2bl w:val="nil"/>
                  </w:tcBorders>
                  <w:shd w:val="clear" w:color="auto" w:fill="auto"/>
                  <w:noWrap w:val="0"/>
                  <w:vAlign w:val="center"/>
                </w:tcPr>
                <w:p w14:paraId="2B3E570B">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sz w:val="21"/>
                      <w:szCs w:val="21"/>
                      <w:highlight w:val="none"/>
                      <w:u w:val="none"/>
                      <w:lang w:val="en-US" w:eastAsia="zh-CN"/>
                    </w:rPr>
                  </w:pPr>
                </w:p>
              </w:tc>
              <w:tc>
                <w:tcPr>
                  <w:tcW w:w="737" w:type="pct"/>
                  <w:tcBorders>
                    <w:tl2br w:val="nil"/>
                    <w:tr2bl w:val="nil"/>
                  </w:tcBorders>
                  <w:shd w:val="clear" w:color="auto" w:fill="auto"/>
                  <w:noWrap w:val="0"/>
                  <w:vAlign w:val="center"/>
                </w:tcPr>
                <w:p w14:paraId="695FC347">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0.035t/a</w:t>
                  </w:r>
                </w:p>
              </w:tc>
              <w:tc>
                <w:tcPr>
                  <w:tcW w:w="710" w:type="pct"/>
                  <w:vMerge w:val="continue"/>
                  <w:tcBorders>
                    <w:tl2br w:val="nil"/>
                    <w:tr2bl w:val="nil"/>
                  </w:tcBorders>
                  <w:shd w:val="clear" w:color="auto" w:fill="auto"/>
                  <w:noWrap w:val="0"/>
                  <w:vAlign w:val="center"/>
                </w:tcPr>
                <w:p w14:paraId="6FFD0057">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sz w:val="21"/>
                      <w:szCs w:val="21"/>
                      <w:highlight w:val="none"/>
                      <w:u w:val="none"/>
                      <w:lang w:val="en-US" w:eastAsia="zh-CN"/>
                    </w:rPr>
                  </w:pPr>
                </w:p>
              </w:tc>
              <w:tc>
                <w:tcPr>
                  <w:tcW w:w="754" w:type="pct"/>
                  <w:tcBorders>
                    <w:tl2br w:val="nil"/>
                    <w:tr2bl w:val="nil"/>
                  </w:tcBorders>
                  <w:shd w:val="clear" w:color="auto" w:fill="auto"/>
                  <w:noWrap w:val="0"/>
                  <w:vAlign w:val="center"/>
                </w:tcPr>
                <w:p w14:paraId="12E1F741">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0.035t/a</w:t>
                  </w:r>
                </w:p>
              </w:tc>
              <w:tc>
                <w:tcPr>
                  <w:tcW w:w="732" w:type="pct"/>
                  <w:vMerge w:val="continue"/>
                  <w:tcBorders>
                    <w:tl2br w:val="nil"/>
                    <w:tr2bl w:val="nil"/>
                  </w:tcBorders>
                  <w:shd w:val="clear" w:color="auto" w:fill="auto"/>
                  <w:noWrap w:val="0"/>
                  <w:vAlign w:val="center"/>
                </w:tcPr>
                <w:p w14:paraId="6CC6D3D6">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sz w:val="21"/>
                      <w:szCs w:val="21"/>
                      <w:highlight w:val="none"/>
                      <w:u w:val="none"/>
                    </w:rPr>
                  </w:pPr>
                </w:p>
              </w:tc>
            </w:tr>
            <w:tr w14:paraId="7222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468" w:type="pct"/>
                  <w:vMerge w:val="continue"/>
                  <w:tcBorders>
                    <w:tl2br w:val="nil"/>
                    <w:tr2bl w:val="nil"/>
                  </w:tcBorders>
                  <w:shd w:val="clear" w:color="auto" w:fill="auto"/>
                  <w:noWrap w:val="0"/>
                  <w:vAlign w:val="center"/>
                </w:tcPr>
                <w:p w14:paraId="331EEABD">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p>
              </w:tc>
              <w:tc>
                <w:tcPr>
                  <w:tcW w:w="1125" w:type="pct"/>
                  <w:tcBorders>
                    <w:tl2br w:val="nil"/>
                    <w:tr2bl w:val="nil"/>
                  </w:tcBorders>
                  <w:shd w:val="clear" w:color="auto" w:fill="auto"/>
                  <w:noWrap w:val="0"/>
                  <w:vAlign w:val="center"/>
                </w:tcPr>
                <w:p w14:paraId="2036760B">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single"/>
                      <w:vertAlign w:val="baseline"/>
                      <w:lang w:val="en-US" w:eastAsia="zh-CN" w:bidi="ar-SA"/>
                    </w:rPr>
                  </w:pPr>
                  <w:r>
                    <w:rPr>
                      <w:rFonts w:hint="default" w:ascii="Times New Roman" w:hAnsi="Times New Roman" w:cs="Times New Roman"/>
                      <w:b w:val="0"/>
                      <w:bCs w:val="0"/>
                      <w:color w:val="auto"/>
                      <w:kern w:val="2"/>
                      <w:sz w:val="21"/>
                      <w:szCs w:val="21"/>
                      <w:highlight w:val="none"/>
                      <w:u w:val="single"/>
                      <w:vertAlign w:val="baseline"/>
                      <w:lang w:val="en-US" w:eastAsia="zh-CN" w:bidi="ar-SA"/>
                    </w:rPr>
                    <w:t>废活性炭</w:t>
                  </w:r>
                </w:p>
              </w:tc>
              <w:tc>
                <w:tcPr>
                  <w:tcW w:w="470" w:type="pct"/>
                  <w:vMerge w:val="continue"/>
                  <w:tcBorders>
                    <w:tl2br w:val="nil"/>
                    <w:tr2bl w:val="nil"/>
                  </w:tcBorders>
                  <w:shd w:val="clear" w:color="auto" w:fill="auto"/>
                  <w:noWrap w:val="0"/>
                  <w:vAlign w:val="center"/>
                </w:tcPr>
                <w:p w14:paraId="19BF04EE">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sz w:val="21"/>
                      <w:szCs w:val="21"/>
                      <w:highlight w:val="none"/>
                      <w:u w:val="single"/>
                      <w:lang w:val="en-US" w:eastAsia="zh-CN"/>
                    </w:rPr>
                  </w:pPr>
                </w:p>
              </w:tc>
              <w:tc>
                <w:tcPr>
                  <w:tcW w:w="737" w:type="pct"/>
                  <w:tcBorders>
                    <w:tl2br w:val="nil"/>
                    <w:tr2bl w:val="nil"/>
                  </w:tcBorders>
                  <w:shd w:val="clear" w:color="auto" w:fill="auto"/>
                  <w:noWrap w:val="0"/>
                  <w:vAlign w:val="center"/>
                </w:tcPr>
                <w:p w14:paraId="69860BAB">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cs="Times New Roman"/>
                      <w:b w:val="0"/>
                      <w:bCs w:val="0"/>
                      <w:color w:val="auto"/>
                      <w:sz w:val="21"/>
                      <w:szCs w:val="21"/>
                      <w:highlight w:val="none"/>
                      <w:u w:val="single"/>
                      <w:lang w:val="en-US" w:eastAsia="zh-CN"/>
                    </w:rPr>
                  </w:pPr>
                  <w:r>
                    <w:rPr>
                      <w:rFonts w:hint="eastAsia" w:hAnsi="Times New Roman" w:cs="Times New Roman"/>
                      <w:b w:val="0"/>
                      <w:bCs w:val="0"/>
                      <w:color w:val="auto"/>
                      <w:sz w:val="21"/>
                      <w:szCs w:val="21"/>
                      <w:highlight w:val="none"/>
                      <w:u w:val="single"/>
                      <w:lang w:val="en-US" w:eastAsia="zh-CN"/>
                    </w:rPr>
                    <w:t>1.3516</w:t>
                  </w:r>
                  <w:r>
                    <w:rPr>
                      <w:rFonts w:hint="default" w:hAnsi="Times New Roman" w:cs="Times New Roman"/>
                      <w:b w:val="0"/>
                      <w:bCs w:val="0"/>
                      <w:color w:val="auto"/>
                      <w:sz w:val="21"/>
                      <w:szCs w:val="21"/>
                      <w:highlight w:val="none"/>
                      <w:u w:val="single"/>
                      <w:lang w:val="en-US" w:eastAsia="zh-CN"/>
                    </w:rPr>
                    <w:t>t/a</w:t>
                  </w:r>
                </w:p>
              </w:tc>
              <w:tc>
                <w:tcPr>
                  <w:tcW w:w="710" w:type="pct"/>
                  <w:vMerge w:val="continue"/>
                  <w:tcBorders>
                    <w:tl2br w:val="nil"/>
                    <w:tr2bl w:val="nil"/>
                  </w:tcBorders>
                  <w:shd w:val="clear" w:color="auto" w:fill="auto"/>
                  <w:noWrap w:val="0"/>
                  <w:vAlign w:val="center"/>
                </w:tcPr>
                <w:p w14:paraId="29E8F82C">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sz w:val="21"/>
                      <w:szCs w:val="21"/>
                      <w:highlight w:val="none"/>
                      <w:u w:val="single"/>
                      <w:lang w:val="en-US" w:eastAsia="zh-CN"/>
                    </w:rPr>
                  </w:pPr>
                </w:p>
              </w:tc>
              <w:tc>
                <w:tcPr>
                  <w:tcW w:w="754" w:type="pct"/>
                  <w:tcBorders>
                    <w:tl2br w:val="nil"/>
                    <w:tr2bl w:val="nil"/>
                  </w:tcBorders>
                  <w:shd w:val="clear" w:color="auto" w:fill="auto"/>
                  <w:noWrap w:val="0"/>
                  <w:vAlign w:val="center"/>
                </w:tcPr>
                <w:p w14:paraId="60D3A6D9">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sz w:val="21"/>
                      <w:szCs w:val="21"/>
                      <w:highlight w:val="none"/>
                      <w:u w:val="single"/>
                      <w:lang w:val="en-US" w:eastAsia="zh-CN"/>
                    </w:rPr>
                    <w:t>1.3516</w:t>
                  </w:r>
                  <w:r>
                    <w:rPr>
                      <w:rFonts w:hint="default" w:hAnsi="Times New Roman" w:cs="Times New Roman"/>
                      <w:b w:val="0"/>
                      <w:bCs w:val="0"/>
                      <w:color w:val="auto"/>
                      <w:sz w:val="21"/>
                      <w:szCs w:val="21"/>
                      <w:highlight w:val="none"/>
                      <w:u w:val="single"/>
                      <w:lang w:val="en-US" w:eastAsia="zh-CN"/>
                    </w:rPr>
                    <w:t>t/a</w:t>
                  </w:r>
                </w:p>
              </w:tc>
              <w:tc>
                <w:tcPr>
                  <w:tcW w:w="732" w:type="pct"/>
                  <w:vMerge w:val="continue"/>
                  <w:tcBorders>
                    <w:tl2br w:val="nil"/>
                    <w:tr2bl w:val="nil"/>
                  </w:tcBorders>
                  <w:shd w:val="clear" w:color="auto" w:fill="auto"/>
                  <w:noWrap w:val="0"/>
                  <w:vAlign w:val="center"/>
                </w:tcPr>
                <w:p w14:paraId="1987EB5F">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sz w:val="21"/>
                      <w:szCs w:val="21"/>
                      <w:highlight w:val="none"/>
                      <w:u w:val="none"/>
                    </w:rPr>
                  </w:pPr>
                </w:p>
              </w:tc>
            </w:tr>
            <w:tr w14:paraId="5BFA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5" w:hRule="atLeast"/>
              </w:trPr>
              <w:tc>
                <w:tcPr>
                  <w:tcW w:w="468" w:type="pct"/>
                  <w:vMerge w:val="continue"/>
                  <w:tcBorders>
                    <w:tl2br w:val="nil"/>
                    <w:tr2bl w:val="nil"/>
                  </w:tcBorders>
                  <w:shd w:val="clear" w:color="auto" w:fill="auto"/>
                  <w:noWrap w:val="0"/>
                  <w:vAlign w:val="center"/>
                </w:tcPr>
                <w:p w14:paraId="32C39815">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p>
              </w:tc>
              <w:tc>
                <w:tcPr>
                  <w:tcW w:w="1125" w:type="pct"/>
                  <w:tcBorders>
                    <w:tl2br w:val="nil"/>
                    <w:tr2bl w:val="nil"/>
                  </w:tcBorders>
                  <w:shd w:val="clear" w:color="auto" w:fill="auto"/>
                  <w:noWrap w:val="0"/>
                  <w:vAlign w:val="center"/>
                </w:tcPr>
                <w:p w14:paraId="1862AC93">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single"/>
                      <w:vertAlign w:val="baseline"/>
                      <w:lang w:val="en-US" w:eastAsia="zh-CN" w:bidi="ar-SA"/>
                    </w:rPr>
                  </w:pPr>
                  <w:r>
                    <w:rPr>
                      <w:rFonts w:hint="eastAsia" w:cs="Times New Roman"/>
                      <w:b w:val="0"/>
                      <w:bCs w:val="0"/>
                      <w:color w:val="auto"/>
                      <w:kern w:val="2"/>
                      <w:sz w:val="21"/>
                      <w:szCs w:val="21"/>
                      <w:highlight w:val="none"/>
                      <w:u w:val="single"/>
                      <w:vertAlign w:val="baseline"/>
                      <w:lang w:val="en-US" w:eastAsia="zh-CN" w:bidi="ar-SA"/>
                    </w:rPr>
                    <w:t>废分子筛</w:t>
                  </w:r>
                </w:p>
              </w:tc>
              <w:tc>
                <w:tcPr>
                  <w:tcW w:w="470" w:type="pct"/>
                  <w:vMerge w:val="continue"/>
                  <w:tcBorders>
                    <w:tl2br w:val="nil"/>
                    <w:tr2bl w:val="nil"/>
                  </w:tcBorders>
                  <w:shd w:val="clear" w:color="auto" w:fill="auto"/>
                  <w:noWrap w:val="0"/>
                  <w:vAlign w:val="center"/>
                </w:tcPr>
                <w:p w14:paraId="5EB8CB56">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sz w:val="21"/>
                      <w:szCs w:val="21"/>
                      <w:highlight w:val="none"/>
                      <w:u w:val="single"/>
                      <w:lang w:val="en-US" w:eastAsia="zh-CN"/>
                    </w:rPr>
                  </w:pPr>
                </w:p>
              </w:tc>
              <w:tc>
                <w:tcPr>
                  <w:tcW w:w="737" w:type="pct"/>
                  <w:tcBorders>
                    <w:tl2br w:val="nil"/>
                    <w:tr2bl w:val="nil"/>
                  </w:tcBorders>
                  <w:shd w:val="clear" w:color="auto" w:fill="auto"/>
                  <w:noWrap w:val="0"/>
                  <w:vAlign w:val="center"/>
                </w:tcPr>
                <w:p w14:paraId="7EA30004">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sz w:val="21"/>
                      <w:szCs w:val="21"/>
                      <w:highlight w:val="none"/>
                      <w:u w:val="single"/>
                      <w:lang w:val="en-US" w:eastAsia="zh-CN"/>
                    </w:rPr>
                  </w:pPr>
                  <w:r>
                    <w:rPr>
                      <w:rFonts w:hint="eastAsia" w:hAnsi="Times New Roman" w:cs="Times New Roman"/>
                      <w:b w:val="0"/>
                      <w:bCs w:val="0"/>
                      <w:color w:val="auto"/>
                      <w:sz w:val="21"/>
                      <w:szCs w:val="21"/>
                      <w:highlight w:val="none"/>
                      <w:u w:val="single"/>
                      <w:lang w:val="en-US" w:eastAsia="zh-CN"/>
                    </w:rPr>
                    <w:t>0.3203</w:t>
                  </w:r>
                  <w:r>
                    <w:rPr>
                      <w:rFonts w:hint="default" w:hAnsi="Times New Roman" w:cs="Times New Roman"/>
                      <w:b w:val="0"/>
                      <w:bCs w:val="0"/>
                      <w:color w:val="auto"/>
                      <w:sz w:val="21"/>
                      <w:szCs w:val="21"/>
                      <w:highlight w:val="none"/>
                      <w:u w:val="single"/>
                      <w:lang w:val="en-US" w:eastAsia="zh-CN"/>
                    </w:rPr>
                    <w:t>t/a</w:t>
                  </w:r>
                </w:p>
              </w:tc>
              <w:tc>
                <w:tcPr>
                  <w:tcW w:w="710" w:type="pct"/>
                  <w:vMerge w:val="continue"/>
                  <w:tcBorders>
                    <w:tl2br w:val="nil"/>
                    <w:tr2bl w:val="nil"/>
                  </w:tcBorders>
                  <w:shd w:val="clear" w:color="auto" w:fill="auto"/>
                  <w:noWrap w:val="0"/>
                  <w:vAlign w:val="center"/>
                </w:tcPr>
                <w:p w14:paraId="76D0F11A">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sz w:val="21"/>
                      <w:szCs w:val="21"/>
                      <w:highlight w:val="none"/>
                      <w:u w:val="single"/>
                      <w:lang w:val="en-US" w:eastAsia="zh-CN"/>
                    </w:rPr>
                  </w:pPr>
                </w:p>
              </w:tc>
              <w:tc>
                <w:tcPr>
                  <w:tcW w:w="754" w:type="pct"/>
                  <w:tcBorders>
                    <w:tl2br w:val="nil"/>
                    <w:tr2bl w:val="nil"/>
                  </w:tcBorders>
                  <w:shd w:val="clear" w:color="auto" w:fill="auto"/>
                  <w:noWrap w:val="0"/>
                  <w:vAlign w:val="center"/>
                </w:tcPr>
                <w:p w14:paraId="6594D21D">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sz w:val="21"/>
                      <w:szCs w:val="21"/>
                      <w:highlight w:val="none"/>
                      <w:u w:val="single"/>
                      <w:lang w:val="en-US" w:eastAsia="zh-CN"/>
                    </w:rPr>
                  </w:pPr>
                  <w:r>
                    <w:rPr>
                      <w:rFonts w:hint="eastAsia" w:hAnsi="Times New Roman" w:cs="Times New Roman"/>
                      <w:b w:val="0"/>
                      <w:bCs w:val="0"/>
                      <w:color w:val="auto"/>
                      <w:sz w:val="21"/>
                      <w:szCs w:val="21"/>
                      <w:highlight w:val="none"/>
                      <w:u w:val="single"/>
                      <w:lang w:val="en-US" w:eastAsia="zh-CN"/>
                    </w:rPr>
                    <w:t>0.3203</w:t>
                  </w:r>
                  <w:r>
                    <w:rPr>
                      <w:rFonts w:hint="default" w:hAnsi="Times New Roman" w:cs="Times New Roman"/>
                      <w:b w:val="0"/>
                      <w:bCs w:val="0"/>
                      <w:color w:val="auto"/>
                      <w:sz w:val="21"/>
                      <w:szCs w:val="21"/>
                      <w:highlight w:val="none"/>
                      <w:u w:val="single"/>
                      <w:lang w:val="en-US" w:eastAsia="zh-CN"/>
                    </w:rPr>
                    <w:t>t/a</w:t>
                  </w:r>
                </w:p>
              </w:tc>
              <w:tc>
                <w:tcPr>
                  <w:tcW w:w="732" w:type="pct"/>
                  <w:vMerge w:val="continue"/>
                  <w:tcBorders>
                    <w:tl2br w:val="nil"/>
                    <w:tr2bl w:val="nil"/>
                  </w:tcBorders>
                  <w:shd w:val="clear" w:color="auto" w:fill="auto"/>
                  <w:noWrap w:val="0"/>
                  <w:vAlign w:val="center"/>
                </w:tcPr>
                <w:p w14:paraId="53F76C8D">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sz w:val="21"/>
                      <w:szCs w:val="21"/>
                      <w:highlight w:val="none"/>
                      <w:u w:val="none"/>
                    </w:rPr>
                  </w:pPr>
                </w:p>
              </w:tc>
            </w:tr>
            <w:tr w14:paraId="0CB5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 w:hRule="atLeast"/>
              </w:trPr>
              <w:tc>
                <w:tcPr>
                  <w:tcW w:w="468" w:type="pct"/>
                  <w:tcBorders>
                    <w:tl2br w:val="nil"/>
                    <w:tr2bl w:val="nil"/>
                  </w:tcBorders>
                  <w:shd w:val="clear" w:color="auto" w:fill="auto"/>
                  <w:noWrap w:val="0"/>
                  <w:vAlign w:val="center"/>
                </w:tcPr>
                <w:p w14:paraId="38CD84A8">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职工生活</w:t>
                  </w:r>
                </w:p>
              </w:tc>
              <w:tc>
                <w:tcPr>
                  <w:tcW w:w="1125" w:type="pct"/>
                  <w:tcBorders>
                    <w:tl2br w:val="nil"/>
                    <w:tr2bl w:val="nil"/>
                  </w:tcBorders>
                  <w:shd w:val="clear" w:color="auto" w:fill="auto"/>
                  <w:noWrap w:val="0"/>
                  <w:vAlign w:val="center"/>
                </w:tcPr>
                <w:p w14:paraId="2EA8B48B">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生活垃圾</w:t>
                  </w:r>
                </w:p>
              </w:tc>
              <w:tc>
                <w:tcPr>
                  <w:tcW w:w="470" w:type="pct"/>
                  <w:tcBorders>
                    <w:tl2br w:val="nil"/>
                    <w:tr2bl w:val="nil"/>
                  </w:tcBorders>
                  <w:shd w:val="clear" w:color="auto" w:fill="auto"/>
                  <w:noWrap w:val="0"/>
                  <w:vAlign w:val="center"/>
                </w:tcPr>
                <w:p w14:paraId="749443D6">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w:t>
                  </w:r>
                </w:p>
              </w:tc>
              <w:tc>
                <w:tcPr>
                  <w:tcW w:w="737" w:type="pct"/>
                  <w:tcBorders>
                    <w:tl2br w:val="nil"/>
                    <w:tr2bl w:val="nil"/>
                  </w:tcBorders>
                  <w:shd w:val="clear" w:color="auto" w:fill="auto"/>
                  <w:noWrap w:val="0"/>
                  <w:vAlign w:val="center"/>
                </w:tcPr>
                <w:p w14:paraId="4B7D2873">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4.5</w:t>
                  </w:r>
                  <w:r>
                    <w:rPr>
                      <w:rFonts w:hint="default" w:hAnsi="Times New Roman" w:cs="Times New Roman"/>
                      <w:b w:val="0"/>
                      <w:bCs w:val="0"/>
                      <w:color w:val="auto"/>
                      <w:sz w:val="21"/>
                      <w:szCs w:val="21"/>
                      <w:highlight w:val="none"/>
                      <w:u w:val="none"/>
                      <w:lang w:val="en-US" w:eastAsia="zh-CN"/>
                    </w:rPr>
                    <w:t>t/a</w:t>
                  </w:r>
                </w:p>
              </w:tc>
              <w:tc>
                <w:tcPr>
                  <w:tcW w:w="710" w:type="pct"/>
                  <w:tcBorders>
                    <w:tl2br w:val="nil"/>
                    <w:tr2bl w:val="nil"/>
                  </w:tcBorders>
                  <w:shd w:val="clear" w:color="auto" w:fill="auto"/>
                  <w:noWrap w:val="0"/>
                  <w:vAlign w:val="center"/>
                </w:tcPr>
                <w:p w14:paraId="4B006565">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垃圾桶</w:t>
                  </w:r>
                </w:p>
              </w:tc>
              <w:tc>
                <w:tcPr>
                  <w:tcW w:w="754" w:type="pct"/>
                  <w:tcBorders>
                    <w:tl2br w:val="nil"/>
                    <w:tr2bl w:val="nil"/>
                  </w:tcBorders>
                  <w:shd w:val="clear" w:color="auto" w:fill="auto"/>
                  <w:noWrap w:val="0"/>
                  <w:vAlign w:val="center"/>
                </w:tcPr>
                <w:p w14:paraId="06B278AE">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4.5</w:t>
                  </w:r>
                  <w:r>
                    <w:rPr>
                      <w:rFonts w:hint="default" w:hAnsi="Times New Roman" w:cs="Times New Roman"/>
                      <w:b w:val="0"/>
                      <w:bCs w:val="0"/>
                      <w:color w:val="auto"/>
                      <w:sz w:val="21"/>
                      <w:szCs w:val="21"/>
                      <w:highlight w:val="none"/>
                      <w:u w:val="none"/>
                      <w:lang w:val="en-US" w:eastAsia="zh-CN"/>
                    </w:rPr>
                    <w:t>t/a</w:t>
                  </w:r>
                </w:p>
              </w:tc>
              <w:tc>
                <w:tcPr>
                  <w:tcW w:w="732" w:type="pct"/>
                  <w:tcBorders>
                    <w:tl2br w:val="nil"/>
                    <w:tr2bl w:val="nil"/>
                  </w:tcBorders>
                  <w:shd w:val="clear" w:color="auto" w:fill="auto"/>
                  <w:noWrap w:val="0"/>
                  <w:vAlign w:val="center"/>
                </w:tcPr>
                <w:p w14:paraId="68A12461">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color w:val="auto"/>
                      <w:sz w:val="21"/>
                      <w:szCs w:val="21"/>
                      <w:highlight w:val="none"/>
                    </w:rPr>
                    <w:t>由当地环卫部门统一清运</w:t>
                  </w:r>
                </w:p>
              </w:tc>
            </w:tr>
          </w:tbl>
          <w:p w14:paraId="23E84EFD">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520" w:lineRule="atLeast"/>
              <w:ind w:right="0" w:rightChars="0"/>
              <w:jc w:val="both"/>
              <w:textAlignment w:val="auto"/>
              <w:rPr>
                <w:rFonts w:hint="default" w:ascii="Times New Roman" w:hAnsi="Times New Roman" w:eastAsia="宋体" w:cs="Times New Roman"/>
                <w:b/>
                <w:bCs/>
                <w:iCs/>
                <w:color w:val="auto"/>
                <w:sz w:val="24"/>
                <w:highlight w:val="none"/>
                <w:lang w:val="en-US" w:eastAsia="zh-CN"/>
              </w:rPr>
            </w:pPr>
            <w:r>
              <w:rPr>
                <w:rFonts w:hint="default" w:ascii="Times New Roman" w:hAnsi="Times New Roman" w:eastAsia="宋体" w:cs="Times New Roman"/>
                <w:b/>
                <w:bCs/>
                <w:color w:val="auto"/>
                <w:sz w:val="24"/>
                <w:szCs w:val="22"/>
                <w:highlight w:val="none"/>
                <w:lang w:val="en-US" w:eastAsia="zh-CN"/>
              </w:rPr>
              <w:t>※</w:t>
            </w:r>
            <w:r>
              <w:rPr>
                <w:rFonts w:hint="default" w:ascii="Times New Roman" w:hAnsi="Times New Roman" w:eastAsia="宋体" w:cs="Times New Roman"/>
                <w:b/>
                <w:bCs/>
                <w:iCs/>
                <w:color w:val="auto"/>
                <w:sz w:val="24"/>
                <w:highlight w:val="none"/>
                <w:lang w:val="en-US" w:eastAsia="zh-CN"/>
              </w:rPr>
              <w:t>源强核算过程</w:t>
            </w:r>
          </w:p>
          <w:p w14:paraId="334A397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ascii="Times New Roman" w:hAnsi="Times New Roman" w:cs="Times New Roman"/>
                <w:b w:val="0"/>
                <w:bCs w:val="0"/>
                <w:color w:val="auto"/>
                <w:sz w:val="24"/>
                <w:szCs w:val="22"/>
                <w:highlight w:val="none"/>
                <w:lang w:val="en-US" w:eastAsia="zh-CN"/>
              </w:rPr>
            </w:pPr>
            <w:r>
              <w:rPr>
                <w:rFonts w:hint="default" w:ascii="Times New Roman" w:hAnsi="Times New Roman" w:cs="Times New Roman"/>
                <w:b w:val="0"/>
                <w:bCs w:val="0"/>
                <w:color w:val="auto"/>
                <w:sz w:val="24"/>
                <w:szCs w:val="22"/>
                <w:highlight w:val="none"/>
                <w:lang w:val="en-US" w:eastAsia="zh-CN"/>
              </w:rPr>
              <w:t>本项目运营期固体废物主要包括</w:t>
            </w:r>
            <w:r>
              <w:rPr>
                <w:rFonts w:hint="eastAsia" w:cs="Times New Roman"/>
                <w:b w:val="0"/>
                <w:bCs w:val="0"/>
                <w:color w:val="auto"/>
                <w:sz w:val="24"/>
                <w:szCs w:val="22"/>
                <w:highlight w:val="none"/>
                <w:lang w:val="en-US" w:eastAsia="zh-CN"/>
              </w:rPr>
              <w:t>生产</w:t>
            </w:r>
            <w:r>
              <w:rPr>
                <w:rFonts w:hint="default" w:ascii="Times New Roman" w:hAnsi="Times New Roman" w:cs="Times New Roman"/>
                <w:b w:val="0"/>
                <w:bCs w:val="0"/>
                <w:color w:val="auto"/>
                <w:sz w:val="24"/>
                <w:szCs w:val="22"/>
                <w:highlight w:val="none"/>
                <w:lang w:val="en-US" w:eastAsia="zh-CN"/>
              </w:rPr>
              <w:t>过程产生的废边角料、集尘灰、废焊材、不合格配件、除尘器废滤芯、除尘器废布袋</w:t>
            </w:r>
            <w:r>
              <w:rPr>
                <w:rFonts w:hint="eastAsia" w:ascii="Times New Roman" w:hAnsi="Times New Roman" w:cs="Times New Roman"/>
                <w:b w:val="0"/>
                <w:bCs w:val="0"/>
                <w:color w:val="auto"/>
                <w:sz w:val="24"/>
                <w:szCs w:val="22"/>
                <w:highlight w:val="none"/>
                <w:lang w:val="en-US" w:eastAsia="zh-CN"/>
              </w:rPr>
              <w:t>、废切削液（含桶）、</w:t>
            </w:r>
            <w:r>
              <w:rPr>
                <w:rFonts w:hint="eastAsia" w:ascii="Times New Roman" w:hAnsi="Times New Roman" w:eastAsia="宋体" w:cs="Times New Roman"/>
                <w:b w:val="0"/>
                <w:bCs w:val="0"/>
                <w:color w:val="auto"/>
                <w:sz w:val="24"/>
                <w:szCs w:val="22"/>
                <w:highlight w:val="none"/>
                <w:lang w:val="en-US" w:eastAsia="zh-CN"/>
              </w:rPr>
              <w:t>废机油（含桶）、</w:t>
            </w:r>
            <w:r>
              <w:rPr>
                <w:rFonts w:hint="eastAsia" w:ascii="Times New Roman" w:hAnsi="Times New Roman" w:cs="Times New Roman"/>
                <w:b w:val="0"/>
                <w:bCs w:val="0"/>
                <w:color w:val="auto"/>
                <w:sz w:val="24"/>
                <w:szCs w:val="22"/>
                <w:highlight w:val="none"/>
                <w:lang w:val="en-US" w:eastAsia="zh-CN"/>
              </w:rPr>
              <w:t>废活性炭</w:t>
            </w:r>
            <w:r>
              <w:rPr>
                <w:rFonts w:hint="default" w:ascii="Times New Roman" w:hAnsi="Times New Roman" w:cs="Times New Roman"/>
                <w:b w:val="0"/>
                <w:bCs w:val="0"/>
                <w:color w:val="auto"/>
                <w:sz w:val="24"/>
                <w:szCs w:val="22"/>
                <w:highlight w:val="none"/>
                <w:lang w:val="en-US" w:eastAsia="zh-CN"/>
              </w:rPr>
              <w:t>。</w:t>
            </w:r>
          </w:p>
          <w:p w14:paraId="33014BF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ascii="Times New Roman" w:hAnsi="Times New Roman" w:cs="Times New Roman"/>
                <w:b w:val="0"/>
                <w:bCs w:val="0"/>
                <w:color w:val="auto"/>
                <w:sz w:val="24"/>
                <w:szCs w:val="22"/>
                <w:highlight w:val="none"/>
                <w:lang w:val="en-US" w:eastAsia="zh-CN"/>
              </w:rPr>
            </w:pPr>
            <w:r>
              <w:rPr>
                <w:rFonts w:hint="default" w:ascii="Times New Roman" w:hAnsi="Times New Roman" w:cs="Times New Roman"/>
                <w:b w:val="0"/>
                <w:bCs w:val="0"/>
                <w:color w:val="auto"/>
                <w:sz w:val="24"/>
                <w:szCs w:val="22"/>
                <w:highlight w:val="none"/>
                <w:lang w:val="en-US" w:eastAsia="zh-CN"/>
              </w:rPr>
              <w:t>（1）废边角料</w:t>
            </w:r>
          </w:p>
          <w:p w14:paraId="246FC33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ascii="Times New Roman" w:hAnsi="Times New Roman" w:cs="Times New Roman"/>
                <w:b w:val="0"/>
                <w:bCs w:val="0"/>
                <w:color w:val="auto"/>
                <w:sz w:val="24"/>
                <w:szCs w:val="22"/>
                <w:highlight w:val="none"/>
                <w:lang w:val="en-US" w:eastAsia="zh-CN"/>
              </w:rPr>
            </w:pPr>
            <w:r>
              <w:rPr>
                <w:rFonts w:hint="eastAsia" w:ascii="Times New Roman" w:hAnsi="Times New Roman" w:eastAsia="宋体" w:cs="Times New Roman"/>
                <w:b w:val="0"/>
                <w:bCs w:val="0"/>
                <w:color w:val="auto"/>
                <w:kern w:val="0"/>
                <w:sz w:val="24"/>
                <w:szCs w:val="24"/>
                <w:u w:val="none"/>
                <w:lang w:eastAsia="zh-CN"/>
              </w:rPr>
              <w:t>根据企业提供加工经验数据，产生量以原料量</w:t>
            </w:r>
            <w:r>
              <w:rPr>
                <w:rFonts w:hint="eastAsia" w:ascii="Times New Roman" w:hAnsi="Times New Roman" w:eastAsia="宋体" w:cs="Times New Roman"/>
                <w:b w:val="0"/>
                <w:bCs w:val="0"/>
                <w:color w:val="auto"/>
                <w:kern w:val="0"/>
                <w:sz w:val="24"/>
                <w:szCs w:val="24"/>
                <w:u w:val="none"/>
                <w:lang w:val="en-US" w:eastAsia="zh-CN"/>
              </w:rPr>
              <w:t>0.08</w:t>
            </w:r>
            <w:r>
              <w:rPr>
                <w:rFonts w:hint="eastAsia" w:ascii="Times New Roman" w:hAnsi="Times New Roman" w:eastAsia="宋体" w:cs="Times New Roman"/>
                <w:b w:val="0"/>
                <w:bCs w:val="0"/>
                <w:color w:val="auto"/>
                <w:kern w:val="0"/>
                <w:sz w:val="24"/>
                <w:szCs w:val="24"/>
                <w:u w:val="none"/>
                <w:lang w:eastAsia="zh-CN"/>
              </w:rPr>
              <w:t>%计，</w:t>
            </w:r>
            <w:r>
              <w:rPr>
                <w:rFonts w:hint="default" w:ascii="Times New Roman" w:hAnsi="Times New Roman" w:cs="Times New Roman"/>
                <w:b w:val="0"/>
                <w:bCs w:val="0"/>
                <w:color w:val="auto"/>
                <w:sz w:val="24"/>
                <w:szCs w:val="22"/>
                <w:highlight w:val="none"/>
                <w:lang w:val="en-US" w:eastAsia="zh-CN"/>
              </w:rPr>
              <w:t>产生量为4t/a，</w:t>
            </w:r>
            <w:r>
              <w:rPr>
                <w:rFonts w:hint="eastAsia" w:cs="Times New Roman"/>
                <w:b w:val="0"/>
                <w:bCs w:val="0"/>
                <w:color w:val="auto"/>
                <w:sz w:val="24"/>
                <w:szCs w:val="22"/>
                <w:highlight w:val="none"/>
                <w:lang w:val="en-US" w:eastAsia="zh-CN"/>
              </w:rPr>
              <w:t>对照《一般固体废物分类与代码》（GB/T39198-2020），废边角料属于一般固废中“99其他废物”，代码为348-001-99，经统一收集后，</w:t>
            </w:r>
            <w:r>
              <w:rPr>
                <w:rFonts w:hint="default" w:ascii="Times New Roman" w:hAnsi="Times New Roman" w:cs="Times New Roman"/>
                <w:b w:val="0"/>
                <w:bCs w:val="0"/>
                <w:color w:val="auto"/>
                <w:sz w:val="24"/>
                <w:szCs w:val="22"/>
                <w:highlight w:val="none"/>
                <w:lang w:val="en-US" w:eastAsia="zh-CN"/>
              </w:rPr>
              <w:t>收集后定期外售。</w:t>
            </w:r>
          </w:p>
          <w:p w14:paraId="5F42148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sz w:val="24"/>
                <w:szCs w:val="22"/>
                <w:highlight w:val="none"/>
                <w:lang w:val="en-US" w:eastAsia="zh-CN"/>
              </w:rPr>
            </w:pPr>
            <w:r>
              <w:rPr>
                <w:rFonts w:hint="eastAsia" w:cs="Times New Roman"/>
                <w:b w:val="0"/>
                <w:bCs w:val="0"/>
                <w:color w:val="auto"/>
                <w:sz w:val="24"/>
                <w:szCs w:val="22"/>
                <w:highlight w:val="none"/>
                <w:lang w:val="en-US" w:eastAsia="zh-CN"/>
              </w:rPr>
              <w:t>（2）</w:t>
            </w:r>
            <w:r>
              <w:rPr>
                <w:rFonts w:hint="eastAsia" w:ascii="Times New Roman" w:hAnsi="Times New Roman" w:cs="Times New Roman"/>
                <w:b w:val="0"/>
                <w:bCs w:val="0"/>
                <w:color w:val="auto"/>
                <w:sz w:val="24"/>
                <w:szCs w:val="22"/>
                <w:highlight w:val="none"/>
                <w:lang w:val="en-US" w:eastAsia="zh-CN"/>
              </w:rPr>
              <w:t>废焊材</w:t>
            </w:r>
          </w:p>
          <w:p w14:paraId="7A15D11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ascii="Times New Roman" w:hAnsi="Times New Roman" w:cs="Times New Roman"/>
                <w:b w:val="0"/>
                <w:bCs w:val="0"/>
                <w:color w:val="auto"/>
                <w:sz w:val="24"/>
                <w:szCs w:val="22"/>
                <w:highlight w:val="none"/>
                <w:lang w:val="en-US" w:eastAsia="zh-CN"/>
              </w:rPr>
            </w:pPr>
            <w:r>
              <w:rPr>
                <w:rFonts w:hint="eastAsia" w:ascii="Times New Roman" w:hAnsi="Times New Roman" w:eastAsia="宋体" w:cs="Times New Roman"/>
                <w:b w:val="0"/>
                <w:bCs w:val="0"/>
                <w:color w:val="auto"/>
                <w:kern w:val="0"/>
                <w:sz w:val="24"/>
                <w:szCs w:val="24"/>
                <w:u w:val="none"/>
                <w:lang w:eastAsia="zh-CN"/>
              </w:rPr>
              <w:t>本项目焊接产生废焊材，为黑色金属废物，产生量约为焊条使用量的5%，本项目焊条使用量为</w:t>
            </w:r>
            <w:r>
              <w:rPr>
                <w:rFonts w:hint="eastAsia" w:ascii="Times New Roman" w:hAnsi="Times New Roman" w:eastAsia="宋体" w:cs="Times New Roman"/>
                <w:b w:val="0"/>
                <w:bCs w:val="0"/>
                <w:color w:val="auto"/>
                <w:kern w:val="0"/>
                <w:sz w:val="24"/>
                <w:szCs w:val="24"/>
                <w:u w:val="none"/>
                <w:lang w:val="en-US" w:eastAsia="zh-CN"/>
              </w:rPr>
              <w:t>8</w:t>
            </w:r>
            <w:r>
              <w:rPr>
                <w:rFonts w:hint="eastAsia" w:ascii="Times New Roman" w:hAnsi="Times New Roman" w:eastAsia="宋体" w:cs="Times New Roman"/>
                <w:b w:val="0"/>
                <w:bCs w:val="0"/>
                <w:color w:val="auto"/>
                <w:kern w:val="0"/>
                <w:sz w:val="24"/>
                <w:szCs w:val="24"/>
                <w:u w:val="none"/>
                <w:lang w:eastAsia="zh-CN"/>
              </w:rPr>
              <w:t>t/a，因此焊接废料产生量约为</w:t>
            </w:r>
            <w:r>
              <w:rPr>
                <w:rFonts w:hint="eastAsia" w:cs="Times New Roman"/>
                <w:b w:val="0"/>
                <w:bCs w:val="0"/>
                <w:color w:val="auto"/>
                <w:sz w:val="24"/>
                <w:szCs w:val="22"/>
                <w:highlight w:val="none"/>
                <w:lang w:val="en-US" w:eastAsia="zh-CN"/>
              </w:rPr>
              <w:t>0.4t/a，对照《一般固体废物分类与代码》（GB/T39198-2020），</w:t>
            </w:r>
            <w:r>
              <w:rPr>
                <w:rFonts w:hint="eastAsia" w:ascii="Times New Roman" w:hAnsi="Times New Roman" w:cs="Times New Roman"/>
                <w:b w:val="0"/>
                <w:bCs w:val="0"/>
                <w:color w:val="auto"/>
                <w:sz w:val="24"/>
                <w:szCs w:val="22"/>
                <w:highlight w:val="none"/>
                <w:lang w:val="en-US" w:eastAsia="zh-CN"/>
              </w:rPr>
              <w:t>废焊材</w:t>
            </w:r>
            <w:r>
              <w:rPr>
                <w:rFonts w:hint="eastAsia" w:cs="Times New Roman"/>
                <w:b w:val="0"/>
                <w:bCs w:val="0"/>
                <w:color w:val="auto"/>
                <w:sz w:val="24"/>
                <w:szCs w:val="22"/>
                <w:highlight w:val="none"/>
                <w:lang w:val="en-US" w:eastAsia="zh-CN"/>
              </w:rPr>
              <w:t>属于一般固废中“99其他废物”，代码为</w:t>
            </w:r>
            <w:r>
              <w:rPr>
                <w:rFonts w:hint="eastAsia" w:ascii="Times New Roman" w:hAnsi="Times New Roman" w:eastAsia="宋体" w:cs="Times New Roman"/>
                <w:b w:val="0"/>
                <w:bCs w:val="0"/>
                <w:color w:val="auto"/>
                <w:kern w:val="0"/>
                <w:sz w:val="24"/>
                <w:szCs w:val="24"/>
                <w:highlight w:val="none"/>
                <w:u w:val="none"/>
                <w:lang w:eastAsia="zh-CN"/>
              </w:rPr>
              <w:t>3</w:t>
            </w:r>
            <w:r>
              <w:rPr>
                <w:rFonts w:hint="eastAsia" w:ascii="Times New Roman" w:hAnsi="Times New Roman" w:eastAsia="宋体" w:cs="Times New Roman"/>
                <w:b w:val="0"/>
                <w:bCs w:val="0"/>
                <w:color w:val="auto"/>
                <w:kern w:val="0"/>
                <w:sz w:val="24"/>
                <w:szCs w:val="24"/>
                <w:highlight w:val="none"/>
                <w:u w:val="none"/>
                <w:lang w:val="en-US" w:eastAsia="zh-CN"/>
              </w:rPr>
              <w:t>48</w:t>
            </w:r>
            <w:r>
              <w:rPr>
                <w:rFonts w:hint="eastAsia" w:ascii="Times New Roman" w:hAnsi="Times New Roman" w:eastAsia="宋体" w:cs="Times New Roman"/>
                <w:b w:val="0"/>
                <w:bCs w:val="0"/>
                <w:color w:val="auto"/>
                <w:kern w:val="0"/>
                <w:sz w:val="24"/>
                <w:szCs w:val="24"/>
                <w:highlight w:val="none"/>
                <w:u w:val="none"/>
                <w:lang w:eastAsia="zh-CN"/>
              </w:rPr>
              <w:t>-00</w:t>
            </w:r>
            <w:r>
              <w:rPr>
                <w:rFonts w:hint="eastAsia" w:ascii="Times New Roman" w:hAnsi="Times New Roman" w:eastAsia="宋体" w:cs="Times New Roman"/>
                <w:b w:val="0"/>
                <w:bCs w:val="0"/>
                <w:color w:val="auto"/>
                <w:kern w:val="0"/>
                <w:sz w:val="24"/>
                <w:szCs w:val="24"/>
                <w:highlight w:val="none"/>
                <w:u w:val="none"/>
                <w:lang w:val="en-US" w:eastAsia="zh-CN"/>
              </w:rPr>
              <w:t>2</w:t>
            </w:r>
            <w:r>
              <w:rPr>
                <w:rFonts w:hint="eastAsia" w:ascii="Times New Roman" w:hAnsi="Times New Roman" w:eastAsia="宋体" w:cs="Times New Roman"/>
                <w:b w:val="0"/>
                <w:bCs w:val="0"/>
                <w:color w:val="auto"/>
                <w:kern w:val="0"/>
                <w:sz w:val="24"/>
                <w:szCs w:val="24"/>
                <w:highlight w:val="none"/>
                <w:u w:val="none"/>
                <w:lang w:eastAsia="zh-CN"/>
              </w:rPr>
              <w:t>-99</w:t>
            </w:r>
            <w:r>
              <w:rPr>
                <w:rFonts w:hint="eastAsia" w:cs="Times New Roman"/>
                <w:b w:val="0"/>
                <w:bCs w:val="0"/>
                <w:color w:val="auto"/>
                <w:sz w:val="24"/>
                <w:szCs w:val="22"/>
                <w:highlight w:val="none"/>
                <w:lang w:val="en-US" w:eastAsia="zh-CN"/>
              </w:rPr>
              <w:t>，经统一收集后，存放至般固废间，定期外售。</w:t>
            </w:r>
          </w:p>
          <w:p w14:paraId="722F3DB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sz w:val="24"/>
                <w:szCs w:val="22"/>
                <w:highlight w:val="none"/>
                <w:u w:val="single"/>
                <w:lang w:val="en-US" w:eastAsia="zh-CN"/>
              </w:rPr>
            </w:pPr>
            <w:r>
              <w:rPr>
                <w:rFonts w:hint="default" w:ascii="Times New Roman" w:hAnsi="Times New Roman" w:cs="Times New Roman"/>
                <w:b w:val="0"/>
                <w:bCs w:val="0"/>
                <w:color w:val="auto"/>
                <w:sz w:val="24"/>
                <w:szCs w:val="22"/>
                <w:highlight w:val="none"/>
                <w:lang w:val="en-US" w:eastAsia="zh-CN"/>
              </w:rPr>
              <w:t>（</w:t>
            </w:r>
            <w:r>
              <w:rPr>
                <w:rFonts w:hint="eastAsia" w:ascii="Times New Roman" w:hAnsi="Times New Roman" w:cs="Times New Roman"/>
                <w:b w:val="0"/>
                <w:bCs w:val="0"/>
                <w:color w:val="auto"/>
                <w:sz w:val="24"/>
                <w:szCs w:val="22"/>
                <w:highlight w:val="none"/>
                <w:lang w:val="en-US" w:eastAsia="zh-CN"/>
              </w:rPr>
              <w:t>3</w:t>
            </w:r>
            <w:r>
              <w:rPr>
                <w:rFonts w:hint="default" w:ascii="Times New Roman" w:hAnsi="Times New Roman" w:cs="Times New Roman"/>
                <w:b w:val="0"/>
                <w:bCs w:val="0"/>
                <w:color w:val="auto"/>
                <w:sz w:val="24"/>
                <w:szCs w:val="22"/>
                <w:highlight w:val="none"/>
                <w:lang w:val="en-US" w:eastAsia="zh-CN"/>
              </w:rPr>
              <w:t>）</w:t>
            </w:r>
            <w:r>
              <w:rPr>
                <w:rFonts w:hint="default" w:ascii="Times New Roman" w:hAnsi="Times New Roman" w:cs="Times New Roman"/>
                <w:b w:val="0"/>
                <w:bCs w:val="0"/>
                <w:color w:val="auto"/>
                <w:sz w:val="24"/>
                <w:szCs w:val="22"/>
                <w:highlight w:val="none"/>
                <w:u w:val="single"/>
                <w:lang w:val="en-US" w:eastAsia="zh-CN"/>
              </w:rPr>
              <w:t>集尘灰</w:t>
            </w:r>
          </w:p>
          <w:p w14:paraId="6817A1B2">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sz w:val="24"/>
                <w:szCs w:val="22"/>
                <w:highlight w:val="none"/>
                <w:lang w:val="en-US" w:eastAsia="zh-CN"/>
              </w:rPr>
            </w:pPr>
            <w:r>
              <w:rPr>
                <w:rFonts w:hint="eastAsia" w:cs="Times New Roman"/>
                <w:b w:val="0"/>
                <w:bCs w:val="0"/>
                <w:color w:val="auto"/>
                <w:sz w:val="24"/>
                <w:szCs w:val="22"/>
                <w:highlight w:val="none"/>
                <w:u w:val="single"/>
                <w:lang w:val="en-US" w:eastAsia="zh-CN"/>
              </w:rPr>
              <w:t>项目集尘灰包括袋式除尘器收集的除尘灰及车间地面沉降的粉尘。根据工程分析，各工序产生的粉尘经除尘器处理，收集的除尘灰产生量为4.966t/a，车间地面沉降的粉尘约0.3901t/a，共计5.3561t/a。对照《一般固体废物分类与代码》（GB/T39198-2020），属于一般固废中“66工业粉尘”，代码为348-002-66，一般固废间暂存，后外售综合利用。</w:t>
            </w:r>
          </w:p>
          <w:p w14:paraId="6BB2715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sz w:val="24"/>
                <w:szCs w:val="22"/>
                <w:highlight w:val="none"/>
                <w:lang w:val="en-US" w:eastAsia="zh-CN"/>
              </w:rPr>
            </w:pPr>
            <w:r>
              <w:rPr>
                <w:rFonts w:hint="eastAsia" w:cs="Times New Roman"/>
                <w:b w:val="0"/>
                <w:bCs w:val="0"/>
                <w:color w:val="auto"/>
                <w:sz w:val="24"/>
                <w:szCs w:val="22"/>
                <w:highlight w:val="none"/>
                <w:u w:val="none"/>
                <w:lang w:val="en-US" w:eastAsia="zh-CN"/>
              </w:rPr>
              <w:t>（4）</w:t>
            </w:r>
            <w:r>
              <w:rPr>
                <w:rFonts w:hint="default" w:ascii="Times New Roman" w:hAnsi="Times New Roman" w:cs="Times New Roman"/>
                <w:b w:val="0"/>
                <w:bCs w:val="0"/>
                <w:color w:val="auto"/>
                <w:sz w:val="24"/>
                <w:szCs w:val="22"/>
                <w:highlight w:val="none"/>
                <w:lang w:val="en-US" w:eastAsia="zh-CN"/>
              </w:rPr>
              <w:t>除尘器废布袋</w:t>
            </w:r>
          </w:p>
          <w:p w14:paraId="003C2C9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sz w:val="24"/>
                <w:szCs w:val="22"/>
                <w:highlight w:val="none"/>
                <w:lang w:val="en-US" w:eastAsia="zh-CN"/>
              </w:rPr>
            </w:pPr>
            <w:r>
              <w:rPr>
                <w:rFonts w:hint="default" w:ascii="Times New Roman" w:hAnsi="Times New Roman" w:cs="Times New Roman"/>
                <w:b w:val="0"/>
                <w:bCs w:val="0"/>
                <w:color w:val="auto"/>
                <w:sz w:val="24"/>
                <w:szCs w:val="22"/>
                <w:highlight w:val="none"/>
                <w:lang w:val="en-US" w:eastAsia="zh-CN"/>
              </w:rPr>
              <w:t>废布袋</w:t>
            </w:r>
            <w:r>
              <w:rPr>
                <w:rFonts w:hint="eastAsia" w:cs="Times New Roman"/>
                <w:b w:val="0"/>
                <w:bCs w:val="0"/>
                <w:color w:val="auto"/>
                <w:sz w:val="24"/>
                <w:szCs w:val="22"/>
                <w:highlight w:val="none"/>
                <w:lang w:val="en-US" w:eastAsia="zh-CN"/>
              </w:rPr>
              <w:t>是除尘设施更换的收尘布袋。本项目除尘器每天工作以8h计，本次取平均1年更换2个收尘袋，即废收尘袋产生量2个/a，更换的废收尘袋定期外售。对照《一般固体废物分类与代码》（GB/T39198-2020），废滤袋属于一般固废中“99其他废物”，代码为348-004-99。</w:t>
            </w:r>
          </w:p>
          <w:p w14:paraId="5FB3087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cs="Times New Roman"/>
                <w:b w:val="0"/>
                <w:bCs w:val="0"/>
                <w:color w:val="auto"/>
                <w:sz w:val="24"/>
                <w:szCs w:val="22"/>
                <w:highlight w:val="none"/>
                <w:lang w:val="en-US" w:eastAsia="zh-CN"/>
              </w:rPr>
            </w:pPr>
            <w:r>
              <w:rPr>
                <w:rFonts w:hint="eastAsia" w:ascii="Times New Roman" w:hAnsi="Times New Roman" w:eastAsia="宋体" w:cs="Times New Roman"/>
                <w:b w:val="0"/>
                <w:bCs w:val="0"/>
                <w:color w:val="auto"/>
                <w:kern w:val="2"/>
                <w:sz w:val="24"/>
                <w:szCs w:val="22"/>
                <w:lang w:val="en-US" w:eastAsia="zh-CN" w:bidi="ar-SA"/>
              </w:rPr>
              <w:t>（5）</w:t>
            </w:r>
            <w:r>
              <w:rPr>
                <w:rFonts w:hint="eastAsia" w:cs="Times New Roman"/>
                <w:b w:val="0"/>
                <w:bCs w:val="0"/>
                <w:color w:val="auto"/>
                <w:kern w:val="2"/>
                <w:sz w:val="24"/>
                <w:szCs w:val="22"/>
                <w:lang w:val="en-US" w:eastAsia="zh-CN" w:bidi="ar-SA"/>
              </w:rPr>
              <w:t>废防锈油</w:t>
            </w:r>
          </w:p>
          <w:p w14:paraId="22323F2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0"/>
                <w:sz w:val="24"/>
                <w:szCs w:val="24"/>
                <w:u w:val="none"/>
                <w:lang w:eastAsia="zh-CN"/>
              </w:rPr>
              <w:t>根据企业提供加工经验数据，</w:t>
            </w:r>
            <w:r>
              <w:rPr>
                <w:rFonts w:hint="eastAsia" w:ascii="Times New Roman" w:hAnsi="Times New Roman" w:eastAsia="宋体" w:cs="Times New Roman"/>
                <w:b w:val="0"/>
                <w:bCs w:val="0"/>
                <w:color w:val="auto"/>
                <w:kern w:val="0"/>
                <w:sz w:val="24"/>
                <w:szCs w:val="24"/>
                <w:u w:val="none"/>
                <w:lang w:val="en-US" w:eastAsia="zh-CN"/>
              </w:rPr>
              <w:t>废防锈油</w:t>
            </w:r>
            <w:r>
              <w:rPr>
                <w:rFonts w:hint="eastAsia" w:ascii="Times New Roman" w:hAnsi="Times New Roman" w:eastAsia="宋体" w:cs="Times New Roman"/>
                <w:b w:val="0"/>
                <w:bCs w:val="0"/>
                <w:color w:val="auto"/>
                <w:kern w:val="0"/>
                <w:sz w:val="24"/>
                <w:szCs w:val="24"/>
                <w:u w:val="none"/>
                <w:lang w:eastAsia="zh-CN"/>
              </w:rPr>
              <w:t>产生量以原料量</w:t>
            </w:r>
            <w:r>
              <w:rPr>
                <w:rFonts w:hint="eastAsia" w:ascii="Times New Roman" w:hAnsi="Times New Roman" w:eastAsia="宋体" w:cs="Times New Roman"/>
                <w:b w:val="0"/>
                <w:bCs w:val="0"/>
                <w:color w:val="auto"/>
                <w:kern w:val="0"/>
                <w:sz w:val="24"/>
                <w:szCs w:val="24"/>
                <w:u w:val="none"/>
                <w:lang w:val="en-US" w:eastAsia="zh-CN"/>
              </w:rPr>
              <w:t>2.9</w:t>
            </w:r>
            <w:r>
              <w:rPr>
                <w:rFonts w:hint="eastAsia" w:ascii="Times New Roman" w:hAnsi="Times New Roman" w:eastAsia="宋体" w:cs="Times New Roman"/>
                <w:b w:val="0"/>
                <w:bCs w:val="0"/>
                <w:color w:val="auto"/>
                <w:kern w:val="0"/>
                <w:sz w:val="24"/>
                <w:szCs w:val="24"/>
                <w:u w:val="none"/>
                <w:lang w:eastAsia="zh-CN"/>
              </w:rPr>
              <w:t>%计，</w:t>
            </w:r>
            <w:r>
              <w:rPr>
                <w:rFonts w:hint="eastAsia" w:ascii="Times New Roman" w:hAnsi="Times New Roman" w:eastAsia="宋体" w:cs="Times New Roman"/>
                <w:b w:val="0"/>
                <w:bCs w:val="0"/>
                <w:color w:val="auto"/>
                <w:kern w:val="0"/>
                <w:sz w:val="24"/>
                <w:szCs w:val="24"/>
                <w:u w:val="none"/>
                <w:lang w:val="en-US" w:eastAsia="zh-CN"/>
              </w:rPr>
              <w:t>项目防锈油年用量1.2t，则废防锈油</w:t>
            </w:r>
            <w:r>
              <w:rPr>
                <w:rFonts w:hint="default" w:ascii="Times New Roman" w:hAnsi="Times New Roman" w:cs="Times New Roman"/>
                <w:b w:val="0"/>
                <w:bCs w:val="0"/>
                <w:color w:val="auto"/>
                <w:sz w:val="24"/>
                <w:szCs w:val="22"/>
                <w:highlight w:val="none"/>
                <w:lang w:val="en-US" w:eastAsia="zh-CN"/>
              </w:rPr>
              <w:t>产生量为</w:t>
            </w:r>
            <w:r>
              <w:rPr>
                <w:rFonts w:hint="eastAsia" w:ascii="Times New Roman" w:hAnsi="Times New Roman" w:cs="Times New Roman"/>
                <w:b w:val="0"/>
                <w:bCs w:val="0"/>
                <w:color w:val="auto"/>
                <w:sz w:val="24"/>
                <w:szCs w:val="22"/>
                <w:highlight w:val="none"/>
                <w:lang w:val="en-US" w:eastAsia="zh-CN"/>
              </w:rPr>
              <w:t>0.035</w:t>
            </w:r>
            <w:r>
              <w:rPr>
                <w:rFonts w:hint="default" w:ascii="Times New Roman" w:hAnsi="Times New Roman" w:cs="Times New Roman"/>
                <w:b w:val="0"/>
                <w:bCs w:val="0"/>
                <w:color w:val="auto"/>
                <w:sz w:val="24"/>
                <w:szCs w:val="22"/>
                <w:highlight w:val="none"/>
                <w:lang w:val="en-US" w:eastAsia="zh-CN"/>
              </w:rPr>
              <w:t>t/a，</w:t>
            </w:r>
            <w:r>
              <w:rPr>
                <w:rFonts w:hint="eastAsia" w:cs="Times New Roman"/>
                <w:b w:val="0"/>
                <w:bCs w:val="0"/>
                <w:color w:val="auto"/>
                <w:sz w:val="24"/>
                <w:szCs w:val="22"/>
                <w:highlight w:val="none"/>
                <w:lang w:val="en-US" w:eastAsia="zh-CN"/>
              </w:rPr>
              <w:t>根据《国家危险废物名录》（2025年版），废切削液属于危险废物，危废类别为：HW09，危废代码为：900-216-08。收集后暂存于危废间，定期交有资质单位进行处置。</w:t>
            </w:r>
          </w:p>
          <w:p w14:paraId="4F37E32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cs="Times New Roman"/>
                <w:b w:val="0"/>
                <w:bCs w:val="0"/>
                <w:color w:val="auto"/>
                <w:sz w:val="24"/>
                <w:szCs w:val="22"/>
                <w:highlight w:val="none"/>
                <w:lang w:val="en-US" w:eastAsia="zh-CN"/>
              </w:rPr>
            </w:pPr>
            <w:r>
              <w:rPr>
                <w:rFonts w:hint="eastAsia" w:ascii="Times New Roman" w:hAnsi="Times New Roman" w:eastAsia="宋体" w:cs="Times New Roman"/>
                <w:b w:val="0"/>
                <w:bCs w:val="0"/>
                <w:color w:val="auto"/>
                <w:kern w:val="2"/>
                <w:sz w:val="24"/>
                <w:szCs w:val="22"/>
                <w:lang w:val="en-US" w:eastAsia="zh-CN" w:bidi="ar-SA"/>
              </w:rPr>
              <w:t>（6）</w:t>
            </w:r>
            <w:r>
              <w:rPr>
                <w:rFonts w:hint="eastAsia" w:cs="Times New Roman"/>
                <w:b w:val="0"/>
                <w:bCs w:val="0"/>
                <w:color w:val="auto"/>
                <w:sz w:val="24"/>
                <w:szCs w:val="22"/>
                <w:highlight w:val="none"/>
                <w:lang w:val="en-US" w:eastAsia="zh-CN"/>
              </w:rPr>
              <w:t>废切削液</w:t>
            </w:r>
          </w:p>
          <w:p w14:paraId="1B6BCAF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sz w:val="24"/>
                <w:szCs w:val="22"/>
                <w:highlight w:val="none"/>
                <w:lang w:val="en-US" w:eastAsia="zh-CN"/>
              </w:rPr>
            </w:pPr>
            <w:r>
              <w:rPr>
                <w:rFonts w:hint="eastAsia" w:ascii="Times New Roman" w:hAnsi="Times New Roman" w:eastAsia="宋体" w:cs="Times New Roman"/>
                <w:b w:val="0"/>
                <w:bCs w:val="0"/>
                <w:color w:val="auto"/>
                <w:sz w:val="24"/>
                <w:highlight w:val="none"/>
                <w:u w:val="none"/>
                <w:lang w:val="en-US" w:eastAsia="zh-CN"/>
              </w:rPr>
              <w:t>原料切割过程添加部分切削液，切削液循环使用，长时间使用会老化润滑性能下降，每半年更换一次，一次产生0.1t/a，即废切削液产生量为0.2t/a，</w:t>
            </w:r>
            <w:r>
              <w:rPr>
                <w:rFonts w:hint="eastAsia" w:cs="Times New Roman"/>
                <w:b w:val="0"/>
                <w:bCs w:val="0"/>
                <w:color w:val="auto"/>
                <w:sz w:val="24"/>
                <w:szCs w:val="22"/>
                <w:highlight w:val="none"/>
                <w:lang w:val="en-US" w:eastAsia="zh-CN"/>
              </w:rPr>
              <w:t>根据《国家危险废物名录》（2025年版），废切削液属于危险废物，危废类别为：HW09，危废代码为：900-006-09。收集后暂存于危废间，定期交有资质单位进行处置。</w:t>
            </w:r>
          </w:p>
          <w:p w14:paraId="3AD75A6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cs="Times New Roman"/>
                <w:b w:val="0"/>
                <w:bCs w:val="0"/>
                <w:color w:val="auto"/>
                <w:sz w:val="24"/>
                <w:szCs w:val="22"/>
                <w:highlight w:val="none"/>
                <w:lang w:val="en-US" w:eastAsia="zh-CN"/>
              </w:rPr>
            </w:pPr>
            <w:r>
              <w:rPr>
                <w:rFonts w:hint="eastAsia" w:cs="Times New Roman"/>
                <w:b w:val="0"/>
                <w:bCs w:val="0"/>
                <w:color w:val="auto"/>
                <w:sz w:val="24"/>
                <w:szCs w:val="22"/>
                <w:highlight w:val="none"/>
                <w:lang w:val="en-US" w:eastAsia="zh-CN"/>
              </w:rPr>
              <w:t>（7）废机油</w:t>
            </w:r>
          </w:p>
          <w:p w14:paraId="2EE683B2">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sz w:val="24"/>
                <w:szCs w:val="22"/>
                <w:highlight w:val="none"/>
                <w:lang w:val="en-US" w:eastAsia="zh-CN"/>
              </w:rPr>
            </w:pPr>
            <w:r>
              <w:rPr>
                <w:rFonts w:hint="eastAsia" w:cs="Times New Roman"/>
                <w:b w:val="0"/>
                <w:bCs w:val="0"/>
                <w:color w:val="auto"/>
                <w:sz w:val="24"/>
                <w:szCs w:val="22"/>
                <w:highlight w:val="none"/>
                <w:lang w:val="en-US" w:eastAsia="zh-CN"/>
              </w:rPr>
              <w:t>项目设备运行过程中会定期更换设备内机油，每次更换量为0.2kg，年更换10次，故此过程产生废机油产生0.002t/a。根据《国家危险废物名录》（2025年版），废机油属于危险废物，危废类别为：HW08，危废代码为：900-214-08。收集后暂存于危废间，定期交有资质单位进行处置。</w:t>
            </w:r>
          </w:p>
          <w:p w14:paraId="49DFC25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cs="Times New Roman"/>
                <w:b w:val="0"/>
                <w:bCs w:val="0"/>
                <w:color w:val="auto"/>
                <w:sz w:val="24"/>
                <w:szCs w:val="22"/>
                <w:highlight w:val="none"/>
                <w:lang w:val="en-US" w:eastAsia="zh-CN"/>
              </w:rPr>
            </w:pPr>
            <w:r>
              <w:rPr>
                <w:rFonts w:hint="eastAsia" w:cs="Times New Roman"/>
                <w:b w:val="0"/>
                <w:bCs w:val="0"/>
                <w:color w:val="auto"/>
                <w:sz w:val="24"/>
                <w:szCs w:val="22"/>
                <w:highlight w:val="none"/>
                <w:lang w:val="en-US" w:eastAsia="zh-CN"/>
              </w:rPr>
              <w:t>（8）废包装桶</w:t>
            </w:r>
          </w:p>
          <w:p w14:paraId="28AFF9E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项目使用废切削液、废机油和防锈油均为桶装存放，以单桶存放0.2t液体物料，</w:t>
            </w:r>
            <w:r>
              <w:rPr>
                <w:rFonts w:hint="eastAsia" w:cs="Times New Roman"/>
                <w:b w:val="0"/>
                <w:bCs w:val="0"/>
                <w:color w:val="auto"/>
                <w:kern w:val="2"/>
                <w:sz w:val="24"/>
                <w:szCs w:val="22"/>
                <w:lang w:val="en-US" w:eastAsia="zh-CN" w:bidi="ar-SA"/>
              </w:rPr>
              <w:t>空桶</w:t>
            </w:r>
            <w:r>
              <w:rPr>
                <w:rFonts w:hint="eastAsia" w:ascii="Times New Roman" w:hAnsi="Times New Roman" w:eastAsia="宋体" w:cs="Times New Roman"/>
                <w:b w:val="0"/>
                <w:bCs w:val="0"/>
                <w:color w:val="auto"/>
                <w:kern w:val="2"/>
                <w:sz w:val="24"/>
                <w:szCs w:val="22"/>
                <w:lang w:val="en-US" w:eastAsia="zh-CN" w:bidi="ar-SA"/>
              </w:rPr>
              <w:t>单桶重</w:t>
            </w:r>
            <w:r>
              <w:rPr>
                <w:rFonts w:hint="eastAsia" w:cs="Times New Roman"/>
                <w:b w:val="0"/>
                <w:bCs w:val="0"/>
                <w:color w:val="auto"/>
                <w:kern w:val="2"/>
                <w:sz w:val="24"/>
                <w:szCs w:val="22"/>
                <w:lang w:val="en-US" w:eastAsia="zh-CN" w:bidi="ar-SA"/>
              </w:rPr>
              <w:t>约1</w:t>
            </w:r>
            <w:r>
              <w:rPr>
                <w:rFonts w:hint="eastAsia" w:ascii="Times New Roman" w:hAnsi="Times New Roman" w:eastAsia="宋体" w:cs="Times New Roman"/>
                <w:b w:val="0"/>
                <w:bCs w:val="0"/>
                <w:color w:val="auto"/>
                <w:kern w:val="2"/>
                <w:sz w:val="24"/>
                <w:szCs w:val="22"/>
                <w:lang w:val="en-US" w:eastAsia="zh-CN" w:bidi="ar-SA"/>
              </w:rPr>
              <w:t>kg，根据其用量，废包装桶产生</w:t>
            </w:r>
            <w:r>
              <w:rPr>
                <w:rFonts w:hint="eastAsia" w:cs="Times New Roman"/>
                <w:b w:val="0"/>
                <w:bCs w:val="0"/>
                <w:color w:val="auto"/>
                <w:kern w:val="2"/>
                <w:sz w:val="24"/>
                <w:szCs w:val="22"/>
                <w:lang w:val="en-US" w:eastAsia="zh-CN" w:bidi="ar-SA"/>
              </w:rPr>
              <w:t>0.076</w:t>
            </w:r>
            <w:r>
              <w:rPr>
                <w:rFonts w:hint="eastAsia" w:ascii="Times New Roman" w:hAnsi="Times New Roman" w:eastAsia="宋体" w:cs="Times New Roman"/>
                <w:b w:val="0"/>
                <w:bCs w:val="0"/>
                <w:color w:val="auto"/>
                <w:kern w:val="2"/>
                <w:sz w:val="24"/>
                <w:szCs w:val="22"/>
                <w:lang w:val="en-US" w:eastAsia="zh-CN" w:bidi="ar-SA"/>
              </w:rPr>
              <w:t>t/a。根据《国家危险废物名录》（2025年版），废包装桶属于危险废物，危废类别为：HW</w:t>
            </w:r>
            <w:r>
              <w:rPr>
                <w:rFonts w:hint="eastAsia" w:cs="Times New Roman"/>
                <w:b w:val="0"/>
                <w:bCs w:val="0"/>
                <w:color w:val="auto"/>
                <w:kern w:val="2"/>
                <w:sz w:val="24"/>
                <w:szCs w:val="22"/>
                <w:lang w:val="en-US" w:eastAsia="zh-CN" w:bidi="ar-SA"/>
              </w:rPr>
              <w:t>49</w:t>
            </w:r>
            <w:r>
              <w:rPr>
                <w:rFonts w:hint="eastAsia" w:ascii="Times New Roman" w:hAnsi="Times New Roman" w:eastAsia="宋体" w:cs="Times New Roman"/>
                <w:b w:val="0"/>
                <w:bCs w:val="0"/>
                <w:color w:val="auto"/>
                <w:kern w:val="2"/>
                <w:sz w:val="24"/>
                <w:szCs w:val="22"/>
                <w:lang w:val="en-US" w:eastAsia="zh-CN" w:bidi="ar-SA"/>
              </w:rPr>
              <w:t>，危废代码为：</w:t>
            </w:r>
            <w:r>
              <w:rPr>
                <w:rFonts w:hint="eastAsia" w:cs="Times New Roman"/>
                <w:b w:val="0"/>
                <w:bCs w:val="0"/>
                <w:color w:val="auto"/>
                <w:kern w:val="2"/>
                <w:sz w:val="24"/>
                <w:szCs w:val="22"/>
                <w:lang w:val="en-US" w:eastAsia="zh-CN" w:bidi="ar-SA"/>
              </w:rPr>
              <w:t>900-041-49</w:t>
            </w:r>
            <w:r>
              <w:rPr>
                <w:rFonts w:hint="eastAsia" w:ascii="Times New Roman" w:hAnsi="Times New Roman" w:eastAsia="宋体" w:cs="Times New Roman"/>
                <w:b w:val="0"/>
                <w:bCs w:val="0"/>
                <w:color w:val="auto"/>
                <w:kern w:val="2"/>
                <w:sz w:val="24"/>
                <w:szCs w:val="22"/>
                <w:lang w:val="en-US" w:eastAsia="zh-CN" w:bidi="ar-SA"/>
              </w:rPr>
              <w:t>。收集后暂存于危废间，定期交有资质单位进行处置。</w:t>
            </w:r>
          </w:p>
          <w:p w14:paraId="6843AAF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ascii="Times New Roman" w:hAnsi="Times New Roman" w:cs="Times New Roman"/>
                <w:b w:val="0"/>
                <w:bCs w:val="0"/>
                <w:color w:val="auto"/>
                <w:sz w:val="24"/>
                <w:szCs w:val="22"/>
                <w:highlight w:val="none"/>
                <w:u w:val="single"/>
                <w:lang w:val="en-US" w:eastAsia="zh-CN"/>
              </w:rPr>
            </w:pPr>
            <w:r>
              <w:rPr>
                <w:rFonts w:hint="eastAsia" w:ascii="Times New Roman" w:hAnsi="Times New Roman" w:eastAsia="宋体" w:cs="Times New Roman"/>
                <w:b w:val="0"/>
                <w:bCs w:val="0"/>
                <w:color w:val="auto"/>
                <w:kern w:val="2"/>
                <w:sz w:val="24"/>
                <w:szCs w:val="22"/>
                <w:u w:val="single"/>
                <w:lang w:val="en-US" w:eastAsia="zh-CN" w:bidi="ar-SA"/>
              </w:rPr>
              <w:t>（9）</w:t>
            </w:r>
            <w:r>
              <w:rPr>
                <w:rFonts w:hint="eastAsia" w:ascii="Times New Roman" w:hAnsi="Times New Roman" w:cs="Times New Roman"/>
                <w:b w:val="0"/>
                <w:bCs w:val="0"/>
                <w:color w:val="auto"/>
                <w:sz w:val="24"/>
                <w:szCs w:val="22"/>
                <w:highlight w:val="none"/>
                <w:u w:val="single"/>
                <w:lang w:val="en-US" w:eastAsia="zh-CN"/>
              </w:rPr>
              <w:t>废活性炭</w:t>
            </w:r>
          </w:p>
          <w:p w14:paraId="006606D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ascii="Times New Roman" w:hAnsi="Times New Roman" w:eastAsia="宋体" w:cs="Times New Roman"/>
                <w:b w:val="0"/>
                <w:bCs w:val="0"/>
                <w:color w:val="auto"/>
                <w:sz w:val="24"/>
                <w:szCs w:val="22"/>
                <w:highlight w:val="none"/>
                <w:u w:val="single"/>
                <w:lang w:val="en-US" w:eastAsia="zh-CN"/>
              </w:rPr>
            </w:pPr>
            <w:r>
              <w:rPr>
                <w:rFonts w:hint="default" w:ascii="Times New Roman" w:hAnsi="Times New Roman" w:eastAsia="宋体" w:cs="Times New Roman"/>
                <w:b w:val="0"/>
                <w:bCs w:val="0"/>
                <w:color w:val="auto"/>
                <w:sz w:val="24"/>
                <w:szCs w:val="22"/>
                <w:highlight w:val="none"/>
                <w:u w:val="single"/>
                <w:lang w:val="en-US" w:eastAsia="zh-CN"/>
              </w:rPr>
              <w:t>吸附剂使用量应根据废气处理量、污染物浓度和吸附剂的动态吸附量确定；活性炭更换周期（T，单位：d）计算方法如下：</w:t>
            </w:r>
          </w:p>
          <w:p w14:paraId="3FF83EC9">
            <w:pPr>
              <w:snapToGrid w:val="0"/>
              <w:spacing w:line="360" w:lineRule="auto"/>
              <w:ind w:firstLine="480" w:firstLineChars="200"/>
              <w:jc w:val="center"/>
              <w:rPr>
                <w:rFonts w:hint="default" w:ascii="Times New Roman" w:hAnsi="Times New Roman" w:cs="Times New Roman"/>
                <w:b w:val="0"/>
                <w:bCs w:val="0"/>
                <w:color w:val="auto"/>
                <w:sz w:val="24"/>
                <w:szCs w:val="24"/>
                <w:highlight w:val="none"/>
                <w:u w:val="single"/>
                <w:lang w:val="en-US" w:eastAsia="zh-CN"/>
              </w:rPr>
            </w:pPr>
            <w:r>
              <w:rPr>
                <w:rFonts w:hint="default" w:ascii="Times New Roman" w:hAnsi="Times New Roman" w:cs="Times New Roman"/>
                <w:b w:val="0"/>
                <w:bCs w:val="0"/>
                <w:color w:val="auto"/>
                <w:sz w:val="24"/>
                <w:szCs w:val="24"/>
                <w:highlight w:val="none"/>
                <w:u w:val="single"/>
                <w:lang w:val="en-US" w:eastAsia="zh-CN"/>
              </w:rPr>
              <w:drawing>
                <wp:inline distT="0" distB="0" distL="114300" distR="114300">
                  <wp:extent cx="1224280" cy="548640"/>
                  <wp:effectExtent l="0" t="0" r="13970" b="3810"/>
                  <wp:docPr id="2" name="图片 3" descr="5a2b4c431982d0ec9e122b954bac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5a2b4c431982d0ec9e122b954bacdf0"/>
                          <pic:cNvPicPr>
                            <a:picLocks noChangeAspect="1"/>
                          </pic:cNvPicPr>
                        </pic:nvPicPr>
                        <pic:blipFill>
                          <a:blip r:embed="rId29"/>
                          <a:stretch>
                            <a:fillRect/>
                          </a:stretch>
                        </pic:blipFill>
                        <pic:spPr>
                          <a:xfrm>
                            <a:off x="0" y="0"/>
                            <a:ext cx="1224280" cy="548640"/>
                          </a:xfrm>
                          <a:prstGeom prst="rect">
                            <a:avLst/>
                          </a:prstGeom>
                          <a:noFill/>
                          <a:ln>
                            <a:noFill/>
                          </a:ln>
                        </pic:spPr>
                      </pic:pic>
                    </a:graphicData>
                  </a:graphic>
                </wp:inline>
              </w:drawing>
            </w:r>
          </w:p>
          <w:p w14:paraId="7931537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textAlignment w:val="baseline"/>
              <w:rPr>
                <w:rFonts w:hint="default" w:ascii="Times New Roman" w:hAnsi="Times New Roman" w:eastAsia="宋体" w:cs="Times New Roman"/>
                <w:b w:val="0"/>
                <w:bCs w:val="0"/>
                <w:color w:val="auto"/>
                <w:sz w:val="24"/>
                <w:szCs w:val="22"/>
                <w:highlight w:val="none"/>
                <w:u w:val="single"/>
                <w:lang w:val="en-US" w:eastAsia="zh-CN"/>
              </w:rPr>
            </w:pPr>
            <w:r>
              <w:rPr>
                <w:rFonts w:hint="default" w:ascii="Times New Roman" w:hAnsi="Times New Roman" w:eastAsia="宋体" w:cs="Times New Roman"/>
                <w:b w:val="0"/>
                <w:bCs w:val="0"/>
                <w:color w:val="auto"/>
                <w:sz w:val="24"/>
                <w:szCs w:val="22"/>
                <w:highlight w:val="none"/>
                <w:u w:val="single"/>
                <w:lang w:val="en-US" w:eastAsia="zh-CN"/>
              </w:rPr>
              <w:t>式中：M——活性炭质量，kg；</w:t>
            </w:r>
          </w:p>
          <w:p w14:paraId="7A6817E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ascii="Times New Roman" w:hAnsi="Times New Roman" w:cs="Times New Roman"/>
                <w:b w:val="0"/>
                <w:bCs w:val="0"/>
                <w:color w:val="auto"/>
                <w:sz w:val="24"/>
                <w:szCs w:val="24"/>
                <w:highlight w:val="none"/>
                <w:u w:val="single"/>
                <w:lang w:val="en-US" w:eastAsia="zh-CN"/>
              </w:rPr>
            </w:pPr>
            <w:r>
              <w:rPr>
                <w:rFonts w:hint="default" w:ascii="Times New Roman" w:hAnsi="Times New Roman" w:cs="Times New Roman"/>
                <w:b w:val="0"/>
                <w:bCs w:val="0"/>
                <w:color w:val="auto"/>
                <w:sz w:val="24"/>
                <w:szCs w:val="24"/>
                <w:highlight w:val="none"/>
                <w:u w:val="single"/>
                <w:lang w:val="en-US" w:eastAsia="zh-CN"/>
              </w:rPr>
              <w:t>S——平衡保持量，%，非甲烷总烃保持量S取15%；</w:t>
            </w:r>
          </w:p>
          <w:p w14:paraId="470870A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ascii="Times New Roman" w:hAnsi="Times New Roman" w:cs="Times New Roman"/>
                <w:b w:val="0"/>
                <w:bCs w:val="0"/>
                <w:color w:val="auto"/>
                <w:sz w:val="24"/>
                <w:szCs w:val="24"/>
                <w:highlight w:val="none"/>
                <w:u w:val="single"/>
                <w:lang w:val="en-US" w:eastAsia="zh-CN"/>
              </w:rPr>
            </w:pPr>
            <w:r>
              <w:rPr>
                <w:rFonts w:hint="default" w:ascii="Times New Roman" w:hAnsi="Times New Roman" w:cs="Times New Roman"/>
                <w:b w:val="0"/>
                <w:bCs w:val="0"/>
                <w:color w:val="auto"/>
                <w:sz w:val="24"/>
                <w:szCs w:val="24"/>
                <w:highlight w:val="none"/>
                <w:u w:val="single"/>
                <w:lang w:val="en-US" w:eastAsia="zh-CN"/>
              </w:rPr>
              <w:t>Q——风量，m</w:t>
            </w:r>
            <w:r>
              <w:rPr>
                <w:rFonts w:hint="default" w:ascii="Times New Roman" w:hAnsi="Times New Roman" w:cs="Times New Roman"/>
                <w:b w:val="0"/>
                <w:bCs w:val="0"/>
                <w:color w:val="auto"/>
                <w:sz w:val="24"/>
                <w:szCs w:val="24"/>
                <w:highlight w:val="none"/>
                <w:u w:val="single"/>
                <w:vertAlign w:val="superscript"/>
                <w:lang w:val="en-US" w:eastAsia="zh-CN"/>
              </w:rPr>
              <w:t>3</w:t>
            </w:r>
            <w:r>
              <w:rPr>
                <w:rFonts w:hint="default" w:ascii="Times New Roman" w:hAnsi="Times New Roman" w:cs="Times New Roman"/>
                <w:b w:val="0"/>
                <w:bCs w:val="0"/>
                <w:color w:val="auto"/>
                <w:sz w:val="24"/>
                <w:szCs w:val="24"/>
                <w:highlight w:val="none"/>
                <w:u w:val="single"/>
                <w:lang w:val="en-US" w:eastAsia="zh-CN"/>
              </w:rPr>
              <w:t>/h；</w:t>
            </w:r>
          </w:p>
          <w:p w14:paraId="75B15BD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ascii="Times New Roman" w:hAnsi="Times New Roman" w:cs="Times New Roman"/>
                <w:b w:val="0"/>
                <w:bCs w:val="0"/>
                <w:color w:val="auto"/>
                <w:sz w:val="24"/>
                <w:szCs w:val="24"/>
                <w:highlight w:val="none"/>
                <w:u w:val="single"/>
                <w:lang w:val="en-US" w:eastAsia="zh-CN"/>
              </w:rPr>
            </w:pPr>
            <w:r>
              <w:rPr>
                <w:rFonts w:hint="default" w:ascii="Times New Roman" w:hAnsi="Times New Roman" w:cs="Times New Roman"/>
                <w:b w:val="0"/>
                <w:bCs w:val="0"/>
                <w:color w:val="auto"/>
                <w:sz w:val="24"/>
                <w:szCs w:val="24"/>
                <w:highlight w:val="none"/>
                <w:u w:val="single"/>
                <w:lang w:val="en-US" w:eastAsia="zh-CN"/>
              </w:rPr>
              <w:t>C——进口VOCs浓度，mg/m</w:t>
            </w:r>
            <w:r>
              <w:rPr>
                <w:rFonts w:hint="default" w:ascii="Times New Roman" w:hAnsi="Times New Roman" w:cs="Times New Roman"/>
                <w:b w:val="0"/>
                <w:bCs w:val="0"/>
                <w:color w:val="auto"/>
                <w:sz w:val="24"/>
                <w:szCs w:val="24"/>
                <w:highlight w:val="none"/>
                <w:u w:val="single"/>
                <w:vertAlign w:val="superscript"/>
                <w:lang w:val="en-US" w:eastAsia="zh-CN"/>
              </w:rPr>
              <w:t>3</w:t>
            </w:r>
            <w:r>
              <w:rPr>
                <w:rFonts w:hint="default" w:ascii="Times New Roman" w:hAnsi="Times New Roman" w:cs="Times New Roman"/>
                <w:b w:val="0"/>
                <w:bCs w:val="0"/>
                <w:color w:val="auto"/>
                <w:sz w:val="24"/>
                <w:szCs w:val="24"/>
                <w:highlight w:val="none"/>
                <w:u w:val="single"/>
                <w:lang w:val="en-US" w:eastAsia="zh-CN"/>
              </w:rPr>
              <w:t>；</w:t>
            </w:r>
          </w:p>
          <w:p w14:paraId="71B3C5B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ascii="Times New Roman" w:hAnsi="Times New Roman" w:cs="Times New Roman"/>
                <w:b w:val="0"/>
                <w:bCs w:val="0"/>
                <w:color w:val="auto"/>
                <w:sz w:val="24"/>
                <w:szCs w:val="24"/>
                <w:highlight w:val="none"/>
                <w:u w:val="single"/>
                <w:lang w:val="en-US" w:eastAsia="zh-CN"/>
              </w:rPr>
            </w:pPr>
            <w:r>
              <w:rPr>
                <w:rFonts w:hint="default" w:ascii="Times New Roman" w:hAnsi="Times New Roman" w:cs="Times New Roman"/>
                <w:b w:val="0"/>
                <w:bCs w:val="0"/>
                <w:color w:val="auto"/>
                <w:sz w:val="24"/>
                <w:szCs w:val="24"/>
                <w:highlight w:val="none"/>
                <w:u w:val="single"/>
                <w:lang w:val="en-US" w:eastAsia="zh-CN"/>
              </w:rPr>
              <w:t>t——吸附设备每日运行时间，</w:t>
            </w:r>
            <w:r>
              <w:rPr>
                <w:rFonts w:hint="eastAsia" w:cs="Times New Roman"/>
                <w:b w:val="0"/>
                <w:bCs w:val="0"/>
                <w:color w:val="auto"/>
                <w:sz w:val="24"/>
                <w:szCs w:val="24"/>
                <w:highlight w:val="none"/>
                <w:u w:val="single"/>
                <w:lang w:val="en-US" w:eastAsia="zh-CN"/>
              </w:rPr>
              <w:t>2.67</w:t>
            </w:r>
            <w:r>
              <w:rPr>
                <w:rFonts w:hint="default" w:ascii="Times New Roman" w:hAnsi="Times New Roman" w:cs="Times New Roman"/>
                <w:b w:val="0"/>
                <w:bCs w:val="0"/>
                <w:color w:val="auto"/>
                <w:sz w:val="24"/>
                <w:szCs w:val="24"/>
                <w:highlight w:val="none"/>
                <w:u w:val="single"/>
                <w:lang w:val="en-US" w:eastAsia="zh-CN"/>
              </w:rPr>
              <w:t>h/d。</w:t>
            </w:r>
          </w:p>
          <w:p w14:paraId="001798D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ascii="Times New Roman" w:hAnsi="Times New Roman" w:eastAsia="宋体" w:cs="Times New Roman"/>
                <w:b w:val="0"/>
                <w:bCs w:val="0"/>
                <w:color w:val="auto"/>
                <w:sz w:val="24"/>
                <w:szCs w:val="24"/>
                <w:highlight w:val="none"/>
                <w:u w:val="single"/>
                <w:lang w:val="en-US" w:eastAsia="zh-CN"/>
              </w:rPr>
            </w:pPr>
            <w:r>
              <w:rPr>
                <w:rFonts w:hint="default" w:ascii="Times New Roman" w:hAnsi="Times New Roman" w:eastAsia="宋体" w:cs="Times New Roman"/>
                <w:b w:val="0"/>
                <w:bCs w:val="0"/>
                <w:color w:val="auto"/>
                <w:sz w:val="24"/>
                <w:szCs w:val="24"/>
                <w:highlight w:val="none"/>
                <w:u w:val="single"/>
                <w:lang w:val="en-US" w:eastAsia="zh-CN"/>
              </w:rPr>
              <w:t>活性炭吸附装装载量以</w:t>
            </w:r>
            <w:r>
              <w:rPr>
                <w:rFonts w:hint="eastAsia" w:cs="Times New Roman"/>
                <w:b w:val="0"/>
                <w:bCs w:val="0"/>
                <w:color w:val="auto"/>
                <w:sz w:val="24"/>
                <w:szCs w:val="24"/>
                <w:highlight w:val="none"/>
                <w:u w:val="single"/>
                <w:lang w:val="en-US" w:eastAsia="zh-CN"/>
              </w:rPr>
              <w:t>1</w:t>
            </w:r>
            <w:r>
              <w:rPr>
                <w:rFonts w:hint="default" w:ascii="Times New Roman" w:hAnsi="Times New Roman" w:eastAsia="宋体" w:cs="Times New Roman"/>
                <w:b w:val="0"/>
                <w:bCs w:val="0"/>
                <w:color w:val="auto"/>
                <w:sz w:val="24"/>
                <w:szCs w:val="24"/>
                <w:highlight w:val="none"/>
                <w:u w:val="single"/>
                <w:lang w:val="en-US" w:eastAsia="zh-CN"/>
              </w:rPr>
              <w:t>t计，经计算，更换周期</w:t>
            </w:r>
            <w:r>
              <w:rPr>
                <w:rFonts w:hint="eastAsia" w:ascii="Times New Roman" w:hAnsi="Times New Roman" w:eastAsia="宋体" w:cs="Times New Roman"/>
                <w:b w:val="0"/>
                <w:bCs w:val="0"/>
                <w:color w:val="auto"/>
                <w:sz w:val="24"/>
                <w:szCs w:val="24"/>
                <w:highlight w:val="none"/>
                <w:u w:val="single"/>
                <w:lang w:val="en-US" w:eastAsia="zh-CN"/>
              </w:rPr>
              <w:t>约</w:t>
            </w:r>
            <w:r>
              <w:rPr>
                <w:rFonts w:hint="default" w:ascii="Times New Roman" w:hAnsi="Times New Roman" w:eastAsia="宋体" w:cs="Times New Roman"/>
                <w:b w:val="0"/>
                <w:bCs w:val="0"/>
                <w:color w:val="auto"/>
                <w:sz w:val="24"/>
                <w:szCs w:val="24"/>
                <w:highlight w:val="none"/>
                <w:u w:val="single"/>
                <w:lang w:val="en-US" w:eastAsia="zh-CN"/>
              </w:rPr>
              <w:t>为</w:t>
            </w:r>
            <w:r>
              <w:rPr>
                <w:rFonts w:hint="eastAsia" w:cs="Times New Roman"/>
                <w:b w:val="0"/>
                <w:bCs w:val="0"/>
                <w:color w:val="auto"/>
                <w:sz w:val="24"/>
                <w:szCs w:val="24"/>
                <w:highlight w:val="none"/>
                <w:u w:val="single"/>
                <w:lang w:val="en-US" w:eastAsia="zh-CN"/>
              </w:rPr>
              <w:t>96</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 w:val="0"/>
                <w:bCs w:val="0"/>
                <w:color w:val="auto"/>
                <w:sz w:val="24"/>
                <w:szCs w:val="24"/>
                <w:highlight w:val="none"/>
                <w:u w:val="single"/>
                <w:lang w:val="en-US" w:eastAsia="zh-CN"/>
              </w:rPr>
              <w:t>保守估计以</w:t>
            </w:r>
            <w:r>
              <w:rPr>
                <w:rFonts w:hint="eastAsia" w:cs="Times New Roman"/>
                <w:b w:val="0"/>
                <w:bCs w:val="0"/>
                <w:color w:val="auto"/>
                <w:sz w:val="24"/>
                <w:szCs w:val="24"/>
                <w:highlight w:val="none"/>
                <w:u w:val="single"/>
                <w:lang w:val="en-US" w:eastAsia="zh-CN"/>
              </w:rPr>
              <w:t>三个月</w:t>
            </w:r>
            <w:r>
              <w:rPr>
                <w:rFonts w:hint="eastAsia" w:ascii="Times New Roman" w:hAnsi="Times New Roman" w:eastAsia="宋体" w:cs="Times New Roman"/>
                <w:b w:val="0"/>
                <w:bCs w:val="0"/>
                <w:color w:val="auto"/>
                <w:sz w:val="24"/>
                <w:szCs w:val="24"/>
                <w:highlight w:val="none"/>
                <w:u w:val="single"/>
                <w:lang w:val="en-US" w:eastAsia="zh-CN"/>
              </w:rPr>
              <w:t>更换一次，活性炭吸附非甲烷总烃量</w:t>
            </w:r>
            <w:r>
              <w:rPr>
                <w:rFonts w:hint="eastAsia" w:cs="Times New Roman"/>
                <w:b w:val="0"/>
                <w:bCs w:val="0"/>
                <w:color w:val="auto"/>
                <w:sz w:val="24"/>
                <w:szCs w:val="24"/>
                <w:highlight w:val="none"/>
                <w:u w:val="single"/>
                <w:lang w:val="en-US" w:eastAsia="zh-CN"/>
              </w:rPr>
              <w:t>约</w:t>
            </w:r>
            <w:r>
              <w:rPr>
                <w:rFonts w:hint="eastAsia" w:ascii="Times New Roman" w:hAnsi="Times New Roman" w:eastAsia="宋体" w:cs="Times New Roman"/>
                <w:b w:val="0"/>
                <w:bCs w:val="0"/>
                <w:color w:val="auto"/>
                <w:sz w:val="24"/>
                <w:szCs w:val="24"/>
                <w:highlight w:val="none"/>
                <w:u w:val="single"/>
                <w:lang w:val="en-US" w:eastAsia="zh-CN"/>
              </w:rPr>
              <w:t>为</w:t>
            </w:r>
            <w:r>
              <w:rPr>
                <w:rFonts w:hint="eastAsia" w:cs="Times New Roman"/>
                <w:b w:val="0"/>
                <w:bCs w:val="0"/>
                <w:color w:val="auto"/>
                <w:sz w:val="24"/>
                <w:szCs w:val="24"/>
                <w:highlight w:val="none"/>
                <w:u w:val="single"/>
                <w:lang w:val="en-US" w:eastAsia="zh-CN"/>
              </w:rPr>
              <w:t>0.3516</w:t>
            </w:r>
            <w:r>
              <w:rPr>
                <w:rFonts w:hint="eastAsia" w:ascii="Times New Roman" w:hAnsi="Times New Roman" w:eastAsia="宋体" w:cs="Times New Roman"/>
                <w:b w:val="0"/>
                <w:bCs w:val="0"/>
                <w:color w:val="auto"/>
                <w:sz w:val="24"/>
                <w:szCs w:val="24"/>
                <w:highlight w:val="none"/>
                <w:u w:val="single"/>
                <w:lang w:val="en-US" w:eastAsia="zh-CN"/>
              </w:rPr>
              <w:t>t/a，故</w:t>
            </w:r>
            <w:r>
              <w:rPr>
                <w:rFonts w:hint="default" w:ascii="Times New Roman" w:hAnsi="Times New Roman" w:eastAsia="宋体" w:cs="Times New Roman"/>
                <w:b w:val="0"/>
                <w:bCs w:val="0"/>
                <w:color w:val="auto"/>
                <w:sz w:val="24"/>
                <w:szCs w:val="24"/>
                <w:highlight w:val="none"/>
                <w:u w:val="single"/>
                <w:lang w:val="en-US" w:eastAsia="zh-CN"/>
              </w:rPr>
              <w:t>废活性炭产生量为</w:t>
            </w:r>
            <w:r>
              <w:rPr>
                <w:rFonts w:hint="eastAsia" w:cs="Times New Roman"/>
                <w:b w:val="0"/>
                <w:bCs w:val="0"/>
                <w:color w:val="auto"/>
                <w:sz w:val="24"/>
                <w:szCs w:val="24"/>
                <w:highlight w:val="none"/>
                <w:u w:val="single"/>
                <w:lang w:val="en-US" w:eastAsia="zh-CN"/>
              </w:rPr>
              <w:t>1.3516</w:t>
            </w:r>
            <w:r>
              <w:rPr>
                <w:rFonts w:hint="default" w:ascii="Times New Roman" w:hAnsi="Times New Roman" w:eastAsia="宋体" w:cs="Times New Roman"/>
                <w:b w:val="0"/>
                <w:bCs w:val="0"/>
                <w:color w:val="auto"/>
                <w:sz w:val="24"/>
                <w:szCs w:val="24"/>
                <w:highlight w:val="none"/>
                <w:u w:val="single"/>
                <w:lang w:val="en-US" w:eastAsia="zh-CN"/>
              </w:rPr>
              <w:t>t/a。</w:t>
            </w:r>
          </w:p>
          <w:p w14:paraId="5A182DD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ascii="Times New Roman" w:hAnsi="Times New Roman" w:eastAsia="宋体" w:cs="Times New Roman"/>
                <w:b w:val="0"/>
                <w:bCs w:val="0"/>
                <w:color w:val="auto"/>
                <w:sz w:val="24"/>
                <w:szCs w:val="24"/>
                <w:highlight w:val="none"/>
                <w:u w:val="single"/>
                <w:lang w:val="en-US" w:eastAsia="zh-CN"/>
              </w:rPr>
            </w:pPr>
            <w:r>
              <w:rPr>
                <w:rFonts w:hint="default" w:ascii="Times New Roman" w:hAnsi="Times New Roman" w:eastAsia="宋体" w:cs="Times New Roman"/>
                <w:b w:val="0"/>
                <w:bCs w:val="0"/>
                <w:color w:val="auto"/>
                <w:sz w:val="24"/>
                <w:szCs w:val="24"/>
                <w:highlight w:val="none"/>
                <w:u w:val="single"/>
                <w:lang w:val="en-US" w:eastAsia="zh-CN"/>
              </w:rPr>
              <w:t>根据《国家危险废物名录》（202</w:t>
            </w:r>
            <w:r>
              <w:rPr>
                <w:rFonts w:hint="eastAsia" w:ascii="Times New Roman" w:hAnsi="Times New Roman" w:eastAsia="宋体" w:cs="Times New Roman"/>
                <w:b w:val="0"/>
                <w:bCs w:val="0"/>
                <w:color w:val="auto"/>
                <w:sz w:val="24"/>
                <w:szCs w:val="24"/>
                <w:highlight w:val="none"/>
                <w:u w:val="single"/>
                <w:lang w:val="en-US" w:eastAsia="zh-CN"/>
              </w:rPr>
              <w:t>5</w:t>
            </w:r>
            <w:r>
              <w:rPr>
                <w:rFonts w:hint="default" w:ascii="Times New Roman" w:hAnsi="Times New Roman" w:eastAsia="宋体" w:cs="Times New Roman"/>
                <w:b w:val="0"/>
                <w:bCs w:val="0"/>
                <w:color w:val="auto"/>
                <w:sz w:val="24"/>
                <w:szCs w:val="24"/>
                <w:highlight w:val="none"/>
                <w:u w:val="single"/>
                <w:lang w:val="en-US" w:eastAsia="zh-CN"/>
              </w:rPr>
              <w:t>年版），废活性炭属于危险废物，废活性炭危废类别为：HW49，危废代码为：900-039-49。上述危险废物在危废暂存间暂存后，委托有资质的单位处理。</w:t>
            </w:r>
          </w:p>
          <w:p w14:paraId="21AB06B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cs="Times New Roman"/>
                <w:b w:val="0"/>
                <w:bCs w:val="0"/>
                <w:color w:val="auto"/>
                <w:sz w:val="24"/>
                <w:szCs w:val="24"/>
                <w:highlight w:val="none"/>
                <w:u w:val="single"/>
                <w:lang w:val="en-US" w:eastAsia="zh-CN"/>
              </w:rPr>
            </w:pPr>
            <w:r>
              <w:rPr>
                <w:rFonts w:hint="eastAsia" w:cs="Times New Roman"/>
                <w:b w:val="0"/>
                <w:bCs w:val="0"/>
                <w:color w:val="auto"/>
                <w:sz w:val="24"/>
                <w:szCs w:val="24"/>
                <w:highlight w:val="none"/>
                <w:u w:val="single"/>
                <w:lang w:val="en-US" w:eastAsia="zh-CN"/>
              </w:rPr>
              <w:t>（10）废分子筛</w:t>
            </w:r>
          </w:p>
          <w:p w14:paraId="0A02C68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ascii="Times New Roman" w:hAnsi="Times New Roman" w:eastAsia="宋体" w:cs="Times New Roman"/>
                <w:b w:val="0"/>
                <w:bCs w:val="0"/>
                <w:color w:val="auto"/>
                <w:sz w:val="24"/>
                <w:szCs w:val="24"/>
                <w:highlight w:val="none"/>
                <w:u w:val="single"/>
                <w:lang w:val="en-US" w:eastAsia="zh-CN"/>
              </w:rPr>
            </w:pPr>
            <w:r>
              <w:rPr>
                <w:rFonts w:hint="eastAsia" w:cs="Times New Roman"/>
                <w:b w:val="0"/>
                <w:bCs w:val="0"/>
                <w:color w:val="auto"/>
                <w:sz w:val="24"/>
                <w:szCs w:val="24"/>
                <w:highlight w:val="none"/>
                <w:u w:val="single"/>
                <w:lang w:val="en-US" w:eastAsia="zh-CN"/>
              </w:rPr>
              <w:t>分子筛装载量以0.25t计，参照活性炭更换周期计算，</w:t>
            </w:r>
            <w:r>
              <w:rPr>
                <w:rFonts w:hint="default" w:ascii="Times New Roman" w:hAnsi="Times New Roman" w:eastAsia="宋体" w:cs="Times New Roman"/>
                <w:b w:val="0"/>
                <w:bCs w:val="0"/>
                <w:color w:val="auto"/>
                <w:sz w:val="24"/>
                <w:szCs w:val="24"/>
                <w:highlight w:val="none"/>
                <w:u w:val="single"/>
                <w:lang w:val="en-US" w:eastAsia="zh-CN"/>
              </w:rPr>
              <w:t>更换周期</w:t>
            </w:r>
            <w:r>
              <w:rPr>
                <w:rFonts w:hint="eastAsia" w:ascii="Times New Roman" w:hAnsi="Times New Roman" w:eastAsia="宋体" w:cs="Times New Roman"/>
                <w:b w:val="0"/>
                <w:bCs w:val="0"/>
                <w:color w:val="auto"/>
                <w:sz w:val="24"/>
                <w:szCs w:val="24"/>
                <w:highlight w:val="none"/>
                <w:u w:val="single"/>
                <w:lang w:val="en-US" w:eastAsia="zh-CN"/>
              </w:rPr>
              <w:t>约</w:t>
            </w:r>
            <w:r>
              <w:rPr>
                <w:rFonts w:hint="default" w:ascii="Times New Roman" w:hAnsi="Times New Roman" w:eastAsia="宋体" w:cs="Times New Roman"/>
                <w:b w:val="0"/>
                <w:bCs w:val="0"/>
                <w:color w:val="auto"/>
                <w:sz w:val="24"/>
                <w:szCs w:val="24"/>
                <w:highlight w:val="none"/>
                <w:u w:val="single"/>
                <w:lang w:val="en-US" w:eastAsia="zh-CN"/>
              </w:rPr>
              <w:t>为</w:t>
            </w:r>
            <w:r>
              <w:rPr>
                <w:rFonts w:hint="eastAsia" w:cs="Times New Roman"/>
                <w:b w:val="0"/>
                <w:bCs w:val="0"/>
                <w:color w:val="auto"/>
                <w:sz w:val="24"/>
                <w:szCs w:val="24"/>
                <w:highlight w:val="none"/>
                <w:u w:val="single"/>
                <w:lang w:val="en-US" w:eastAsia="zh-CN"/>
              </w:rPr>
              <w:t>96</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 w:val="0"/>
                <w:bCs w:val="0"/>
                <w:color w:val="auto"/>
                <w:sz w:val="24"/>
                <w:szCs w:val="24"/>
                <w:highlight w:val="none"/>
                <w:u w:val="single"/>
                <w:lang w:val="en-US" w:eastAsia="zh-CN"/>
              </w:rPr>
              <w:t>保守估计以</w:t>
            </w:r>
            <w:r>
              <w:rPr>
                <w:rFonts w:hint="eastAsia" w:cs="Times New Roman"/>
                <w:b w:val="0"/>
                <w:bCs w:val="0"/>
                <w:color w:val="auto"/>
                <w:sz w:val="24"/>
                <w:szCs w:val="24"/>
                <w:highlight w:val="none"/>
                <w:u w:val="single"/>
                <w:lang w:val="en-US" w:eastAsia="zh-CN"/>
              </w:rPr>
              <w:t>三个月</w:t>
            </w:r>
            <w:r>
              <w:rPr>
                <w:rFonts w:hint="eastAsia" w:ascii="Times New Roman" w:hAnsi="Times New Roman" w:eastAsia="宋体" w:cs="Times New Roman"/>
                <w:b w:val="0"/>
                <w:bCs w:val="0"/>
                <w:color w:val="auto"/>
                <w:sz w:val="24"/>
                <w:szCs w:val="24"/>
                <w:highlight w:val="none"/>
                <w:u w:val="single"/>
                <w:lang w:val="en-US" w:eastAsia="zh-CN"/>
              </w:rPr>
              <w:t>更换一次，分子筛吸附非甲烷总烃量为</w:t>
            </w:r>
            <w:r>
              <w:rPr>
                <w:rFonts w:hint="eastAsia" w:cs="Times New Roman"/>
                <w:b w:val="0"/>
                <w:bCs w:val="0"/>
                <w:color w:val="auto"/>
                <w:sz w:val="24"/>
                <w:szCs w:val="24"/>
                <w:highlight w:val="none"/>
                <w:u w:val="single"/>
                <w:lang w:val="en-US" w:eastAsia="zh-CN"/>
              </w:rPr>
              <w:t>0.0703</w:t>
            </w:r>
            <w:r>
              <w:rPr>
                <w:rFonts w:hint="eastAsia" w:ascii="Times New Roman" w:hAnsi="Times New Roman" w:eastAsia="宋体" w:cs="Times New Roman"/>
                <w:b w:val="0"/>
                <w:bCs w:val="0"/>
                <w:color w:val="auto"/>
                <w:sz w:val="24"/>
                <w:szCs w:val="24"/>
                <w:highlight w:val="none"/>
                <w:u w:val="single"/>
                <w:lang w:val="en-US" w:eastAsia="zh-CN"/>
              </w:rPr>
              <w:t>t/a，故</w:t>
            </w:r>
            <w:r>
              <w:rPr>
                <w:rFonts w:hint="default" w:ascii="Times New Roman" w:hAnsi="Times New Roman" w:eastAsia="宋体" w:cs="Times New Roman"/>
                <w:b w:val="0"/>
                <w:bCs w:val="0"/>
                <w:color w:val="auto"/>
                <w:sz w:val="24"/>
                <w:szCs w:val="24"/>
                <w:highlight w:val="none"/>
                <w:u w:val="single"/>
                <w:lang w:val="en-US" w:eastAsia="zh-CN"/>
              </w:rPr>
              <w:t>废活性炭产生量为</w:t>
            </w:r>
            <w:r>
              <w:rPr>
                <w:rFonts w:hint="eastAsia" w:cs="Times New Roman"/>
                <w:b w:val="0"/>
                <w:bCs w:val="0"/>
                <w:color w:val="auto"/>
                <w:sz w:val="24"/>
                <w:szCs w:val="24"/>
                <w:highlight w:val="none"/>
                <w:u w:val="single"/>
                <w:lang w:val="en-US" w:eastAsia="zh-CN"/>
              </w:rPr>
              <w:t>0.3203</w:t>
            </w:r>
            <w:r>
              <w:rPr>
                <w:rFonts w:hint="default" w:ascii="Times New Roman" w:hAnsi="Times New Roman" w:eastAsia="宋体" w:cs="Times New Roman"/>
                <w:b w:val="0"/>
                <w:bCs w:val="0"/>
                <w:color w:val="auto"/>
                <w:sz w:val="24"/>
                <w:szCs w:val="24"/>
                <w:highlight w:val="none"/>
                <w:u w:val="single"/>
                <w:lang w:val="en-US" w:eastAsia="zh-CN"/>
              </w:rPr>
              <w:t>t/a。</w:t>
            </w:r>
          </w:p>
          <w:p w14:paraId="11C5385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eastAsia" w:cs="Times New Roman"/>
                <w:b w:val="0"/>
                <w:bCs w:val="0"/>
                <w:color w:val="auto"/>
                <w:sz w:val="24"/>
                <w:szCs w:val="24"/>
                <w:highlight w:val="none"/>
                <w:u w:val="single"/>
                <w:lang w:val="en-US" w:eastAsia="zh-CN"/>
              </w:rPr>
            </w:pPr>
            <w:r>
              <w:rPr>
                <w:rFonts w:hint="default" w:ascii="Times New Roman" w:hAnsi="Times New Roman" w:eastAsia="宋体" w:cs="Times New Roman"/>
                <w:b w:val="0"/>
                <w:bCs w:val="0"/>
                <w:color w:val="auto"/>
                <w:sz w:val="24"/>
                <w:szCs w:val="24"/>
                <w:highlight w:val="none"/>
                <w:u w:val="single"/>
                <w:lang w:val="en-US" w:eastAsia="zh-CN"/>
              </w:rPr>
              <w:t>根据《国家危险废物名录》（202</w:t>
            </w:r>
            <w:r>
              <w:rPr>
                <w:rFonts w:hint="eastAsia" w:ascii="Times New Roman" w:hAnsi="Times New Roman" w:eastAsia="宋体" w:cs="Times New Roman"/>
                <w:b w:val="0"/>
                <w:bCs w:val="0"/>
                <w:color w:val="auto"/>
                <w:sz w:val="24"/>
                <w:szCs w:val="24"/>
                <w:highlight w:val="none"/>
                <w:u w:val="single"/>
                <w:lang w:val="en-US" w:eastAsia="zh-CN"/>
              </w:rPr>
              <w:t>5</w:t>
            </w:r>
            <w:r>
              <w:rPr>
                <w:rFonts w:hint="default" w:ascii="Times New Roman" w:hAnsi="Times New Roman" w:eastAsia="宋体" w:cs="Times New Roman"/>
                <w:b w:val="0"/>
                <w:bCs w:val="0"/>
                <w:color w:val="auto"/>
                <w:sz w:val="24"/>
                <w:szCs w:val="24"/>
                <w:highlight w:val="none"/>
                <w:u w:val="single"/>
                <w:lang w:val="en-US" w:eastAsia="zh-CN"/>
              </w:rPr>
              <w:t>年版），</w:t>
            </w:r>
            <w:r>
              <w:rPr>
                <w:rFonts w:hint="eastAsia" w:ascii="Times New Roman" w:hAnsi="Times New Roman" w:eastAsia="宋体" w:cs="Times New Roman"/>
                <w:b w:val="0"/>
                <w:bCs w:val="0"/>
                <w:color w:val="auto"/>
                <w:sz w:val="24"/>
                <w:szCs w:val="24"/>
                <w:highlight w:val="none"/>
                <w:u w:val="single"/>
                <w:lang w:val="en-US" w:eastAsia="zh-CN"/>
              </w:rPr>
              <w:t>废分子筛</w:t>
            </w:r>
            <w:r>
              <w:rPr>
                <w:rFonts w:hint="default" w:ascii="Times New Roman" w:hAnsi="Times New Roman" w:eastAsia="宋体" w:cs="Times New Roman"/>
                <w:b w:val="0"/>
                <w:bCs w:val="0"/>
                <w:color w:val="auto"/>
                <w:sz w:val="24"/>
                <w:szCs w:val="24"/>
                <w:highlight w:val="none"/>
                <w:u w:val="single"/>
                <w:lang w:val="en-US" w:eastAsia="zh-CN"/>
              </w:rPr>
              <w:t>炭属于危险废物，废活性炭危废类别为：HW49，危废代码为：900-0</w:t>
            </w:r>
            <w:r>
              <w:rPr>
                <w:rFonts w:hint="eastAsia" w:cs="Times New Roman"/>
                <w:b w:val="0"/>
                <w:bCs w:val="0"/>
                <w:color w:val="auto"/>
                <w:sz w:val="24"/>
                <w:szCs w:val="24"/>
                <w:highlight w:val="none"/>
                <w:u w:val="single"/>
                <w:lang w:val="en-US" w:eastAsia="zh-CN"/>
              </w:rPr>
              <w:t>41</w:t>
            </w:r>
            <w:r>
              <w:rPr>
                <w:rFonts w:hint="default" w:ascii="Times New Roman" w:hAnsi="Times New Roman" w:eastAsia="宋体" w:cs="Times New Roman"/>
                <w:b w:val="0"/>
                <w:bCs w:val="0"/>
                <w:color w:val="auto"/>
                <w:sz w:val="24"/>
                <w:szCs w:val="24"/>
                <w:highlight w:val="none"/>
                <w:u w:val="single"/>
                <w:lang w:val="en-US" w:eastAsia="zh-CN"/>
              </w:rPr>
              <w:t>-49。上述危险废物在危废暂存间暂存后，委托有资质的单位处理。</w:t>
            </w:r>
          </w:p>
          <w:p w14:paraId="447D8F8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（11）生活垃圾</w:t>
            </w:r>
          </w:p>
          <w:p w14:paraId="2C1C6D3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textAlignment w:val="baseline"/>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highlight w:val="none"/>
                <w:u w:val="none"/>
                <w:lang w:val="en-US" w:eastAsia="zh-CN"/>
              </w:rPr>
              <w:t>本项目劳动定员</w:t>
            </w:r>
            <w:r>
              <w:rPr>
                <w:rFonts w:hint="eastAsia" w:ascii="Times New Roman" w:hAnsi="Times New Roman" w:eastAsia="宋体" w:cs="Times New Roman"/>
                <w:b w:val="0"/>
                <w:bCs w:val="0"/>
                <w:color w:val="auto"/>
                <w:sz w:val="24"/>
                <w:highlight w:val="none"/>
                <w:u w:val="none"/>
                <w:lang w:val="en-US" w:eastAsia="zh-CN"/>
              </w:rPr>
              <w:t>30</w:t>
            </w:r>
            <w:r>
              <w:rPr>
                <w:rFonts w:hint="default" w:ascii="Times New Roman" w:hAnsi="Times New Roman" w:eastAsia="宋体" w:cs="Times New Roman"/>
                <w:b w:val="0"/>
                <w:bCs w:val="0"/>
                <w:color w:val="auto"/>
                <w:sz w:val="24"/>
                <w:highlight w:val="none"/>
                <w:u w:val="none"/>
                <w:lang w:val="en-US" w:eastAsia="zh-CN"/>
              </w:rPr>
              <w:t>人，生活垃圾产生量按0.5kg/（d·人）计算，产生量为</w:t>
            </w:r>
            <w:r>
              <w:rPr>
                <w:rFonts w:hint="eastAsia" w:ascii="Times New Roman" w:hAnsi="Times New Roman" w:eastAsia="宋体" w:cs="Times New Roman"/>
                <w:b w:val="0"/>
                <w:bCs w:val="0"/>
                <w:color w:val="auto"/>
                <w:sz w:val="24"/>
                <w:highlight w:val="none"/>
                <w:u w:val="none"/>
                <w:lang w:val="en-US" w:eastAsia="zh-CN"/>
              </w:rPr>
              <w:t>4.5</w:t>
            </w:r>
            <w:r>
              <w:rPr>
                <w:rFonts w:hint="default" w:ascii="Times New Roman" w:hAnsi="Times New Roman" w:eastAsia="宋体" w:cs="Times New Roman"/>
                <w:b w:val="0"/>
                <w:bCs w:val="0"/>
                <w:color w:val="auto"/>
                <w:sz w:val="24"/>
                <w:highlight w:val="none"/>
                <w:u w:val="none"/>
                <w:lang w:val="en-US" w:eastAsia="zh-CN"/>
              </w:rPr>
              <w:t>t/a，收集后交由环卫部门处理。</w:t>
            </w:r>
          </w:p>
          <w:p w14:paraId="1F978AB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textAlignment w:val="baseline"/>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4.2 危险废物产生及处置情况</w:t>
            </w:r>
          </w:p>
          <w:p w14:paraId="08B0D1C2">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表4-</w:t>
            </w:r>
            <w:r>
              <w:rPr>
                <w:rFonts w:hint="eastAsia" w:cs="Times New Roman"/>
                <w:color w:val="auto"/>
                <w:kern w:val="2"/>
                <w:sz w:val="21"/>
                <w:szCs w:val="21"/>
                <w:highlight w:val="none"/>
                <w:lang w:val="en-US" w:eastAsia="zh-CN" w:bidi="ar-SA"/>
              </w:rPr>
              <w:t xml:space="preserve">14 </w:t>
            </w:r>
            <w:r>
              <w:rPr>
                <w:rFonts w:hint="default" w:ascii="Times New Roman" w:hAnsi="Times New Roman" w:eastAsia="宋体" w:cs="Times New Roman"/>
                <w:color w:val="auto"/>
                <w:kern w:val="2"/>
                <w:sz w:val="21"/>
                <w:szCs w:val="21"/>
                <w:highlight w:val="none"/>
                <w:lang w:val="en-US" w:eastAsia="zh-CN" w:bidi="ar-SA"/>
              </w:rPr>
              <w:t xml:space="preserve">  本项目危险废物产生及处置情况</w:t>
            </w:r>
          </w:p>
          <w:tbl>
            <w:tblPr>
              <w:tblStyle w:val="29"/>
              <w:tblW w:w="7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282"/>
              <w:gridCol w:w="682"/>
              <w:gridCol w:w="518"/>
              <w:gridCol w:w="641"/>
              <w:gridCol w:w="668"/>
              <w:gridCol w:w="791"/>
              <w:gridCol w:w="777"/>
              <w:gridCol w:w="1293"/>
            </w:tblGrid>
            <w:tr w14:paraId="58ED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shd w:val="clear" w:color="auto" w:fill="auto"/>
                  <w:vAlign w:val="center"/>
                </w:tcPr>
                <w:p w14:paraId="5569B911">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危险废物</w:t>
                  </w:r>
                </w:p>
              </w:tc>
              <w:tc>
                <w:tcPr>
                  <w:tcW w:w="1282" w:type="dxa"/>
                  <w:shd w:val="clear" w:color="auto" w:fill="auto"/>
                  <w:vAlign w:val="center"/>
                </w:tcPr>
                <w:p w14:paraId="5C7ADCCD">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危险废物代码</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类别</w:t>
                  </w:r>
                </w:p>
              </w:tc>
              <w:tc>
                <w:tcPr>
                  <w:tcW w:w="682" w:type="dxa"/>
                  <w:shd w:val="clear" w:color="auto" w:fill="auto"/>
                  <w:vAlign w:val="center"/>
                </w:tcPr>
                <w:p w14:paraId="2B1AC835">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产生</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工序</w:t>
                  </w:r>
                </w:p>
              </w:tc>
              <w:tc>
                <w:tcPr>
                  <w:tcW w:w="518" w:type="dxa"/>
                  <w:shd w:val="clear" w:color="auto" w:fill="auto"/>
                  <w:vAlign w:val="center"/>
                </w:tcPr>
                <w:p w14:paraId="05F75940">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形态</w:t>
                  </w:r>
                </w:p>
              </w:tc>
              <w:tc>
                <w:tcPr>
                  <w:tcW w:w="641" w:type="dxa"/>
                  <w:shd w:val="clear" w:color="auto" w:fill="auto"/>
                  <w:vAlign w:val="center"/>
                </w:tcPr>
                <w:p w14:paraId="33B59FA1">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主要成分</w:t>
                  </w:r>
                </w:p>
              </w:tc>
              <w:tc>
                <w:tcPr>
                  <w:tcW w:w="668" w:type="dxa"/>
                  <w:shd w:val="clear" w:color="auto" w:fill="auto"/>
                  <w:vAlign w:val="center"/>
                </w:tcPr>
                <w:p w14:paraId="6B59D79A">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有害</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成分</w:t>
                  </w:r>
                </w:p>
              </w:tc>
              <w:tc>
                <w:tcPr>
                  <w:tcW w:w="791" w:type="dxa"/>
                  <w:shd w:val="clear" w:color="auto" w:fill="auto"/>
                  <w:vAlign w:val="center"/>
                </w:tcPr>
                <w:p w14:paraId="71F11BA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产废</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周期</w:t>
                  </w:r>
                </w:p>
              </w:tc>
              <w:tc>
                <w:tcPr>
                  <w:tcW w:w="777" w:type="dxa"/>
                  <w:shd w:val="clear" w:color="auto" w:fill="auto"/>
                  <w:vAlign w:val="center"/>
                </w:tcPr>
                <w:p w14:paraId="7F712687">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危险特性</w:t>
                  </w:r>
                </w:p>
              </w:tc>
              <w:tc>
                <w:tcPr>
                  <w:tcW w:w="1293" w:type="dxa"/>
                  <w:vAlign w:val="center"/>
                </w:tcPr>
                <w:p w14:paraId="2BDA21CD">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治理措施</w:t>
                  </w:r>
                </w:p>
              </w:tc>
            </w:tr>
            <w:tr w14:paraId="7A96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14:paraId="210409CA">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cs="Times New Roman"/>
                      <w:b w:val="0"/>
                      <w:bCs w:val="0"/>
                      <w:color w:val="auto"/>
                      <w:kern w:val="2"/>
                      <w:sz w:val="21"/>
                      <w:szCs w:val="21"/>
                      <w:highlight w:val="none"/>
                      <w:u w:val="none"/>
                      <w:vertAlign w:val="baseline"/>
                      <w:lang w:val="en-US" w:eastAsia="zh-CN" w:bidi="ar-SA"/>
                    </w:rPr>
                    <w:t>废</w:t>
                  </w:r>
                  <w:r>
                    <w:rPr>
                      <w:rFonts w:hint="eastAsia" w:cs="Times New Roman"/>
                      <w:b w:val="0"/>
                      <w:bCs w:val="0"/>
                      <w:color w:val="auto"/>
                      <w:kern w:val="2"/>
                      <w:sz w:val="21"/>
                      <w:szCs w:val="21"/>
                      <w:highlight w:val="none"/>
                      <w:u w:val="none"/>
                      <w:vertAlign w:val="baseline"/>
                      <w:lang w:val="en-US" w:eastAsia="zh-CN" w:bidi="ar-SA"/>
                    </w:rPr>
                    <w:t>切削</w:t>
                  </w:r>
                  <w:r>
                    <w:rPr>
                      <w:rFonts w:hint="default" w:ascii="Times New Roman" w:hAnsi="Times New Roman" w:cs="Times New Roman"/>
                      <w:b w:val="0"/>
                      <w:bCs w:val="0"/>
                      <w:color w:val="auto"/>
                      <w:kern w:val="2"/>
                      <w:sz w:val="21"/>
                      <w:szCs w:val="21"/>
                      <w:highlight w:val="none"/>
                      <w:u w:val="none"/>
                      <w:vertAlign w:val="baseline"/>
                      <w:lang w:val="en-US" w:eastAsia="zh-CN" w:bidi="ar-SA"/>
                    </w:rPr>
                    <w:t>液</w:t>
                  </w:r>
                </w:p>
              </w:tc>
              <w:tc>
                <w:tcPr>
                  <w:tcW w:w="1282" w:type="dxa"/>
                  <w:vAlign w:val="center"/>
                </w:tcPr>
                <w:p w14:paraId="18F5B3E8">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HW</w:t>
                  </w:r>
                  <w:r>
                    <w:rPr>
                      <w:rFonts w:hint="eastAsia" w:hAnsi="Times New Roman" w:cs="Times New Roman"/>
                      <w:b w:val="0"/>
                      <w:bCs w:val="0"/>
                      <w:color w:val="auto"/>
                      <w:sz w:val="21"/>
                      <w:szCs w:val="21"/>
                      <w:highlight w:val="none"/>
                      <w:u w:val="none"/>
                      <w:lang w:val="en-US" w:eastAsia="zh-CN"/>
                    </w:rPr>
                    <w:t>0</w:t>
                  </w:r>
                  <w:r>
                    <w:rPr>
                      <w:rFonts w:hint="default" w:ascii="Times New Roman" w:hAnsi="Times New Roman" w:eastAsia="宋体" w:cs="Times New Roman"/>
                      <w:b w:val="0"/>
                      <w:bCs w:val="0"/>
                      <w:color w:val="auto"/>
                      <w:sz w:val="21"/>
                      <w:szCs w:val="21"/>
                      <w:highlight w:val="none"/>
                      <w:u w:val="none"/>
                      <w:lang w:val="en-US" w:eastAsia="zh-CN"/>
                    </w:rPr>
                    <w:t>9</w:t>
                  </w:r>
                  <w:r>
                    <w:rPr>
                      <w:rFonts w:hint="eastAsia" w:hAnsi="Times New Roman" w:cs="Times New Roman"/>
                      <w:b w:val="0"/>
                      <w:bCs w:val="0"/>
                      <w:color w:val="auto"/>
                      <w:sz w:val="21"/>
                      <w:szCs w:val="21"/>
                      <w:highlight w:val="none"/>
                      <w:u w:val="none"/>
                      <w:lang w:val="en-US" w:eastAsia="zh-CN"/>
                    </w:rPr>
                    <w:t>/</w:t>
                  </w:r>
                  <w:r>
                    <w:rPr>
                      <w:rFonts w:hint="default" w:ascii="Times New Roman" w:hAnsi="Times New Roman" w:eastAsia="宋体" w:cs="Times New Roman"/>
                      <w:b w:val="0"/>
                      <w:bCs w:val="0"/>
                      <w:color w:val="auto"/>
                      <w:sz w:val="21"/>
                      <w:szCs w:val="21"/>
                      <w:highlight w:val="none"/>
                      <w:u w:val="none"/>
                      <w:lang w:val="en-US" w:eastAsia="zh-CN"/>
                    </w:rPr>
                    <w:t>900-006-09</w:t>
                  </w:r>
                </w:p>
              </w:tc>
              <w:tc>
                <w:tcPr>
                  <w:tcW w:w="682" w:type="dxa"/>
                  <w:vAlign w:val="center"/>
                </w:tcPr>
                <w:p w14:paraId="0F744CF5">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切割工序</w:t>
                  </w:r>
                </w:p>
              </w:tc>
              <w:tc>
                <w:tcPr>
                  <w:tcW w:w="518" w:type="dxa"/>
                  <w:vAlign w:val="center"/>
                </w:tcPr>
                <w:p w14:paraId="2C6A4297">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液态</w:t>
                  </w:r>
                </w:p>
              </w:tc>
              <w:tc>
                <w:tcPr>
                  <w:tcW w:w="641" w:type="dxa"/>
                  <w:vAlign w:val="center"/>
                </w:tcPr>
                <w:p w14:paraId="099BE0A1">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烃类</w:t>
                  </w:r>
                </w:p>
              </w:tc>
              <w:tc>
                <w:tcPr>
                  <w:tcW w:w="668" w:type="dxa"/>
                  <w:vAlign w:val="center"/>
                </w:tcPr>
                <w:p w14:paraId="413ABA2D">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烃类</w:t>
                  </w:r>
                </w:p>
              </w:tc>
              <w:tc>
                <w:tcPr>
                  <w:tcW w:w="791" w:type="dxa"/>
                  <w:vAlign w:val="center"/>
                </w:tcPr>
                <w:p w14:paraId="4ACF2D40">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每天</w:t>
                  </w:r>
                </w:p>
              </w:tc>
              <w:tc>
                <w:tcPr>
                  <w:tcW w:w="777" w:type="dxa"/>
                  <w:vAlign w:val="center"/>
                </w:tcPr>
                <w:p w14:paraId="65961A68">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T</w:t>
                  </w:r>
                  <w:r>
                    <w:rPr>
                      <w:rFonts w:hint="eastAsia" w:hAnsi="Times New Roman" w:cs="Times New Roman"/>
                      <w:b w:val="0"/>
                      <w:bCs w:val="0"/>
                      <w:color w:val="auto"/>
                      <w:sz w:val="21"/>
                      <w:szCs w:val="21"/>
                      <w:highlight w:val="none"/>
                      <w:u w:val="none"/>
                      <w:lang w:val="en-US" w:eastAsia="zh-CN"/>
                    </w:rPr>
                    <w:t>，</w:t>
                  </w:r>
                  <w:r>
                    <w:rPr>
                      <w:rFonts w:hint="eastAsia" w:ascii="Times New Roman" w:hAnsi="Times New Roman" w:eastAsia="宋体" w:cs="Times New Roman"/>
                      <w:b w:val="0"/>
                      <w:bCs w:val="0"/>
                      <w:color w:val="auto"/>
                      <w:sz w:val="21"/>
                      <w:szCs w:val="21"/>
                      <w:highlight w:val="none"/>
                      <w:u w:val="none"/>
                      <w:lang w:val="en-US" w:eastAsia="zh-CN"/>
                    </w:rPr>
                    <w:t>I</w:t>
                  </w:r>
                </w:p>
              </w:tc>
              <w:tc>
                <w:tcPr>
                  <w:tcW w:w="1293" w:type="dxa"/>
                  <w:vMerge w:val="restart"/>
                  <w:vAlign w:val="center"/>
                </w:tcPr>
                <w:p w14:paraId="5728F9C2">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暂存于危废暂存间，定期委托有资质单位妥善处置</w:t>
                  </w:r>
                </w:p>
              </w:tc>
            </w:tr>
            <w:tr w14:paraId="48FB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14:paraId="44ACC2B3">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废防锈油</w:t>
                  </w:r>
                </w:p>
              </w:tc>
              <w:tc>
                <w:tcPr>
                  <w:tcW w:w="1282" w:type="dxa"/>
                  <w:vAlign w:val="center"/>
                </w:tcPr>
                <w:p w14:paraId="39BB96C3">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HW</w:t>
                  </w:r>
                  <w:r>
                    <w:rPr>
                      <w:rFonts w:hint="eastAsia" w:hAnsi="Times New Roman" w:cs="Times New Roman"/>
                      <w:b w:val="0"/>
                      <w:bCs w:val="0"/>
                      <w:color w:val="auto"/>
                      <w:sz w:val="21"/>
                      <w:szCs w:val="21"/>
                      <w:highlight w:val="none"/>
                      <w:u w:val="none"/>
                      <w:lang w:val="en-US" w:eastAsia="zh-CN"/>
                    </w:rPr>
                    <w:t>0</w:t>
                  </w:r>
                  <w:r>
                    <w:rPr>
                      <w:rFonts w:hint="default" w:ascii="Times New Roman" w:hAnsi="Times New Roman" w:eastAsia="宋体" w:cs="Times New Roman"/>
                      <w:b w:val="0"/>
                      <w:bCs w:val="0"/>
                      <w:color w:val="auto"/>
                      <w:sz w:val="21"/>
                      <w:szCs w:val="21"/>
                      <w:highlight w:val="none"/>
                      <w:u w:val="none"/>
                      <w:lang w:val="en-US" w:eastAsia="zh-CN"/>
                    </w:rPr>
                    <w:t>9</w:t>
                  </w:r>
                  <w:r>
                    <w:rPr>
                      <w:rFonts w:hint="eastAsia" w:hAnsi="Times New Roman" w:cs="Times New Roman"/>
                      <w:b w:val="0"/>
                      <w:bCs w:val="0"/>
                      <w:color w:val="auto"/>
                      <w:sz w:val="21"/>
                      <w:szCs w:val="21"/>
                      <w:highlight w:val="none"/>
                      <w:u w:val="none"/>
                      <w:lang w:val="en-US" w:eastAsia="zh-CN"/>
                    </w:rPr>
                    <w:t>/</w:t>
                  </w:r>
                  <w:r>
                    <w:rPr>
                      <w:rFonts w:hint="default" w:ascii="Times New Roman" w:hAnsi="Times New Roman" w:eastAsia="宋体" w:cs="Times New Roman"/>
                      <w:b w:val="0"/>
                      <w:bCs w:val="0"/>
                      <w:color w:val="auto"/>
                      <w:sz w:val="21"/>
                      <w:szCs w:val="21"/>
                      <w:highlight w:val="none"/>
                      <w:u w:val="none"/>
                      <w:lang w:val="en-US" w:eastAsia="zh-CN"/>
                    </w:rPr>
                    <w:t>900-</w:t>
                  </w:r>
                  <w:r>
                    <w:rPr>
                      <w:rFonts w:hint="eastAsia" w:ascii="Times New Roman" w:hAnsi="Times New Roman" w:eastAsia="宋体" w:cs="Times New Roman"/>
                      <w:b w:val="0"/>
                      <w:bCs w:val="0"/>
                      <w:color w:val="auto"/>
                      <w:sz w:val="21"/>
                      <w:szCs w:val="21"/>
                      <w:highlight w:val="none"/>
                      <w:u w:val="none"/>
                      <w:lang w:val="en-US" w:eastAsia="zh-CN"/>
                    </w:rPr>
                    <w:t>21</w:t>
                  </w:r>
                  <w:r>
                    <w:rPr>
                      <w:rFonts w:hint="default" w:ascii="Times New Roman" w:hAnsi="Times New Roman" w:eastAsia="宋体" w:cs="Times New Roman"/>
                      <w:b w:val="0"/>
                      <w:bCs w:val="0"/>
                      <w:color w:val="auto"/>
                      <w:sz w:val="21"/>
                      <w:szCs w:val="21"/>
                      <w:highlight w:val="none"/>
                      <w:u w:val="none"/>
                      <w:lang w:val="en-US" w:eastAsia="zh-CN"/>
                    </w:rPr>
                    <w:t>6-0</w:t>
                  </w:r>
                  <w:r>
                    <w:rPr>
                      <w:rFonts w:hint="eastAsia" w:ascii="Times New Roman" w:hAnsi="Times New Roman" w:eastAsia="宋体" w:cs="Times New Roman"/>
                      <w:b w:val="0"/>
                      <w:bCs w:val="0"/>
                      <w:color w:val="auto"/>
                      <w:sz w:val="21"/>
                      <w:szCs w:val="21"/>
                      <w:highlight w:val="none"/>
                      <w:u w:val="none"/>
                      <w:lang w:val="en-US" w:eastAsia="zh-CN"/>
                    </w:rPr>
                    <w:t>8</w:t>
                  </w:r>
                </w:p>
              </w:tc>
              <w:tc>
                <w:tcPr>
                  <w:tcW w:w="682" w:type="dxa"/>
                  <w:vAlign w:val="center"/>
                </w:tcPr>
                <w:p w14:paraId="2AEF94DC">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防锈工序</w:t>
                  </w:r>
                </w:p>
              </w:tc>
              <w:tc>
                <w:tcPr>
                  <w:tcW w:w="518" w:type="dxa"/>
                  <w:vAlign w:val="center"/>
                </w:tcPr>
                <w:p w14:paraId="2B2A57AF">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液态</w:t>
                  </w:r>
                </w:p>
              </w:tc>
              <w:tc>
                <w:tcPr>
                  <w:tcW w:w="641" w:type="dxa"/>
                  <w:shd w:val="clear" w:color="auto" w:fill="auto"/>
                  <w:vAlign w:val="center"/>
                </w:tcPr>
                <w:p w14:paraId="03C7CB9D">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烃类</w:t>
                  </w:r>
                </w:p>
              </w:tc>
              <w:tc>
                <w:tcPr>
                  <w:tcW w:w="668" w:type="dxa"/>
                  <w:shd w:val="clear" w:color="auto" w:fill="auto"/>
                  <w:vAlign w:val="center"/>
                </w:tcPr>
                <w:p w14:paraId="574B8D24">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烃类</w:t>
                  </w:r>
                </w:p>
              </w:tc>
              <w:tc>
                <w:tcPr>
                  <w:tcW w:w="791" w:type="dxa"/>
                  <w:shd w:val="clear" w:color="auto" w:fill="auto"/>
                  <w:vAlign w:val="center"/>
                </w:tcPr>
                <w:p w14:paraId="7DCD0709">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每天</w:t>
                  </w:r>
                </w:p>
              </w:tc>
              <w:tc>
                <w:tcPr>
                  <w:tcW w:w="777" w:type="dxa"/>
                  <w:vAlign w:val="center"/>
                </w:tcPr>
                <w:p w14:paraId="55DBE84E">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T</w:t>
                  </w:r>
                  <w:r>
                    <w:rPr>
                      <w:rFonts w:hint="eastAsia" w:hAnsi="Times New Roman" w:cs="Times New Roman"/>
                      <w:b w:val="0"/>
                      <w:bCs w:val="0"/>
                      <w:color w:val="auto"/>
                      <w:sz w:val="21"/>
                      <w:szCs w:val="21"/>
                      <w:highlight w:val="none"/>
                      <w:u w:val="none"/>
                      <w:lang w:val="en-US" w:eastAsia="zh-CN"/>
                    </w:rPr>
                    <w:t>，</w:t>
                  </w:r>
                  <w:r>
                    <w:rPr>
                      <w:rFonts w:hint="eastAsia" w:ascii="Times New Roman" w:hAnsi="Times New Roman" w:eastAsia="宋体" w:cs="Times New Roman"/>
                      <w:b w:val="0"/>
                      <w:bCs w:val="0"/>
                      <w:color w:val="auto"/>
                      <w:sz w:val="21"/>
                      <w:szCs w:val="21"/>
                      <w:highlight w:val="none"/>
                      <w:u w:val="none"/>
                      <w:lang w:val="en-US" w:eastAsia="zh-CN"/>
                    </w:rPr>
                    <w:t>I</w:t>
                  </w:r>
                </w:p>
              </w:tc>
              <w:tc>
                <w:tcPr>
                  <w:tcW w:w="1293" w:type="dxa"/>
                  <w:vMerge w:val="continue"/>
                  <w:vAlign w:val="center"/>
                </w:tcPr>
                <w:p w14:paraId="2ACD6C4A">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rPr>
                  </w:pPr>
                </w:p>
              </w:tc>
            </w:tr>
            <w:tr w14:paraId="5CEB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14:paraId="6156F312">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u w:val="none"/>
                      <w:vertAlign w:val="baseline"/>
                      <w:lang w:val="en-US" w:eastAsia="zh-CN" w:bidi="ar-SA"/>
                    </w:rPr>
                    <w:t>废机油</w:t>
                  </w:r>
                </w:p>
              </w:tc>
              <w:tc>
                <w:tcPr>
                  <w:tcW w:w="1282" w:type="dxa"/>
                  <w:vAlign w:val="center"/>
                </w:tcPr>
                <w:p w14:paraId="70CB0943">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HW08/900-214-08</w:t>
                  </w:r>
                </w:p>
              </w:tc>
              <w:tc>
                <w:tcPr>
                  <w:tcW w:w="682" w:type="dxa"/>
                  <w:vAlign w:val="center"/>
                </w:tcPr>
                <w:p w14:paraId="084C7202">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设备维护</w:t>
                  </w:r>
                </w:p>
              </w:tc>
              <w:tc>
                <w:tcPr>
                  <w:tcW w:w="518" w:type="dxa"/>
                  <w:shd w:val="clear" w:color="auto" w:fill="auto"/>
                  <w:vAlign w:val="center"/>
                </w:tcPr>
                <w:p w14:paraId="2534D60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液态</w:t>
                  </w:r>
                </w:p>
              </w:tc>
              <w:tc>
                <w:tcPr>
                  <w:tcW w:w="641" w:type="dxa"/>
                  <w:shd w:val="clear" w:color="auto" w:fill="auto"/>
                  <w:vAlign w:val="center"/>
                </w:tcPr>
                <w:p w14:paraId="29604662">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烃类</w:t>
                  </w:r>
                </w:p>
              </w:tc>
              <w:tc>
                <w:tcPr>
                  <w:tcW w:w="668" w:type="dxa"/>
                  <w:shd w:val="clear" w:color="auto" w:fill="auto"/>
                  <w:vAlign w:val="center"/>
                </w:tcPr>
                <w:p w14:paraId="5F0CCDFC">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烃类</w:t>
                  </w:r>
                </w:p>
              </w:tc>
              <w:tc>
                <w:tcPr>
                  <w:tcW w:w="791" w:type="dxa"/>
                  <w:shd w:val="clear" w:color="auto" w:fill="auto"/>
                  <w:vAlign w:val="center"/>
                </w:tcPr>
                <w:p w14:paraId="5B2E2886">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2月</w:t>
                  </w:r>
                </w:p>
              </w:tc>
              <w:tc>
                <w:tcPr>
                  <w:tcW w:w="777" w:type="dxa"/>
                  <w:shd w:val="clear" w:color="auto" w:fill="auto"/>
                  <w:vAlign w:val="center"/>
                </w:tcPr>
                <w:p w14:paraId="7320FBA0">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T</w:t>
                  </w:r>
                  <w:r>
                    <w:rPr>
                      <w:rFonts w:hint="eastAsia" w:hAnsi="Times New Roman" w:cs="Times New Roman"/>
                      <w:b w:val="0"/>
                      <w:bCs w:val="0"/>
                      <w:color w:val="auto"/>
                      <w:sz w:val="21"/>
                      <w:szCs w:val="21"/>
                      <w:highlight w:val="none"/>
                      <w:u w:val="none"/>
                      <w:lang w:val="en-US" w:eastAsia="zh-CN"/>
                    </w:rPr>
                    <w:t>，</w:t>
                  </w:r>
                  <w:r>
                    <w:rPr>
                      <w:rFonts w:hint="eastAsia" w:ascii="Times New Roman" w:hAnsi="Times New Roman" w:eastAsia="宋体" w:cs="Times New Roman"/>
                      <w:b w:val="0"/>
                      <w:bCs w:val="0"/>
                      <w:color w:val="auto"/>
                      <w:sz w:val="21"/>
                      <w:szCs w:val="21"/>
                      <w:highlight w:val="none"/>
                      <w:u w:val="none"/>
                      <w:lang w:val="en-US" w:eastAsia="zh-CN"/>
                    </w:rPr>
                    <w:t>I</w:t>
                  </w:r>
                </w:p>
              </w:tc>
              <w:tc>
                <w:tcPr>
                  <w:tcW w:w="1293" w:type="dxa"/>
                  <w:vMerge w:val="continue"/>
                  <w:vAlign w:val="center"/>
                </w:tcPr>
                <w:p w14:paraId="09E32688">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rPr>
                  </w:pPr>
                </w:p>
              </w:tc>
            </w:tr>
            <w:tr w14:paraId="5279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14:paraId="6ACEACF1">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r>
                    <w:rPr>
                      <w:rFonts w:hint="default" w:ascii="Times New Roman" w:hAnsi="Times New Roman" w:cs="Times New Roman"/>
                      <w:b w:val="0"/>
                      <w:bCs w:val="0"/>
                      <w:color w:val="auto"/>
                      <w:kern w:val="2"/>
                      <w:sz w:val="21"/>
                      <w:szCs w:val="21"/>
                      <w:highlight w:val="none"/>
                      <w:u w:val="none"/>
                      <w:vertAlign w:val="baseline"/>
                      <w:lang w:val="en-US" w:eastAsia="zh-CN" w:bidi="ar-SA"/>
                    </w:rPr>
                    <w:t>废包装桶</w:t>
                  </w:r>
                </w:p>
              </w:tc>
              <w:tc>
                <w:tcPr>
                  <w:tcW w:w="1282" w:type="dxa"/>
                  <w:vAlign w:val="center"/>
                </w:tcPr>
                <w:p w14:paraId="61A06B92">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HW08</w:t>
                  </w:r>
                  <w:r>
                    <w:rPr>
                      <w:rFonts w:hint="eastAsia" w:hAnsi="Times New Roman" w:cs="Times New Roman"/>
                      <w:b w:val="0"/>
                      <w:bCs w:val="0"/>
                      <w:color w:val="auto"/>
                      <w:sz w:val="21"/>
                      <w:szCs w:val="21"/>
                      <w:highlight w:val="none"/>
                      <w:u w:val="none"/>
                      <w:lang w:val="en-US" w:eastAsia="zh-CN"/>
                    </w:rPr>
                    <w:t>/</w:t>
                  </w:r>
                  <w:r>
                    <w:rPr>
                      <w:rFonts w:hint="default" w:ascii="Times New Roman" w:hAnsi="Times New Roman" w:eastAsia="宋体" w:cs="Times New Roman"/>
                      <w:b w:val="0"/>
                      <w:bCs w:val="0"/>
                      <w:color w:val="auto"/>
                      <w:sz w:val="21"/>
                      <w:szCs w:val="21"/>
                      <w:highlight w:val="none"/>
                      <w:u w:val="none"/>
                      <w:lang w:val="en-US" w:eastAsia="zh-CN"/>
                    </w:rPr>
                    <w:t>900-249-08</w:t>
                  </w:r>
                </w:p>
              </w:tc>
              <w:tc>
                <w:tcPr>
                  <w:tcW w:w="682" w:type="dxa"/>
                  <w:vAlign w:val="center"/>
                </w:tcPr>
                <w:p w14:paraId="2C1ECA14">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hAnsi="Times New Roman"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生产过程</w:t>
                  </w:r>
                </w:p>
              </w:tc>
              <w:tc>
                <w:tcPr>
                  <w:tcW w:w="518" w:type="dxa"/>
                  <w:shd w:val="clear" w:color="auto" w:fill="auto"/>
                  <w:vAlign w:val="center"/>
                </w:tcPr>
                <w:p w14:paraId="15E6B4D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固态</w:t>
                  </w:r>
                </w:p>
              </w:tc>
              <w:tc>
                <w:tcPr>
                  <w:tcW w:w="641" w:type="dxa"/>
                  <w:shd w:val="clear" w:color="auto" w:fill="auto"/>
                  <w:vAlign w:val="center"/>
                </w:tcPr>
                <w:p w14:paraId="1A317523">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烃类</w:t>
                  </w:r>
                </w:p>
              </w:tc>
              <w:tc>
                <w:tcPr>
                  <w:tcW w:w="668" w:type="dxa"/>
                  <w:shd w:val="clear" w:color="auto" w:fill="auto"/>
                  <w:vAlign w:val="center"/>
                </w:tcPr>
                <w:p w14:paraId="09809CBC">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烃类</w:t>
                  </w:r>
                </w:p>
              </w:tc>
              <w:tc>
                <w:tcPr>
                  <w:tcW w:w="791" w:type="dxa"/>
                  <w:shd w:val="clear" w:color="auto" w:fill="auto"/>
                  <w:vAlign w:val="center"/>
                </w:tcPr>
                <w:p w14:paraId="7B3CA41A">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每天</w:t>
                  </w:r>
                </w:p>
              </w:tc>
              <w:tc>
                <w:tcPr>
                  <w:tcW w:w="777" w:type="dxa"/>
                  <w:shd w:val="clear" w:color="auto" w:fill="auto"/>
                  <w:vAlign w:val="center"/>
                </w:tcPr>
                <w:p w14:paraId="766431B5">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T，I</w:t>
                  </w:r>
                </w:p>
              </w:tc>
              <w:tc>
                <w:tcPr>
                  <w:tcW w:w="1293" w:type="dxa"/>
                  <w:vMerge w:val="continue"/>
                  <w:vAlign w:val="center"/>
                </w:tcPr>
                <w:p w14:paraId="772CDC35">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rPr>
                  </w:pPr>
                </w:p>
              </w:tc>
            </w:tr>
            <w:tr w14:paraId="3110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8" w:type="dxa"/>
                  <w:vAlign w:val="center"/>
                </w:tcPr>
                <w:p w14:paraId="4BB2EEBD">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u w:val="none"/>
                      <w:vertAlign w:val="baseline"/>
                      <w:lang w:val="en-US" w:eastAsia="zh-CN" w:bidi="ar-SA"/>
                    </w:rPr>
                    <w:t>废活性炭</w:t>
                  </w:r>
                </w:p>
              </w:tc>
              <w:tc>
                <w:tcPr>
                  <w:tcW w:w="1282" w:type="dxa"/>
                  <w:vAlign w:val="center"/>
                </w:tcPr>
                <w:p w14:paraId="6EF072DC">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HW49/900-039-49</w:t>
                  </w:r>
                </w:p>
              </w:tc>
              <w:tc>
                <w:tcPr>
                  <w:tcW w:w="682" w:type="dxa"/>
                  <w:vAlign w:val="center"/>
                </w:tcPr>
                <w:p w14:paraId="4AF9603A">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环保设施</w:t>
                  </w:r>
                </w:p>
              </w:tc>
              <w:tc>
                <w:tcPr>
                  <w:tcW w:w="518" w:type="dxa"/>
                  <w:vAlign w:val="center"/>
                </w:tcPr>
                <w:p w14:paraId="3CE1A383">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固态</w:t>
                  </w:r>
                </w:p>
              </w:tc>
              <w:tc>
                <w:tcPr>
                  <w:tcW w:w="641" w:type="dxa"/>
                  <w:shd w:val="clear" w:color="auto" w:fill="auto"/>
                  <w:vAlign w:val="center"/>
                </w:tcPr>
                <w:p w14:paraId="4B8709B9">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烃类</w:t>
                  </w:r>
                </w:p>
              </w:tc>
              <w:tc>
                <w:tcPr>
                  <w:tcW w:w="668" w:type="dxa"/>
                  <w:shd w:val="clear" w:color="auto" w:fill="auto"/>
                  <w:vAlign w:val="center"/>
                </w:tcPr>
                <w:p w14:paraId="1C008D98">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烃类</w:t>
                  </w:r>
                </w:p>
              </w:tc>
              <w:tc>
                <w:tcPr>
                  <w:tcW w:w="791" w:type="dxa"/>
                  <w:vAlign w:val="center"/>
                </w:tcPr>
                <w:p w14:paraId="35DD6AA9">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hAnsi="Times New Roman" w:cs="Times New Roman"/>
                      <w:b w:val="0"/>
                      <w:bCs w:val="0"/>
                      <w:color w:val="auto"/>
                      <w:sz w:val="21"/>
                      <w:szCs w:val="21"/>
                      <w:highlight w:val="none"/>
                      <w:u w:val="none"/>
                      <w:lang w:val="en-US" w:eastAsia="zh-CN"/>
                    </w:rPr>
                    <w:t>3月</w:t>
                  </w:r>
                </w:p>
              </w:tc>
              <w:tc>
                <w:tcPr>
                  <w:tcW w:w="777" w:type="dxa"/>
                  <w:vAlign w:val="center"/>
                </w:tcPr>
                <w:p w14:paraId="547E2474">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color w:val="auto"/>
                      <w:kern w:val="0"/>
                      <w:szCs w:val="21"/>
                      <w:highlight w:val="none"/>
                    </w:rPr>
                    <w:t>T</w:t>
                  </w:r>
                </w:p>
              </w:tc>
              <w:tc>
                <w:tcPr>
                  <w:tcW w:w="1293" w:type="dxa"/>
                  <w:vMerge w:val="continue"/>
                  <w:vAlign w:val="center"/>
                </w:tcPr>
                <w:p w14:paraId="23035A29">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rPr>
                  </w:pPr>
                </w:p>
              </w:tc>
            </w:tr>
            <w:tr w14:paraId="7AD6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098" w:type="dxa"/>
                  <w:vAlign w:val="center"/>
                </w:tcPr>
                <w:p w14:paraId="4246F8DD">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废分子筛</w:t>
                  </w:r>
                </w:p>
              </w:tc>
              <w:tc>
                <w:tcPr>
                  <w:tcW w:w="1282" w:type="dxa"/>
                  <w:vAlign w:val="center"/>
                </w:tcPr>
                <w:p w14:paraId="34CBAA99">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HW49/900-0</w:t>
                  </w:r>
                  <w:r>
                    <w:rPr>
                      <w:rFonts w:hint="eastAsia" w:ascii="Times New Roman" w:hAnsi="Times New Roman" w:eastAsia="宋体" w:cs="Times New Roman"/>
                      <w:b w:val="0"/>
                      <w:bCs w:val="0"/>
                      <w:color w:val="auto"/>
                      <w:sz w:val="21"/>
                      <w:szCs w:val="21"/>
                      <w:highlight w:val="none"/>
                      <w:u w:val="none"/>
                      <w:lang w:val="en-US" w:eastAsia="zh-CN"/>
                    </w:rPr>
                    <w:t>41</w:t>
                  </w:r>
                  <w:r>
                    <w:rPr>
                      <w:rFonts w:hint="default" w:ascii="Times New Roman" w:hAnsi="Times New Roman" w:eastAsia="宋体" w:cs="Times New Roman"/>
                      <w:b w:val="0"/>
                      <w:bCs w:val="0"/>
                      <w:color w:val="auto"/>
                      <w:sz w:val="21"/>
                      <w:szCs w:val="21"/>
                      <w:highlight w:val="none"/>
                      <w:u w:val="none"/>
                      <w:lang w:val="en-US" w:eastAsia="zh-CN"/>
                    </w:rPr>
                    <w:t>-49</w:t>
                  </w:r>
                </w:p>
              </w:tc>
              <w:tc>
                <w:tcPr>
                  <w:tcW w:w="682" w:type="dxa"/>
                  <w:shd w:val="clear" w:color="auto" w:fill="auto"/>
                  <w:vAlign w:val="center"/>
                </w:tcPr>
                <w:p w14:paraId="68D82815">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环保设施</w:t>
                  </w:r>
                </w:p>
              </w:tc>
              <w:tc>
                <w:tcPr>
                  <w:tcW w:w="518" w:type="dxa"/>
                  <w:shd w:val="clear" w:color="auto" w:fill="auto"/>
                  <w:vAlign w:val="center"/>
                </w:tcPr>
                <w:p w14:paraId="7C75A25D">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固态</w:t>
                  </w:r>
                </w:p>
              </w:tc>
              <w:tc>
                <w:tcPr>
                  <w:tcW w:w="641" w:type="dxa"/>
                  <w:shd w:val="clear" w:color="auto" w:fill="auto"/>
                  <w:vAlign w:val="center"/>
                </w:tcPr>
                <w:p w14:paraId="2957BCE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烃类</w:t>
                  </w:r>
                </w:p>
              </w:tc>
              <w:tc>
                <w:tcPr>
                  <w:tcW w:w="668" w:type="dxa"/>
                  <w:shd w:val="clear" w:color="auto" w:fill="auto"/>
                  <w:vAlign w:val="center"/>
                </w:tcPr>
                <w:p w14:paraId="3EC042A2">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烃类</w:t>
                  </w:r>
                </w:p>
              </w:tc>
              <w:tc>
                <w:tcPr>
                  <w:tcW w:w="791" w:type="dxa"/>
                  <w:shd w:val="clear" w:color="auto" w:fill="auto"/>
                  <w:vAlign w:val="center"/>
                </w:tcPr>
                <w:p w14:paraId="6928DE76">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hAnsi="Times New Roman" w:cs="Times New Roman"/>
                      <w:b w:val="0"/>
                      <w:bCs w:val="0"/>
                      <w:color w:val="auto"/>
                      <w:sz w:val="21"/>
                      <w:szCs w:val="21"/>
                      <w:highlight w:val="none"/>
                      <w:u w:val="none"/>
                      <w:lang w:val="en-US" w:eastAsia="zh-CN"/>
                    </w:rPr>
                    <w:t>3月</w:t>
                  </w:r>
                </w:p>
              </w:tc>
              <w:tc>
                <w:tcPr>
                  <w:tcW w:w="777" w:type="dxa"/>
                  <w:vAlign w:val="center"/>
                </w:tcPr>
                <w:p w14:paraId="7D5A77F9">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kern w:val="0"/>
                      <w:szCs w:val="21"/>
                      <w:highlight w:val="none"/>
                      <w:lang w:val="en-US" w:eastAsia="zh-CN"/>
                    </w:rPr>
                  </w:pPr>
                  <w:r>
                    <w:rPr>
                      <w:rFonts w:hint="eastAsia" w:hAnsi="Times New Roman" w:cs="Times New Roman"/>
                      <w:color w:val="auto"/>
                      <w:kern w:val="0"/>
                      <w:szCs w:val="21"/>
                      <w:highlight w:val="none"/>
                      <w:lang w:val="en-US" w:eastAsia="zh-CN"/>
                    </w:rPr>
                    <w:t>T/In</w:t>
                  </w:r>
                </w:p>
              </w:tc>
              <w:tc>
                <w:tcPr>
                  <w:tcW w:w="1293" w:type="dxa"/>
                  <w:vMerge w:val="continue"/>
                  <w:vAlign w:val="center"/>
                </w:tcPr>
                <w:p w14:paraId="06CAC02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rPr>
                  </w:pPr>
                </w:p>
              </w:tc>
            </w:tr>
          </w:tbl>
          <w:p w14:paraId="07C15A7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表4-</w:t>
            </w:r>
            <w:r>
              <w:rPr>
                <w:rFonts w:hint="eastAsia" w:cs="Times New Roman"/>
                <w:color w:val="auto"/>
                <w:kern w:val="2"/>
                <w:sz w:val="21"/>
                <w:szCs w:val="21"/>
                <w:highlight w:val="none"/>
                <w:lang w:val="en-US" w:eastAsia="zh-CN" w:bidi="ar-SA"/>
              </w:rPr>
              <w:t>15</w:t>
            </w:r>
            <w:r>
              <w:rPr>
                <w:rFonts w:hint="eastAsia" w:ascii="Times New Roman" w:hAnsi="Times New Roman" w:eastAsia="宋体" w:cs="Times New Roman"/>
                <w:color w:val="auto"/>
                <w:kern w:val="2"/>
                <w:sz w:val="21"/>
                <w:szCs w:val="21"/>
                <w:highlight w:val="none"/>
                <w:lang w:val="en-US" w:eastAsia="zh-CN" w:bidi="ar-SA"/>
              </w:rPr>
              <w:t xml:space="preserve">  危险废物贮存场所（设施）基本情况</w:t>
            </w:r>
          </w:p>
          <w:tbl>
            <w:tblPr>
              <w:tblStyle w:val="29"/>
              <w:tblW w:w="7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145"/>
              <w:gridCol w:w="846"/>
              <w:gridCol w:w="1336"/>
              <w:gridCol w:w="772"/>
              <w:gridCol w:w="751"/>
              <w:gridCol w:w="1078"/>
              <w:gridCol w:w="1078"/>
            </w:tblGrid>
            <w:tr w14:paraId="2A5E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44" w:type="dxa"/>
                  <w:shd w:val="clear" w:color="auto" w:fill="auto"/>
                  <w:vAlign w:val="center"/>
                </w:tcPr>
                <w:p w14:paraId="254221F3">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贮存场所</w:t>
                  </w:r>
                </w:p>
              </w:tc>
              <w:tc>
                <w:tcPr>
                  <w:tcW w:w="1145" w:type="dxa"/>
                  <w:shd w:val="clear" w:color="auto" w:fill="auto"/>
                  <w:vAlign w:val="center"/>
                </w:tcPr>
                <w:p w14:paraId="4EDACD9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名称</w:t>
                  </w:r>
                </w:p>
              </w:tc>
              <w:tc>
                <w:tcPr>
                  <w:tcW w:w="846" w:type="dxa"/>
                  <w:shd w:val="clear" w:color="auto" w:fill="auto"/>
                  <w:vAlign w:val="center"/>
                </w:tcPr>
                <w:p w14:paraId="65A7570F">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类别</w:t>
                  </w:r>
                </w:p>
              </w:tc>
              <w:tc>
                <w:tcPr>
                  <w:tcW w:w="1336" w:type="dxa"/>
                  <w:shd w:val="clear" w:color="auto" w:fill="auto"/>
                  <w:vAlign w:val="center"/>
                </w:tcPr>
                <w:p w14:paraId="6F900FC2">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代码</w:t>
                  </w:r>
                </w:p>
              </w:tc>
              <w:tc>
                <w:tcPr>
                  <w:tcW w:w="772" w:type="dxa"/>
                  <w:shd w:val="clear" w:color="auto" w:fill="auto"/>
                  <w:vAlign w:val="center"/>
                </w:tcPr>
                <w:p w14:paraId="788D22BD">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位置</w:t>
                  </w:r>
                </w:p>
              </w:tc>
              <w:tc>
                <w:tcPr>
                  <w:tcW w:w="751" w:type="dxa"/>
                  <w:shd w:val="clear" w:color="auto" w:fill="auto"/>
                  <w:vAlign w:val="center"/>
                </w:tcPr>
                <w:p w14:paraId="08DBF574">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占地</w:t>
                  </w:r>
                </w:p>
              </w:tc>
              <w:tc>
                <w:tcPr>
                  <w:tcW w:w="1078" w:type="dxa"/>
                  <w:shd w:val="clear" w:color="auto" w:fill="auto"/>
                  <w:vAlign w:val="center"/>
                </w:tcPr>
                <w:p w14:paraId="231BD83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贮存方式</w:t>
                  </w:r>
                </w:p>
              </w:tc>
              <w:tc>
                <w:tcPr>
                  <w:tcW w:w="1078" w:type="dxa"/>
                  <w:shd w:val="clear" w:color="auto" w:fill="auto"/>
                  <w:vAlign w:val="center"/>
                </w:tcPr>
                <w:p w14:paraId="399130E4">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贮存</w:t>
                  </w:r>
                  <w:r>
                    <w:rPr>
                      <w:rFonts w:hint="default" w:ascii="Times New Roman" w:hAnsi="Times New Roman" w:eastAsia="宋体" w:cs="Times New Roman"/>
                      <w:color w:val="auto"/>
                      <w:sz w:val="21"/>
                      <w:szCs w:val="21"/>
                      <w:highlight w:val="none"/>
                    </w:rPr>
                    <w:t>周期</w:t>
                  </w:r>
                </w:p>
              </w:tc>
            </w:tr>
            <w:tr w14:paraId="6006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44" w:type="dxa"/>
                  <w:vMerge w:val="restart"/>
                  <w:vAlign w:val="center"/>
                </w:tcPr>
                <w:p w14:paraId="7B1AB6E2">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危废暂存间</w:t>
                  </w:r>
                </w:p>
              </w:tc>
              <w:tc>
                <w:tcPr>
                  <w:tcW w:w="1145" w:type="dxa"/>
                  <w:vAlign w:val="center"/>
                </w:tcPr>
                <w:p w14:paraId="04DB858B">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u w:val="none"/>
                      <w:vertAlign w:val="baseline"/>
                      <w:lang w:val="en-US" w:eastAsia="zh-CN" w:bidi="ar-SA"/>
                    </w:rPr>
                    <w:t>废</w:t>
                  </w:r>
                  <w:r>
                    <w:rPr>
                      <w:rFonts w:hint="eastAsia" w:cs="Times New Roman"/>
                      <w:b w:val="0"/>
                      <w:bCs w:val="0"/>
                      <w:color w:val="auto"/>
                      <w:kern w:val="2"/>
                      <w:sz w:val="21"/>
                      <w:szCs w:val="21"/>
                      <w:highlight w:val="none"/>
                      <w:u w:val="none"/>
                      <w:vertAlign w:val="baseline"/>
                      <w:lang w:val="en-US" w:eastAsia="zh-CN" w:bidi="ar-SA"/>
                    </w:rPr>
                    <w:t>切削</w:t>
                  </w:r>
                  <w:r>
                    <w:rPr>
                      <w:rFonts w:hint="default" w:ascii="Times New Roman" w:hAnsi="Times New Roman" w:cs="Times New Roman"/>
                      <w:b w:val="0"/>
                      <w:bCs w:val="0"/>
                      <w:color w:val="auto"/>
                      <w:kern w:val="2"/>
                      <w:sz w:val="21"/>
                      <w:szCs w:val="21"/>
                      <w:highlight w:val="none"/>
                      <w:u w:val="none"/>
                      <w:vertAlign w:val="baseline"/>
                      <w:lang w:val="en-US" w:eastAsia="zh-CN" w:bidi="ar-SA"/>
                    </w:rPr>
                    <w:t>液</w:t>
                  </w:r>
                </w:p>
              </w:tc>
              <w:tc>
                <w:tcPr>
                  <w:tcW w:w="846" w:type="dxa"/>
                  <w:vAlign w:val="center"/>
                </w:tcPr>
                <w:p w14:paraId="651FE6DD">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u w:val="none"/>
                      <w:lang w:val="en-US" w:eastAsia="zh-CN"/>
                    </w:rPr>
                    <w:t>HW</w:t>
                  </w:r>
                  <w:r>
                    <w:rPr>
                      <w:rFonts w:hint="eastAsia" w:hAnsi="Times New Roman" w:cs="Times New Roman"/>
                      <w:b w:val="0"/>
                      <w:bCs w:val="0"/>
                      <w:color w:val="auto"/>
                      <w:sz w:val="21"/>
                      <w:szCs w:val="21"/>
                      <w:highlight w:val="none"/>
                      <w:u w:val="none"/>
                      <w:lang w:val="en-US" w:eastAsia="zh-CN"/>
                    </w:rPr>
                    <w:t>0</w:t>
                  </w:r>
                  <w:r>
                    <w:rPr>
                      <w:rFonts w:hint="default" w:ascii="Times New Roman" w:hAnsi="Times New Roman" w:eastAsia="宋体" w:cs="Times New Roman"/>
                      <w:b w:val="0"/>
                      <w:bCs w:val="0"/>
                      <w:color w:val="auto"/>
                      <w:sz w:val="21"/>
                      <w:szCs w:val="21"/>
                      <w:highlight w:val="none"/>
                      <w:u w:val="none"/>
                      <w:lang w:val="en-US" w:eastAsia="zh-CN"/>
                    </w:rPr>
                    <w:t>9</w:t>
                  </w:r>
                </w:p>
              </w:tc>
              <w:tc>
                <w:tcPr>
                  <w:tcW w:w="1336" w:type="dxa"/>
                  <w:vAlign w:val="center"/>
                </w:tcPr>
                <w:p w14:paraId="7568D03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u w:val="none"/>
                      <w:lang w:val="en-US" w:eastAsia="zh-CN"/>
                    </w:rPr>
                    <w:t>900-006-09</w:t>
                  </w:r>
                </w:p>
              </w:tc>
              <w:tc>
                <w:tcPr>
                  <w:tcW w:w="772" w:type="dxa"/>
                  <w:vMerge w:val="restart"/>
                  <w:vAlign w:val="center"/>
                </w:tcPr>
                <w:p w14:paraId="37F93173">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hAnsi="Times New Roman" w:cs="Times New Roman"/>
                      <w:color w:val="auto"/>
                      <w:kern w:val="2"/>
                      <w:sz w:val="21"/>
                      <w:szCs w:val="21"/>
                      <w:highlight w:val="none"/>
                      <w:lang w:val="en-US" w:eastAsia="zh-CN" w:bidi="ar-SA"/>
                    </w:rPr>
                    <w:t>生产车间内</w:t>
                  </w:r>
                </w:p>
              </w:tc>
              <w:tc>
                <w:tcPr>
                  <w:tcW w:w="751" w:type="dxa"/>
                  <w:vMerge w:val="restart"/>
                  <w:vAlign w:val="center"/>
                </w:tcPr>
                <w:p w14:paraId="78DCAA89">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hAnsi="Times New Roman" w:cs="Times New Roman"/>
                      <w:color w:val="auto"/>
                      <w:kern w:val="2"/>
                      <w:sz w:val="21"/>
                      <w:szCs w:val="21"/>
                      <w:highlight w:val="none"/>
                      <w:lang w:val="en-US" w:eastAsia="zh-CN" w:bidi="ar-SA"/>
                    </w:rPr>
                    <w:t>20</w:t>
                  </w:r>
                  <w:r>
                    <w:rPr>
                      <w:rFonts w:hint="eastAsia" w:ascii="Times New Roman" w:hAnsi="Times New Roman" w:eastAsia="宋体" w:cs="Times New Roman"/>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vertAlign w:val="superscript"/>
                      <w:lang w:val="en-US" w:eastAsia="zh-CN" w:bidi="ar-SA"/>
                    </w:rPr>
                    <w:t>2</w:t>
                  </w:r>
                </w:p>
              </w:tc>
              <w:tc>
                <w:tcPr>
                  <w:tcW w:w="1078" w:type="dxa"/>
                  <w:vAlign w:val="center"/>
                </w:tcPr>
                <w:p w14:paraId="0832667E">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b w:val="0"/>
                      <w:bCs w:val="0"/>
                      <w:color w:val="auto"/>
                      <w:kern w:val="0"/>
                      <w:sz w:val="21"/>
                      <w:szCs w:val="21"/>
                      <w:highlight w:val="none"/>
                      <w:u w:val="none"/>
                      <w:lang w:val="en-US" w:eastAsia="zh-CN"/>
                    </w:rPr>
                    <w:t>密封</w:t>
                  </w:r>
                  <w:r>
                    <w:rPr>
                      <w:rFonts w:hint="eastAsia" w:hAnsi="Times New Roman" w:cs="Times New Roman"/>
                      <w:color w:val="auto"/>
                      <w:kern w:val="2"/>
                      <w:sz w:val="21"/>
                      <w:szCs w:val="21"/>
                      <w:highlight w:val="none"/>
                      <w:lang w:val="en-US" w:eastAsia="zh-CN" w:bidi="ar-SA"/>
                    </w:rPr>
                    <w:t>桶装</w:t>
                  </w:r>
                </w:p>
              </w:tc>
              <w:tc>
                <w:tcPr>
                  <w:tcW w:w="1078" w:type="dxa"/>
                  <w:vAlign w:val="center"/>
                </w:tcPr>
                <w:p w14:paraId="65E3DFA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12</w:t>
                  </w:r>
                  <w:r>
                    <w:rPr>
                      <w:rFonts w:hint="default"/>
                      <w:color w:val="auto"/>
                      <w:highlight w:val="none"/>
                      <w:lang w:val="en-US" w:eastAsia="zh-CN"/>
                    </w:rPr>
                    <w:t>个月</w:t>
                  </w:r>
                </w:p>
              </w:tc>
            </w:tr>
            <w:tr w14:paraId="0EF6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744" w:type="dxa"/>
                  <w:vMerge w:val="continue"/>
                  <w:vAlign w:val="center"/>
                </w:tcPr>
                <w:p w14:paraId="246AB991">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color w:val="auto"/>
                      <w:highlight w:val="none"/>
                      <w:lang w:val="en-US" w:eastAsia="zh-CN"/>
                    </w:rPr>
                  </w:pPr>
                </w:p>
              </w:tc>
              <w:tc>
                <w:tcPr>
                  <w:tcW w:w="1145" w:type="dxa"/>
                  <w:vAlign w:val="center"/>
                </w:tcPr>
                <w:p w14:paraId="06A5EACE">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废防锈油</w:t>
                  </w:r>
                </w:p>
              </w:tc>
              <w:tc>
                <w:tcPr>
                  <w:tcW w:w="846" w:type="dxa"/>
                  <w:vAlign w:val="center"/>
                </w:tcPr>
                <w:p w14:paraId="4C790462">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HW</w:t>
                  </w:r>
                  <w:r>
                    <w:rPr>
                      <w:rFonts w:hint="eastAsia" w:hAnsi="Times New Roman" w:cs="Times New Roman"/>
                      <w:b w:val="0"/>
                      <w:bCs w:val="0"/>
                      <w:color w:val="auto"/>
                      <w:sz w:val="21"/>
                      <w:szCs w:val="21"/>
                      <w:highlight w:val="none"/>
                      <w:u w:val="none"/>
                      <w:lang w:val="en-US" w:eastAsia="zh-CN"/>
                    </w:rPr>
                    <w:t>0</w:t>
                  </w:r>
                  <w:r>
                    <w:rPr>
                      <w:rFonts w:hint="default" w:ascii="Times New Roman" w:hAnsi="Times New Roman" w:eastAsia="宋体" w:cs="Times New Roman"/>
                      <w:b w:val="0"/>
                      <w:bCs w:val="0"/>
                      <w:color w:val="auto"/>
                      <w:sz w:val="21"/>
                      <w:szCs w:val="21"/>
                      <w:highlight w:val="none"/>
                      <w:u w:val="none"/>
                      <w:lang w:val="en-US" w:eastAsia="zh-CN"/>
                    </w:rPr>
                    <w:t>9</w:t>
                  </w:r>
                </w:p>
              </w:tc>
              <w:tc>
                <w:tcPr>
                  <w:tcW w:w="1336" w:type="dxa"/>
                  <w:vAlign w:val="center"/>
                </w:tcPr>
                <w:p w14:paraId="68FA9D67">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900-</w:t>
                  </w:r>
                  <w:r>
                    <w:rPr>
                      <w:rFonts w:hint="eastAsia" w:ascii="Times New Roman" w:hAnsi="Times New Roman" w:eastAsia="宋体" w:cs="Times New Roman"/>
                      <w:b w:val="0"/>
                      <w:bCs w:val="0"/>
                      <w:color w:val="auto"/>
                      <w:sz w:val="21"/>
                      <w:szCs w:val="21"/>
                      <w:highlight w:val="none"/>
                      <w:u w:val="none"/>
                      <w:lang w:val="en-US" w:eastAsia="zh-CN"/>
                    </w:rPr>
                    <w:t>21</w:t>
                  </w:r>
                  <w:r>
                    <w:rPr>
                      <w:rFonts w:hint="default" w:ascii="Times New Roman" w:hAnsi="Times New Roman" w:eastAsia="宋体" w:cs="Times New Roman"/>
                      <w:b w:val="0"/>
                      <w:bCs w:val="0"/>
                      <w:color w:val="auto"/>
                      <w:sz w:val="21"/>
                      <w:szCs w:val="21"/>
                      <w:highlight w:val="none"/>
                      <w:u w:val="none"/>
                      <w:lang w:val="en-US" w:eastAsia="zh-CN"/>
                    </w:rPr>
                    <w:t>6-0</w:t>
                  </w:r>
                  <w:r>
                    <w:rPr>
                      <w:rFonts w:hint="eastAsia" w:ascii="Times New Roman" w:hAnsi="Times New Roman" w:eastAsia="宋体" w:cs="Times New Roman"/>
                      <w:b w:val="0"/>
                      <w:bCs w:val="0"/>
                      <w:color w:val="auto"/>
                      <w:sz w:val="21"/>
                      <w:szCs w:val="21"/>
                      <w:highlight w:val="none"/>
                      <w:u w:val="none"/>
                      <w:lang w:val="en-US" w:eastAsia="zh-CN"/>
                    </w:rPr>
                    <w:t>8</w:t>
                  </w:r>
                </w:p>
              </w:tc>
              <w:tc>
                <w:tcPr>
                  <w:tcW w:w="772" w:type="dxa"/>
                  <w:vMerge w:val="continue"/>
                  <w:vAlign w:val="center"/>
                </w:tcPr>
                <w:p w14:paraId="6E1E3265">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hAnsi="Times New Roman" w:cs="Times New Roman"/>
                      <w:color w:val="auto"/>
                      <w:kern w:val="2"/>
                      <w:sz w:val="21"/>
                      <w:szCs w:val="21"/>
                      <w:highlight w:val="none"/>
                      <w:lang w:val="en-US" w:eastAsia="zh-CN" w:bidi="ar-SA"/>
                    </w:rPr>
                  </w:pPr>
                </w:p>
              </w:tc>
              <w:tc>
                <w:tcPr>
                  <w:tcW w:w="751" w:type="dxa"/>
                  <w:vMerge w:val="continue"/>
                  <w:vAlign w:val="center"/>
                </w:tcPr>
                <w:p w14:paraId="7D49D6F4">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hAnsi="Times New Roman" w:cs="Times New Roman"/>
                      <w:color w:val="auto"/>
                      <w:kern w:val="2"/>
                      <w:sz w:val="21"/>
                      <w:szCs w:val="21"/>
                      <w:highlight w:val="none"/>
                      <w:lang w:val="en-US" w:eastAsia="zh-CN" w:bidi="ar-SA"/>
                    </w:rPr>
                  </w:pPr>
                </w:p>
              </w:tc>
              <w:tc>
                <w:tcPr>
                  <w:tcW w:w="1078" w:type="dxa"/>
                  <w:shd w:val="clear" w:color="auto" w:fill="auto"/>
                  <w:vAlign w:val="center"/>
                </w:tcPr>
                <w:p w14:paraId="0410D8F4">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b w:val="0"/>
                      <w:bCs w:val="0"/>
                      <w:color w:val="auto"/>
                      <w:kern w:val="0"/>
                      <w:sz w:val="21"/>
                      <w:szCs w:val="21"/>
                      <w:highlight w:val="none"/>
                      <w:u w:val="none"/>
                      <w:lang w:val="en-US" w:eastAsia="zh-CN"/>
                    </w:rPr>
                    <w:t>密封</w:t>
                  </w:r>
                  <w:r>
                    <w:rPr>
                      <w:rFonts w:hint="eastAsia" w:hAnsi="Times New Roman" w:cs="Times New Roman"/>
                      <w:color w:val="auto"/>
                      <w:kern w:val="2"/>
                      <w:sz w:val="21"/>
                      <w:szCs w:val="21"/>
                      <w:highlight w:val="none"/>
                      <w:lang w:val="en-US" w:eastAsia="zh-CN" w:bidi="ar-SA"/>
                    </w:rPr>
                    <w:t>桶装</w:t>
                  </w:r>
                </w:p>
              </w:tc>
              <w:tc>
                <w:tcPr>
                  <w:tcW w:w="1078" w:type="dxa"/>
                  <w:shd w:val="clear" w:color="auto" w:fill="auto"/>
                  <w:vAlign w:val="center"/>
                </w:tcPr>
                <w:p w14:paraId="0A2B35C6">
                  <w:pPr>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12</w:t>
                  </w:r>
                  <w:r>
                    <w:rPr>
                      <w:rFonts w:hint="default"/>
                      <w:color w:val="auto"/>
                      <w:highlight w:val="none"/>
                      <w:lang w:val="en-US" w:eastAsia="zh-CN"/>
                    </w:rPr>
                    <w:t>个月</w:t>
                  </w:r>
                </w:p>
              </w:tc>
            </w:tr>
            <w:tr w14:paraId="63F8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744" w:type="dxa"/>
                  <w:vMerge w:val="continue"/>
                  <w:vAlign w:val="center"/>
                </w:tcPr>
                <w:p w14:paraId="50EDF4DA">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color w:val="auto"/>
                      <w:highlight w:val="none"/>
                      <w:lang w:val="en-US" w:eastAsia="zh-CN"/>
                    </w:rPr>
                  </w:pPr>
                </w:p>
              </w:tc>
              <w:tc>
                <w:tcPr>
                  <w:tcW w:w="1145" w:type="dxa"/>
                  <w:vAlign w:val="center"/>
                </w:tcPr>
                <w:p w14:paraId="75E76FB8">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u w:val="none"/>
                      <w:vertAlign w:val="baseline"/>
                      <w:lang w:val="en-US" w:eastAsia="zh-CN" w:bidi="ar-SA"/>
                    </w:rPr>
                    <w:t>废机油</w:t>
                  </w:r>
                </w:p>
              </w:tc>
              <w:tc>
                <w:tcPr>
                  <w:tcW w:w="846" w:type="dxa"/>
                  <w:vAlign w:val="center"/>
                </w:tcPr>
                <w:p w14:paraId="524D8ECF">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HW08</w:t>
                  </w:r>
                </w:p>
              </w:tc>
              <w:tc>
                <w:tcPr>
                  <w:tcW w:w="1336" w:type="dxa"/>
                  <w:vAlign w:val="center"/>
                </w:tcPr>
                <w:p w14:paraId="636A8086">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900-214-08</w:t>
                  </w:r>
                </w:p>
              </w:tc>
              <w:tc>
                <w:tcPr>
                  <w:tcW w:w="772" w:type="dxa"/>
                  <w:vMerge w:val="continue"/>
                  <w:vAlign w:val="center"/>
                </w:tcPr>
                <w:p w14:paraId="67586983">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51" w:type="dxa"/>
                  <w:vMerge w:val="continue"/>
                  <w:vAlign w:val="center"/>
                </w:tcPr>
                <w:p w14:paraId="6DD0E978">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078" w:type="dxa"/>
                  <w:vAlign w:val="center"/>
                </w:tcPr>
                <w:p w14:paraId="36B8E29D">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b w:val="0"/>
                      <w:bCs w:val="0"/>
                      <w:color w:val="auto"/>
                      <w:kern w:val="0"/>
                      <w:sz w:val="21"/>
                      <w:szCs w:val="21"/>
                      <w:highlight w:val="none"/>
                      <w:u w:val="none"/>
                      <w:lang w:val="en-US" w:eastAsia="zh-CN"/>
                    </w:rPr>
                    <w:t>密封</w:t>
                  </w:r>
                  <w:r>
                    <w:rPr>
                      <w:rFonts w:hint="eastAsia" w:hAnsi="Times New Roman" w:cs="Times New Roman"/>
                      <w:color w:val="auto"/>
                      <w:kern w:val="2"/>
                      <w:sz w:val="21"/>
                      <w:szCs w:val="21"/>
                      <w:highlight w:val="none"/>
                      <w:lang w:val="en-US" w:eastAsia="zh-CN" w:bidi="ar-SA"/>
                    </w:rPr>
                    <w:t>桶装</w:t>
                  </w:r>
                </w:p>
              </w:tc>
              <w:tc>
                <w:tcPr>
                  <w:tcW w:w="1078" w:type="dxa"/>
                  <w:vAlign w:val="center"/>
                </w:tcPr>
                <w:p w14:paraId="74447D0F">
                  <w:pPr>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color w:val="auto"/>
                      <w:highlight w:val="none"/>
                      <w:lang w:val="en-US" w:eastAsia="zh-CN"/>
                    </w:rPr>
                  </w:pPr>
                  <w:r>
                    <w:rPr>
                      <w:rFonts w:hint="eastAsia"/>
                      <w:color w:val="auto"/>
                      <w:highlight w:val="none"/>
                      <w:lang w:val="en-US" w:eastAsia="zh-CN"/>
                    </w:rPr>
                    <w:t>12</w:t>
                  </w:r>
                  <w:r>
                    <w:rPr>
                      <w:rFonts w:hint="default"/>
                      <w:color w:val="auto"/>
                      <w:highlight w:val="none"/>
                      <w:lang w:val="en-US" w:eastAsia="zh-CN"/>
                    </w:rPr>
                    <w:t>个月</w:t>
                  </w:r>
                </w:p>
              </w:tc>
            </w:tr>
            <w:tr w14:paraId="70EB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44" w:type="dxa"/>
                  <w:vMerge w:val="continue"/>
                  <w:vAlign w:val="center"/>
                </w:tcPr>
                <w:p w14:paraId="3EEB6743">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color w:val="auto"/>
                      <w:highlight w:val="none"/>
                      <w:lang w:val="en-US" w:eastAsia="zh-CN"/>
                    </w:rPr>
                  </w:pPr>
                </w:p>
              </w:tc>
              <w:tc>
                <w:tcPr>
                  <w:tcW w:w="1145" w:type="dxa"/>
                  <w:shd w:val="clear" w:color="auto" w:fill="auto"/>
                  <w:vAlign w:val="center"/>
                </w:tcPr>
                <w:p w14:paraId="147B5ED4">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default" w:ascii="Times New Roman" w:hAnsi="Times New Roman" w:cs="Times New Roman"/>
                      <w:b w:val="0"/>
                      <w:bCs w:val="0"/>
                      <w:color w:val="auto"/>
                      <w:kern w:val="2"/>
                      <w:sz w:val="21"/>
                      <w:szCs w:val="21"/>
                      <w:highlight w:val="none"/>
                      <w:u w:val="none"/>
                      <w:vertAlign w:val="baseline"/>
                      <w:lang w:val="en-US" w:eastAsia="zh-CN" w:bidi="ar-SA"/>
                    </w:rPr>
                    <w:t>废包装桶</w:t>
                  </w:r>
                </w:p>
              </w:tc>
              <w:tc>
                <w:tcPr>
                  <w:tcW w:w="846" w:type="dxa"/>
                  <w:shd w:val="clear" w:color="auto" w:fill="auto"/>
                  <w:vAlign w:val="center"/>
                </w:tcPr>
                <w:p w14:paraId="0822EB8A">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lang w:val="en-US" w:eastAsia="zh-CN"/>
                    </w:rPr>
                    <w:t>HW08</w:t>
                  </w:r>
                </w:p>
              </w:tc>
              <w:tc>
                <w:tcPr>
                  <w:tcW w:w="1336" w:type="dxa"/>
                  <w:vAlign w:val="center"/>
                </w:tcPr>
                <w:p w14:paraId="352A59AD">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900-249-08</w:t>
                  </w:r>
                </w:p>
              </w:tc>
              <w:tc>
                <w:tcPr>
                  <w:tcW w:w="772" w:type="dxa"/>
                  <w:vMerge w:val="continue"/>
                  <w:vAlign w:val="center"/>
                </w:tcPr>
                <w:p w14:paraId="6F0B8263">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51" w:type="dxa"/>
                  <w:vMerge w:val="continue"/>
                  <w:vAlign w:val="center"/>
                </w:tcPr>
                <w:p w14:paraId="4222C265">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078" w:type="dxa"/>
                  <w:shd w:val="clear" w:color="auto" w:fill="auto"/>
                  <w:vAlign w:val="center"/>
                </w:tcPr>
                <w:p w14:paraId="33B35A03">
                  <w:pPr>
                    <w:keepNext w:val="0"/>
                    <w:keepLines w:val="0"/>
                    <w:pageBreakBefore w:val="0"/>
                    <w:widowControl w:val="0"/>
                    <w:kinsoku/>
                    <w:wordWrap/>
                    <w:overflowPunct/>
                    <w:topLinePunct/>
                    <w:autoSpaceDE/>
                    <w:autoSpaceDN/>
                    <w:bidi w:val="0"/>
                    <w:adjustRightInd/>
                    <w:snapToGrid/>
                    <w:spacing w:line="240" w:lineRule="auto"/>
                    <w:ind w:left="0" w:leftChars="0" w:right="0" w:rightChars="0"/>
                    <w:jc w:val="center"/>
                    <w:textAlignment w:val="auto"/>
                    <w:outlineLvl w:val="9"/>
                    <w:rPr>
                      <w:rFonts w:hint="eastAsia" w:ascii="Times New Roman" w:hAnsi="Times New Roman" w:eastAsia="宋体" w:cs="Times New Roman"/>
                      <w:b w:val="0"/>
                      <w:bCs w:val="0"/>
                      <w:color w:val="auto"/>
                      <w:kern w:val="0"/>
                      <w:sz w:val="21"/>
                      <w:szCs w:val="21"/>
                      <w:highlight w:val="none"/>
                      <w:u w:val="none"/>
                      <w:lang w:val="en-US" w:eastAsia="zh-CN" w:bidi="ar-SA"/>
                    </w:rPr>
                  </w:pPr>
                  <w:r>
                    <w:rPr>
                      <w:rFonts w:hint="eastAsia" w:ascii="Times New Roman" w:hAnsi="Times New Roman" w:eastAsia="宋体"/>
                      <w:b w:val="0"/>
                      <w:bCs w:val="0"/>
                      <w:color w:val="auto"/>
                      <w:kern w:val="0"/>
                      <w:sz w:val="21"/>
                      <w:szCs w:val="21"/>
                      <w:highlight w:val="none"/>
                      <w:u w:val="none"/>
                      <w:lang w:val="en-US" w:eastAsia="zh-CN"/>
                    </w:rPr>
                    <w:t>密封堆存</w:t>
                  </w:r>
                </w:p>
              </w:tc>
              <w:tc>
                <w:tcPr>
                  <w:tcW w:w="1078" w:type="dxa"/>
                  <w:shd w:val="clear" w:color="auto" w:fill="auto"/>
                  <w:vAlign w:val="center"/>
                </w:tcPr>
                <w:p w14:paraId="51052DC8">
                  <w:pPr>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auto"/>
                      <w:kern w:val="0"/>
                      <w:sz w:val="21"/>
                      <w:szCs w:val="21"/>
                      <w:highlight w:val="none"/>
                      <w:u w:val="none"/>
                      <w:lang w:val="en-US" w:eastAsia="zh-CN" w:bidi="ar-SA"/>
                    </w:rPr>
                  </w:pPr>
                  <w:r>
                    <w:rPr>
                      <w:rFonts w:hint="eastAsia"/>
                      <w:color w:val="auto"/>
                      <w:highlight w:val="none"/>
                      <w:lang w:val="en-US" w:eastAsia="zh-CN"/>
                    </w:rPr>
                    <w:t>12</w:t>
                  </w:r>
                  <w:r>
                    <w:rPr>
                      <w:rFonts w:hint="default"/>
                      <w:color w:val="auto"/>
                      <w:highlight w:val="none"/>
                      <w:lang w:val="en-US" w:eastAsia="zh-CN"/>
                    </w:rPr>
                    <w:t>个月</w:t>
                  </w:r>
                </w:p>
              </w:tc>
            </w:tr>
            <w:tr w14:paraId="1A5E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744" w:type="dxa"/>
                  <w:vMerge w:val="continue"/>
                  <w:vAlign w:val="center"/>
                </w:tcPr>
                <w:p w14:paraId="79B9F01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color w:val="auto"/>
                      <w:highlight w:val="none"/>
                      <w:lang w:val="en-US" w:eastAsia="zh-CN"/>
                    </w:rPr>
                  </w:pPr>
                </w:p>
              </w:tc>
              <w:tc>
                <w:tcPr>
                  <w:tcW w:w="1145" w:type="dxa"/>
                  <w:vAlign w:val="center"/>
                </w:tcPr>
                <w:p w14:paraId="5B98FC41">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u w:val="none"/>
                      <w:vertAlign w:val="baseline"/>
                      <w:lang w:val="en-US" w:eastAsia="zh-CN" w:bidi="ar-SA"/>
                    </w:rPr>
                    <w:t>废活性炭</w:t>
                  </w:r>
                </w:p>
              </w:tc>
              <w:tc>
                <w:tcPr>
                  <w:tcW w:w="846" w:type="dxa"/>
                  <w:vAlign w:val="center"/>
                </w:tcPr>
                <w:p w14:paraId="2B4008F8">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HW49</w:t>
                  </w:r>
                </w:p>
              </w:tc>
              <w:tc>
                <w:tcPr>
                  <w:tcW w:w="1336" w:type="dxa"/>
                  <w:vAlign w:val="center"/>
                </w:tcPr>
                <w:p w14:paraId="054F5684">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900-039-49</w:t>
                  </w:r>
                </w:p>
              </w:tc>
              <w:tc>
                <w:tcPr>
                  <w:tcW w:w="772" w:type="dxa"/>
                  <w:vMerge w:val="continue"/>
                  <w:vAlign w:val="center"/>
                </w:tcPr>
                <w:p w14:paraId="248A7B23">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51" w:type="dxa"/>
                  <w:vMerge w:val="continue"/>
                  <w:vAlign w:val="center"/>
                </w:tcPr>
                <w:p w14:paraId="74D220B9">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078" w:type="dxa"/>
                  <w:vAlign w:val="center"/>
                </w:tcPr>
                <w:p w14:paraId="6521D844">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b w:val="0"/>
                      <w:bCs w:val="0"/>
                      <w:color w:val="auto"/>
                      <w:kern w:val="0"/>
                      <w:sz w:val="21"/>
                      <w:szCs w:val="21"/>
                      <w:highlight w:val="none"/>
                      <w:u w:val="none"/>
                      <w:lang w:val="en-US" w:eastAsia="zh-CN"/>
                    </w:rPr>
                    <w:t>密封袋</w:t>
                  </w:r>
                  <w:r>
                    <w:rPr>
                      <w:rFonts w:hint="eastAsia" w:ascii="Times New Roman" w:hAnsi="Times New Roman" w:eastAsia="宋体"/>
                      <w:b w:val="0"/>
                      <w:bCs w:val="0"/>
                      <w:color w:val="auto"/>
                      <w:kern w:val="0"/>
                      <w:sz w:val="21"/>
                      <w:szCs w:val="21"/>
                      <w:highlight w:val="none"/>
                      <w:u w:val="none"/>
                      <w:lang w:eastAsia="zh-CN"/>
                    </w:rPr>
                    <w:t>装</w:t>
                  </w:r>
                </w:p>
              </w:tc>
              <w:tc>
                <w:tcPr>
                  <w:tcW w:w="1078" w:type="dxa"/>
                  <w:vAlign w:val="center"/>
                </w:tcPr>
                <w:p w14:paraId="0323B49B">
                  <w:pPr>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color w:val="auto"/>
                      <w:highlight w:val="none"/>
                      <w:lang w:val="en-US" w:eastAsia="zh-CN"/>
                    </w:rPr>
                  </w:pPr>
                  <w:r>
                    <w:rPr>
                      <w:rFonts w:hint="eastAsia"/>
                      <w:color w:val="auto"/>
                      <w:highlight w:val="none"/>
                      <w:lang w:val="en-US" w:eastAsia="zh-CN"/>
                    </w:rPr>
                    <w:t>12</w:t>
                  </w:r>
                  <w:r>
                    <w:rPr>
                      <w:rFonts w:hint="default"/>
                      <w:color w:val="auto"/>
                      <w:highlight w:val="none"/>
                      <w:lang w:val="en-US" w:eastAsia="zh-CN"/>
                    </w:rPr>
                    <w:t>个月</w:t>
                  </w:r>
                </w:p>
              </w:tc>
            </w:tr>
            <w:tr w14:paraId="15C7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744" w:type="dxa"/>
                  <w:vMerge w:val="continue"/>
                  <w:vAlign w:val="center"/>
                </w:tcPr>
                <w:p w14:paraId="693BBA28">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color w:val="auto"/>
                      <w:highlight w:val="none"/>
                      <w:lang w:val="en-US" w:eastAsia="zh-CN"/>
                    </w:rPr>
                  </w:pPr>
                </w:p>
              </w:tc>
              <w:tc>
                <w:tcPr>
                  <w:tcW w:w="1145" w:type="dxa"/>
                  <w:vAlign w:val="center"/>
                </w:tcPr>
                <w:p w14:paraId="0B9375BC">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废分子筛</w:t>
                  </w:r>
                </w:p>
              </w:tc>
              <w:tc>
                <w:tcPr>
                  <w:tcW w:w="846" w:type="dxa"/>
                  <w:shd w:val="clear" w:color="auto" w:fill="auto"/>
                  <w:vAlign w:val="center"/>
                </w:tcPr>
                <w:p w14:paraId="136CEBB9">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lang w:val="en-US" w:eastAsia="zh-CN"/>
                    </w:rPr>
                    <w:t>HW49</w:t>
                  </w:r>
                </w:p>
              </w:tc>
              <w:tc>
                <w:tcPr>
                  <w:tcW w:w="1336" w:type="dxa"/>
                  <w:shd w:val="clear" w:color="auto" w:fill="auto"/>
                  <w:vAlign w:val="center"/>
                </w:tcPr>
                <w:p w14:paraId="40EB3452">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lang w:val="en-US" w:eastAsia="zh-CN"/>
                    </w:rPr>
                    <w:t>900-0</w:t>
                  </w:r>
                  <w:r>
                    <w:rPr>
                      <w:rFonts w:hint="eastAsia" w:hAnsi="Times New Roman" w:cs="Times New Roman"/>
                      <w:b w:val="0"/>
                      <w:bCs w:val="0"/>
                      <w:color w:val="auto"/>
                      <w:sz w:val="21"/>
                      <w:szCs w:val="21"/>
                      <w:highlight w:val="none"/>
                      <w:u w:val="none"/>
                      <w:lang w:val="en-US" w:eastAsia="zh-CN"/>
                    </w:rPr>
                    <w:t>41</w:t>
                  </w:r>
                  <w:r>
                    <w:rPr>
                      <w:rFonts w:hint="default" w:ascii="Times New Roman" w:hAnsi="Times New Roman" w:eastAsia="宋体" w:cs="Times New Roman"/>
                      <w:b w:val="0"/>
                      <w:bCs w:val="0"/>
                      <w:color w:val="auto"/>
                      <w:sz w:val="21"/>
                      <w:szCs w:val="21"/>
                      <w:highlight w:val="none"/>
                      <w:u w:val="none"/>
                      <w:lang w:val="en-US" w:eastAsia="zh-CN"/>
                    </w:rPr>
                    <w:t>-49</w:t>
                  </w:r>
                </w:p>
              </w:tc>
              <w:tc>
                <w:tcPr>
                  <w:tcW w:w="772" w:type="dxa"/>
                  <w:vMerge w:val="continue"/>
                  <w:vAlign w:val="center"/>
                </w:tcPr>
                <w:p w14:paraId="1801B682">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51" w:type="dxa"/>
                  <w:vMerge w:val="continue"/>
                  <w:vAlign w:val="center"/>
                </w:tcPr>
                <w:p w14:paraId="0D3CD5BD">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078" w:type="dxa"/>
                  <w:shd w:val="clear" w:color="auto" w:fill="auto"/>
                  <w:vAlign w:val="center"/>
                </w:tcPr>
                <w:p w14:paraId="785617E4">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b w:val="0"/>
                      <w:bCs w:val="0"/>
                      <w:color w:val="auto"/>
                      <w:kern w:val="0"/>
                      <w:sz w:val="21"/>
                      <w:szCs w:val="21"/>
                      <w:highlight w:val="none"/>
                      <w:u w:val="none"/>
                      <w:lang w:val="en-US" w:eastAsia="zh-CN"/>
                    </w:rPr>
                    <w:t>密封袋</w:t>
                  </w:r>
                  <w:r>
                    <w:rPr>
                      <w:rFonts w:hint="eastAsia" w:ascii="Times New Roman" w:hAnsi="Times New Roman" w:eastAsia="宋体"/>
                      <w:b w:val="0"/>
                      <w:bCs w:val="0"/>
                      <w:color w:val="auto"/>
                      <w:kern w:val="0"/>
                      <w:sz w:val="21"/>
                      <w:szCs w:val="21"/>
                      <w:highlight w:val="none"/>
                      <w:u w:val="none"/>
                      <w:lang w:eastAsia="zh-CN"/>
                    </w:rPr>
                    <w:t>装</w:t>
                  </w:r>
                </w:p>
              </w:tc>
              <w:tc>
                <w:tcPr>
                  <w:tcW w:w="1078" w:type="dxa"/>
                  <w:shd w:val="clear" w:color="auto" w:fill="auto"/>
                  <w:vAlign w:val="center"/>
                </w:tcPr>
                <w:p w14:paraId="561AC87F">
                  <w:pPr>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color w:val="auto"/>
                      <w:highlight w:val="none"/>
                      <w:lang w:val="en-US" w:eastAsia="zh-CN"/>
                    </w:rPr>
                    <w:t>12</w:t>
                  </w:r>
                  <w:r>
                    <w:rPr>
                      <w:rFonts w:hint="default"/>
                      <w:color w:val="auto"/>
                      <w:highlight w:val="none"/>
                      <w:lang w:val="en-US" w:eastAsia="zh-CN"/>
                    </w:rPr>
                    <w:t>个月</w:t>
                  </w:r>
                </w:p>
              </w:tc>
            </w:tr>
          </w:tbl>
          <w:p w14:paraId="32E4D50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textAlignment w:val="baseline"/>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4.3 固体废物环境管理要求</w:t>
            </w:r>
          </w:p>
          <w:p w14:paraId="10EABDB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firstLine="482" w:firstLineChars="200"/>
              <w:textAlignment w:val="baseline"/>
              <w:rPr>
                <w:rFonts w:hint="default" w:ascii="Times New Roman" w:hAnsi="Times New Roman" w:cs="Times New Roman"/>
                <w:b/>
                <w:bCs/>
                <w:color w:val="auto"/>
                <w:sz w:val="24"/>
                <w:szCs w:val="22"/>
                <w:highlight w:val="none"/>
                <w:lang w:val="en-US" w:eastAsia="zh-CN"/>
              </w:rPr>
            </w:pPr>
            <w:r>
              <w:rPr>
                <w:rFonts w:hint="default" w:ascii="Times New Roman" w:hAnsi="Times New Roman" w:cs="Times New Roman"/>
                <w:b/>
                <w:bCs/>
                <w:color w:val="auto"/>
                <w:sz w:val="24"/>
                <w:szCs w:val="22"/>
                <w:highlight w:val="none"/>
                <w:lang w:val="en-US" w:eastAsia="zh-CN"/>
              </w:rPr>
              <w:t>4.3.1 一般固废管理要求</w:t>
            </w:r>
          </w:p>
          <w:p w14:paraId="41A57F1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firstLine="480" w:firstLineChars="200"/>
              <w:textAlignment w:val="baseline"/>
              <w:rPr>
                <w:rFonts w:hint="default" w:ascii="Times New Roman" w:hAnsi="Times New Roman" w:eastAsia="宋体" w:cs="Times New Roman"/>
                <w:b w:val="0"/>
                <w:bCs w:val="0"/>
                <w:color w:val="auto"/>
                <w:sz w:val="24"/>
                <w:szCs w:val="22"/>
                <w:highlight w:val="none"/>
                <w:u w:val="none"/>
                <w:lang w:val="en-US" w:eastAsia="zh-CN"/>
              </w:rPr>
            </w:pPr>
            <w:r>
              <w:rPr>
                <w:rFonts w:hint="default" w:ascii="Times New Roman" w:hAnsi="Times New Roman" w:eastAsia="宋体" w:cs="Times New Roman"/>
                <w:color w:val="auto"/>
                <w:sz w:val="24"/>
                <w:szCs w:val="22"/>
                <w:highlight w:val="none"/>
                <w:lang w:val="en-US" w:eastAsia="zh-CN"/>
              </w:rPr>
              <w:t>本项目</w:t>
            </w:r>
            <w:r>
              <w:rPr>
                <w:rFonts w:hint="default" w:ascii="Times New Roman" w:hAnsi="Times New Roman" w:cs="Times New Roman"/>
                <w:color w:val="auto"/>
                <w:sz w:val="24"/>
                <w:szCs w:val="22"/>
                <w:highlight w:val="none"/>
                <w:lang w:val="en-US" w:eastAsia="zh-CN"/>
              </w:rPr>
              <w:t>建设</w:t>
            </w:r>
            <w:r>
              <w:rPr>
                <w:rFonts w:hint="default" w:ascii="Times New Roman" w:hAnsi="Times New Roman" w:eastAsia="宋体" w:cs="Times New Roman"/>
                <w:b w:val="0"/>
                <w:bCs w:val="0"/>
                <w:color w:val="auto"/>
                <w:sz w:val="24"/>
                <w:szCs w:val="22"/>
                <w:highlight w:val="none"/>
                <w:u w:val="none"/>
                <w:lang w:val="en-US" w:eastAsia="zh-CN"/>
              </w:rPr>
              <w:t>1座一般固废暂存</w:t>
            </w:r>
            <w:r>
              <w:rPr>
                <w:rFonts w:hint="eastAsia" w:cs="Times New Roman"/>
                <w:b w:val="0"/>
                <w:bCs w:val="0"/>
                <w:color w:val="auto"/>
                <w:sz w:val="24"/>
                <w:szCs w:val="22"/>
                <w:highlight w:val="none"/>
                <w:u w:val="none"/>
                <w:lang w:val="en-US" w:eastAsia="zh-CN"/>
              </w:rPr>
              <w:t>间</w:t>
            </w:r>
            <w:r>
              <w:rPr>
                <w:rFonts w:hint="default" w:ascii="Times New Roman" w:hAnsi="Times New Roman" w:eastAsia="宋体" w:cs="Times New Roman"/>
                <w:b w:val="0"/>
                <w:bCs w:val="0"/>
                <w:color w:val="auto"/>
                <w:sz w:val="24"/>
                <w:szCs w:val="22"/>
                <w:highlight w:val="none"/>
                <w:u w:val="none"/>
                <w:lang w:val="en-US" w:eastAsia="zh-CN"/>
              </w:rPr>
              <w:t>，建筑面积</w:t>
            </w:r>
            <w:r>
              <w:rPr>
                <w:rFonts w:hint="eastAsia" w:cs="Times New Roman"/>
                <w:b w:val="0"/>
                <w:bCs w:val="0"/>
                <w:color w:val="auto"/>
                <w:sz w:val="24"/>
                <w:szCs w:val="22"/>
                <w:highlight w:val="none"/>
                <w:u w:val="none"/>
                <w:lang w:val="en-US" w:eastAsia="zh-CN"/>
              </w:rPr>
              <w:t>5</w:t>
            </w:r>
            <w:r>
              <w:rPr>
                <w:rFonts w:hint="default" w:ascii="Times New Roman" w:hAnsi="Times New Roman" w:cs="Times New Roman"/>
                <w:b w:val="0"/>
                <w:bCs w:val="0"/>
                <w:color w:val="auto"/>
                <w:sz w:val="24"/>
                <w:szCs w:val="22"/>
                <w:highlight w:val="none"/>
                <w:u w:val="none"/>
                <w:lang w:val="en-US" w:eastAsia="zh-CN"/>
              </w:rPr>
              <w:t>0</w:t>
            </w:r>
            <w:r>
              <w:rPr>
                <w:rFonts w:hint="default" w:ascii="Times New Roman" w:hAnsi="Times New Roman" w:eastAsia="宋体" w:cs="Times New Roman"/>
                <w:b w:val="0"/>
                <w:bCs w:val="0"/>
                <w:color w:val="auto"/>
                <w:sz w:val="24"/>
                <w:szCs w:val="22"/>
                <w:highlight w:val="none"/>
                <w:u w:val="none"/>
                <w:lang w:val="en-US" w:eastAsia="zh-CN"/>
              </w:rPr>
              <w:t>m</w:t>
            </w:r>
            <w:r>
              <w:rPr>
                <w:rFonts w:hint="default" w:ascii="Times New Roman" w:hAnsi="Times New Roman" w:eastAsia="宋体" w:cs="Times New Roman"/>
                <w:b w:val="0"/>
                <w:bCs w:val="0"/>
                <w:color w:val="auto"/>
                <w:sz w:val="24"/>
                <w:szCs w:val="22"/>
                <w:highlight w:val="none"/>
                <w:u w:val="none"/>
                <w:vertAlign w:val="superscript"/>
                <w:lang w:val="en-US" w:eastAsia="zh-CN"/>
              </w:rPr>
              <w:t>2</w:t>
            </w:r>
            <w:r>
              <w:rPr>
                <w:rFonts w:hint="default" w:ascii="Times New Roman" w:hAnsi="Times New Roman" w:eastAsia="宋体" w:cs="Times New Roman"/>
                <w:b w:val="0"/>
                <w:bCs w:val="0"/>
                <w:color w:val="auto"/>
                <w:sz w:val="24"/>
                <w:szCs w:val="22"/>
                <w:highlight w:val="none"/>
                <w:u w:val="none"/>
                <w:lang w:val="en-US" w:eastAsia="zh-CN"/>
              </w:rPr>
              <w:t>。本次评价要求一般固废暂存</w:t>
            </w:r>
            <w:r>
              <w:rPr>
                <w:rFonts w:hint="eastAsia" w:cs="Times New Roman"/>
                <w:b w:val="0"/>
                <w:bCs w:val="0"/>
                <w:color w:val="auto"/>
                <w:sz w:val="24"/>
                <w:szCs w:val="22"/>
                <w:highlight w:val="none"/>
                <w:u w:val="none"/>
                <w:lang w:val="en-US" w:eastAsia="zh-CN"/>
              </w:rPr>
              <w:t>间</w:t>
            </w:r>
            <w:r>
              <w:rPr>
                <w:rFonts w:hint="default" w:ascii="Times New Roman" w:hAnsi="Times New Roman" w:eastAsia="宋体" w:cs="Times New Roman"/>
                <w:b w:val="0"/>
                <w:bCs w:val="0"/>
                <w:color w:val="auto"/>
                <w:sz w:val="24"/>
                <w:szCs w:val="22"/>
                <w:highlight w:val="none"/>
                <w:u w:val="none"/>
                <w:lang w:val="en-US" w:eastAsia="zh-CN"/>
              </w:rPr>
              <w:t>的设置严格按照《一般工业固体废物贮存和填埋污染控制标准》（GB18599-2020）中标准要求进行设置。</w:t>
            </w:r>
          </w:p>
          <w:p w14:paraId="742B49B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firstLine="480" w:firstLineChars="200"/>
              <w:textAlignment w:val="baseline"/>
              <w:rPr>
                <w:rFonts w:hint="default" w:ascii="Times New Roman" w:hAnsi="Times New Roman"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u w:val="none"/>
                <w:lang w:val="en-US" w:eastAsia="zh-CN"/>
              </w:rPr>
              <w:t>一般固废管理要求如下：</w:t>
            </w:r>
          </w:p>
          <w:p w14:paraId="4481AB7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firstLine="480" w:firstLineChars="200"/>
              <w:textAlignment w:val="baseline"/>
              <w:rPr>
                <w:rFonts w:hint="default" w:ascii="Times New Roman" w:hAnsi="Times New Roman" w:cs="Times New Roman"/>
                <w:b w:val="0"/>
                <w:bCs w:val="0"/>
                <w:color w:val="auto"/>
                <w:sz w:val="24"/>
                <w:szCs w:val="22"/>
                <w:highlight w:val="none"/>
                <w:lang w:val="en-US" w:eastAsia="zh-CN"/>
              </w:rPr>
            </w:pPr>
            <w:r>
              <w:rPr>
                <w:rFonts w:hint="default" w:ascii="Times New Roman" w:hAnsi="Times New Roman" w:cs="Times New Roman"/>
                <w:b w:val="0"/>
                <w:bCs w:val="0"/>
                <w:color w:val="auto"/>
                <w:sz w:val="24"/>
                <w:szCs w:val="22"/>
                <w:highlight w:val="none"/>
                <w:lang w:val="en-US" w:eastAsia="zh-CN"/>
              </w:rPr>
              <w:t>（1）根据《中华人民共和国固体废物污染环境防治法》规定：</w:t>
            </w:r>
            <w:r>
              <w:rPr>
                <w:rFonts w:hint="eastAsia" w:cs="Times New Roman"/>
                <w:b w:val="0"/>
                <w:bCs w:val="0"/>
                <w:color w:val="auto"/>
                <w:sz w:val="24"/>
                <w:szCs w:val="22"/>
                <w:highlight w:val="none"/>
                <w:lang w:val="en-US" w:eastAsia="zh-CN"/>
              </w:rPr>
              <w:t>“</w:t>
            </w:r>
            <w:r>
              <w:rPr>
                <w:rFonts w:hint="default" w:ascii="Times New Roman" w:hAnsi="Times New Roman" w:cs="Times New Roman"/>
                <w:b w:val="0"/>
                <w:bCs w:val="0"/>
                <w:color w:val="auto"/>
                <w:sz w:val="24"/>
                <w:szCs w:val="22"/>
                <w:highlight w:val="none"/>
                <w:lang w:val="en-US" w:eastAsia="zh-CN"/>
              </w:rPr>
              <w:t>国家鼓励、支持综合利用资源，对固体废物实行充分回收和合理利用</w:t>
            </w:r>
            <w:r>
              <w:rPr>
                <w:rFonts w:hint="eastAsia" w:cs="Times New Roman"/>
                <w:b w:val="0"/>
                <w:bCs w:val="0"/>
                <w:color w:val="auto"/>
                <w:sz w:val="24"/>
                <w:szCs w:val="22"/>
                <w:highlight w:val="none"/>
                <w:lang w:val="en-US" w:eastAsia="zh-CN"/>
              </w:rPr>
              <w:t>”</w:t>
            </w:r>
            <w:r>
              <w:rPr>
                <w:rFonts w:hint="default" w:ascii="Times New Roman" w:hAnsi="Times New Roman" w:cs="Times New Roman"/>
                <w:b w:val="0"/>
                <w:bCs w:val="0"/>
                <w:color w:val="auto"/>
                <w:sz w:val="24"/>
                <w:szCs w:val="22"/>
                <w:highlight w:val="none"/>
                <w:lang w:val="en-US" w:eastAsia="zh-CN"/>
              </w:rPr>
              <w:t>从事收集、贮存、对可利用的固体废弃物要尽可能利用，对不可利用的固体废弃物要实现无害化和减量化。</w:t>
            </w:r>
          </w:p>
          <w:p w14:paraId="40DE969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firstLine="480" w:firstLineChars="200"/>
              <w:textAlignment w:val="baseline"/>
              <w:rPr>
                <w:rFonts w:hint="default" w:ascii="Times New Roman" w:hAnsi="Times New Roman" w:cs="Times New Roman"/>
                <w:b w:val="0"/>
                <w:bCs w:val="0"/>
                <w:color w:val="auto"/>
                <w:sz w:val="24"/>
                <w:szCs w:val="22"/>
                <w:highlight w:val="none"/>
                <w:lang w:val="en-US" w:eastAsia="zh-CN"/>
              </w:rPr>
            </w:pPr>
            <w:r>
              <w:rPr>
                <w:rFonts w:hint="default" w:ascii="Times New Roman" w:hAnsi="Times New Roman" w:cs="Times New Roman"/>
                <w:b w:val="0"/>
                <w:bCs w:val="0"/>
                <w:color w:val="auto"/>
                <w:sz w:val="24"/>
                <w:szCs w:val="22"/>
                <w:highlight w:val="none"/>
                <w:lang w:val="en-US" w:eastAsia="zh-CN"/>
              </w:rPr>
              <w:t>（2）为防止雨水径流进入贮存、处置场内，避免渗滤液量增加和滑坡，贮存、处置场周边应设置导流渠。</w:t>
            </w:r>
          </w:p>
          <w:p w14:paraId="5CB5873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firstLine="480" w:firstLineChars="200"/>
              <w:textAlignment w:val="baseline"/>
              <w:rPr>
                <w:rFonts w:hint="default" w:ascii="Times New Roman" w:hAnsi="Times New Roman" w:cs="Times New Roman"/>
                <w:b w:val="0"/>
                <w:bCs w:val="0"/>
                <w:color w:val="auto"/>
                <w:sz w:val="24"/>
                <w:szCs w:val="22"/>
                <w:highlight w:val="none"/>
                <w:lang w:val="en-US" w:eastAsia="zh-CN"/>
              </w:rPr>
            </w:pPr>
            <w:r>
              <w:rPr>
                <w:rFonts w:hint="default" w:ascii="Times New Roman" w:hAnsi="Times New Roman" w:cs="Times New Roman"/>
                <w:b w:val="0"/>
                <w:bCs w:val="0"/>
                <w:color w:val="auto"/>
                <w:sz w:val="24"/>
                <w:szCs w:val="22"/>
                <w:highlight w:val="none"/>
                <w:lang w:val="en-US" w:eastAsia="zh-CN"/>
              </w:rPr>
              <w:t>（3）为加强监督管理，贮存、处置场应按GB15562.2设置环境保护图形标志。</w:t>
            </w:r>
          </w:p>
          <w:p w14:paraId="4B5F2A9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firstLine="480" w:firstLineChars="200"/>
              <w:textAlignment w:val="baseline"/>
              <w:rPr>
                <w:rFonts w:hint="default" w:ascii="Times New Roman" w:hAnsi="Times New Roman" w:cs="Times New Roman"/>
                <w:b w:val="0"/>
                <w:bCs w:val="0"/>
                <w:color w:val="auto"/>
                <w:sz w:val="24"/>
                <w:szCs w:val="22"/>
                <w:highlight w:val="none"/>
                <w:lang w:val="en-US" w:eastAsia="zh-CN"/>
              </w:rPr>
            </w:pPr>
            <w:r>
              <w:rPr>
                <w:rFonts w:hint="default" w:ascii="Times New Roman" w:hAnsi="Times New Roman" w:cs="Times New Roman"/>
                <w:b w:val="0"/>
                <w:bCs w:val="0"/>
                <w:color w:val="auto"/>
                <w:sz w:val="24"/>
                <w:szCs w:val="22"/>
                <w:highlight w:val="none"/>
                <w:lang w:val="en-US" w:eastAsia="zh-CN"/>
              </w:rPr>
              <w:t>（4）贮存、处置场使用单位，应建立检查维护制度。定期检查维护堤、坝、挡土墙、导流渠等设施，发现有损坏可能或异常，应及时采取必要措施，以保障正常运行。</w:t>
            </w:r>
          </w:p>
          <w:p w14:paraId="6B4E9C1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firstLine="480" w:firstLineChars="200"/>
              <w:textAlignment w:val="baseline"/>
              <w:rPr>
                <w:rFonts w:hint="default" w:ascii="Times New Roman" w:hAnsi="Times New Roman" w:cs="Times New Roman"/>
                <w:b w:val="0"/>
                <w:bCs w:val="0"/>
                <w:color w:val="auto"/>
                <w:sz w:val="24"/>
                <w:szCs w:val="22"/>
                <w:highlight w:val="none"/>
                <w:lang w:val="en-US" w:eastAsia="zh-CN"/>
              </w:rPr>
            </w:pPr>
            <w:r>
              <w:rPr>
                <w:rFonts w:hint="default" w:ascii="Times New Roman" w:hAnsi="Times New Roman" w:cs="Times New Roman"/>
                <w:b w:val="0"/>
                <w:bCs w:val="0"/>
                <w:color w:val="auto"/>
                <w:sz w:val="24"/>
                <w:szCs w:val="22"/>
                <w:highlight w:val="none"/>
                <w:lang w:val="en-US" w:eastAsia="zh-CN"/>
              </w:rPr>
              <w:t>（5）贮存、处置场地使用单位，应建立档案制度。应将入场的一般工</w:t>
            </w:r>
          </w:p>
          <w:p w14:paraId="636B780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firstLine="480" w:firstLineChars="200"/>
              <w:textAlignment w:val="baseline"/>
              <w:rPr>
                <w:rFonts w:hint="default" w:ascii="Times New Roman" w:hAnsi="Times New Roman" w:cs="Times New Roman"/>
                <w:b w:val="0"/>
                <w:bCs w:val="0"/>
                <w:color w:val="auto"/>
                <w:sz w:val="24"/>
                <w:szCs w:val="22"/>
                <w:highlight w:val="none"/>
                <w:lang w:val="en-US" w:eastAsia="zh-CN"/>
              </w:rPr>
            </w:pPr>
            <w:r>
              <w:rPr>
                <w:rFonts w:hint="default" w:ascii="Times New Roman" w:hAnsi="Times New Roman" w:cs="Times New Roman"/>
                <w:b w:val="0"/>
                <w:bCs w:val="0"/>
                <w:color w:val="auto"/>
                <w:sz w:val="24"/>
                <w:szCs w:val="22"/>
                <w:highlight w:val="none"/>
                <w:lang w:val="en-US" w:eastAsia="zh-CN"/>
              </w:rPr>
              <w:t>业固体废物的种类和数量以及下列资料。详细记录在案，长期保存，供随时查阅。</w:t>
            </w:r>
          </w:p>
          <w:p w14:paraId="73C9B01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firstLine="482" w:firstLineChars="200"/>
              <w:textAlignment w:val="baseline"/>
              <w:rPr>
                <w:rFonts w:hint="default" w:ascii="Times New Roman" w:hAnsi="Times New Roman" w:eastAsia="宋体" w:cs="Times New Roman"/>
                <w:b/>
                <w:bCs/>
                <w:color w:val="auto"/>
                <w:sz w:val="24"/>
                <w:szCs w:val="22"/>
                <w:highlight w:val="none"/>
                <w:u w:val="none"/>
                <w:lang w:val="en-US" w:eastAsia="zh-CN"/>
              </w:rPr>
            </w:pPr>
            <w:r>
              <w:rPr>
                <w:rFonts w:hint="default" w:ascii="Times New Roman" w:hAnsi="Times New Roman" w:cs="Times New Roman"/>
                <w:b/>
                <w:bCs/>
                <w:color w:val="auto"/>
                <w:sz w:val="24"/>
                <w:szCs w:val="22"/>
                <w:highlight w:val="none"/>
                <w:lang w:val="en-US" w:eastAsia="zh-CN"/>
              </w:rPr>
              <w:t xml:space="preserve">4.3.2 </w:t>
            </w:r>
            <w:r>
              <w:rPr>
                <w:rFonts w:hint="default" w:ascii="Times New Roman" w:hAnsi="Times New Roman" w:eastAsia="宋体" w:cs="Times New Roman"/>
                <w:b/>
                <w:bCs/>
                <w:color w:val="auto"/>
                <w:sz w:val="24"/>
                <w:szCs w:val="22"/>
                <w:highlight w:val="none"/>
                <w:u w:val="none"/>
                <w:lang w:val="en-US" w:eastAsia="zh-CN"/>
              </w:rPr>
              <w:t>危废暂存间</w:t>
            </w:r>
            <w:r>
              <w:rPr>
                <w:rFonts w:hint="default" w:ascii="Times New Roman" w:hAnsi="Times New Roman" w:cs="Times New Roman"/>
                <w:b/>
                <w:bCs/>
                <w:color w:val="auto"/>
                <w:sz w:val="24"/>
                <w:szCs w:val="22"/>
                <w:highlight w:val="none"/>
                <w:u w:val="none"/>
                <w:lang w:val="en-US" w:eastAsia="zh-CN"/>
              </w:rPr>
              <w:t>环境</w:t>
            </w:r>
            <w:r>
              <w:rPr>
                <w:rFonts w:hint="default" w:ascii="Times New Roman" w:hAnsi="Times New Roman" w:eastAsia="宋体" w:cs="Times New Roman"/>
                <w:b/>
                <w:bCs/>
                <w:color w:val="auto"/>
                <w:sz w:val="24"/>
                <w:szCs w:val="22"/>
                <w:highlight w:val="none"/>
                <w:u w:val="none"/>
                <w:lang w:val="en-US" w:eastAsia="zh-CN"/>
              </w:rPr>
              <w:t>管理要求</w:t>
            </w:r>
          </w:p>
          <w:p w14:paraId="1BE5064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firstLine="480" w:firstLineChars="200"/>
              <w:textAlignment w:val="baseline"/>
              <w:rPr>
                <w:rFonts w:hint="default" w:ascii="Times New Roman" w:hAnsi="Times New Roman" w:eastAsia="宋体" w:cs="Times New Roman"/>
                <w:b w:val="0"/>
                <w:bCs w:val="0"/>
                <w:color w:val="auto"/>
                <w:sz w:val="24"/>
                <w:szCs w:val="22"/>
                <w:highlight w:val="none"/>
                <w:u w:val="none"/>
                <w:lang w:val="en-US" w:eastAsia="zh-CN"/>
              </w:rPr>
            </w:pPr>
            <w:r>
              <w:rPr>
                <w:rFonts w:hint="default" w:ascii="Times New Roman" w:hAnsi="Times New Roman" w:eastAsia="宋体" w:cs="Times New Roman"/>
                <w:b w:val="0"/>
                <w:bCs w:val="0"/>
                <w:color w:val="auto"/>
                <w:sz w:val="24"/>
                <w:szCs w:val="22"/>
                <w:highlight w:val="none"/>
                <w:u w:val="none"/>
                <w:lang w:val="en-US" w:eastAsia="zh-CN"/>
              </w:rPr>
              <w:t>（1）危废暂存间环保管理要求</w:t>
            </w:r>
          </w:p>
          <w:p w14:paraId="236F3AC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firstLine="480" w:firstLineChars="200"/>
              <w:textAlignment w:val="baseline"/>
              <w:rPr>
                <w:rFonts w:hint="default" w:ascii="Times New Roman" w:hAnsi="Times New Roman" w:eastAsia="宋体" w:cs="Times New Roman"/>
                <w:b w:val="0"/>
                <w:bCs w:val="0"/>
                <w:color w:val="auto"/>
                <w:sz w:val="24"/>
                <w:szCs w:val="22"/>
                <w:highlight w:val="none"/>
                <w:u w:val="none"/>
                <w:lang w:val="en-US" w:eastAsia="zh-CN"/>
              </w:rPr>
            </w:pPr>
            <w:r>
              <w:rPr>
                <w:rFonts w:hint="default" w:ascii="Times New Roman" w:hAnsi="Times New Roman" w:eastAsia="宋体" w:cs="Times New Roman"/>
                <w:b w:val="0"/>
                <w:bCs w:val="0"/>
                <w:color w:val="auto"/>
                <w:sz w:val="24"/>
                <w:szCs w:val="22"/>
                <w:highlight w:val="none"/>
                <w:u w:val="none"/>
                <w:lang w:val="en-US" w:eastAsia="zh-CN"/>
              </w:rPr>
              <w:t>本项目</w:t>
            </w:r>
            <w:r>
              <w:rPr>
                <w:rFonts w:hint="default" w:ascii="Times New Roman" w:hAnsi="Times New Roman" w:cs="Times New Roman"/>
                <w:b w:val="0"/>
                <w:bCs w:val="0"/>
                <w:color w:val="auto"/>
                <w:sz w:val="24"/>
                <w:szCs w:val="22"/>
                <w:highlight w:val="none"/>
                <w:u w:val="none"/>
                <w:lang w:val="en-US" w:eastAsia="zh-CN"/>
              </w:rPr>
              <w:t>建设</w:t>
            </w:r>
            <w:r>
              <w:rPr>
                <w:rFonts w:hint="default" w:ascii="Times New Roman" w:hAnsi="Times New Roman" w:eastAsia="宋体" w:cs="Times New Roman"/>
                <w:b w:val="0"/>
                <w:bCs w:val="0"/>
                <w:color w:val="auto"/>
                <w:sz w:val="24"/>
                <w:szCs w:val="22"/>
                <w:highlight w:val="none"/>
                <w:u w:val="none"/>
                <w:lang w:val="en-US" w:eastAsia="zh-CN"/>
              </w:rPr>
              <w:t>1座危险废物暂存间，建筑面积</w:t>
            </w:r>
            <w:r>
              <w:rPr>
                <w:rFonts w:hint="eastAsia" w:cs="Times New Roman"/>
                <w:b w:val="0"/>
                <w:bCs w:val="0"/>
                <w:color w:val="auto"/>
                <w:sz w:val="24"/>
                <w:szCs w:val="22"/>
                <w:highlight w:val="none"/>
                <w:u w:val="none"/>
                <w:lang w:val="en-US" w:eastAsia="zh-CN"/>
              </w:rPr>
              <w:t>20</w:t>
            </w:r>
            <w:r>
              <w:rPr>
                <w:rFonts w:hint="default" w:ascii="Times New Roman" w:hAnsi="Times New Roman" w:eastAsia="宋体" w:cs="Times New Roman"/>
                <w:b w:val="0"/>
                <w:bCs w:val="0"/>
                <w:color w:val="auto"/>
                <w:sz w:val="24"/>
                <w:szCs w:val="22"/>
                <w:highlight w:val="none"/>
                <w:u w:val="none"/>
                <w:lang w:val="en-US" w:eastAsia="zh-CN"/>
              </w:rPr>
              <w:t>m</w:t>
            </w:r>
            <w:r>
              <w:rPr>
                <w:rFonts w:hint="default" w:ascii="Times New Roman" w:hAnsi="Times New Roman" w:eastAsia="宋体" w:cs="Times New Roman"/>
                <w:b w:val="0"/>
                <w:bCs w:val="0"/>
                <w:color w:val="auto"/>
                <w:sz w:val="24"/>
                <w:szCs w:val="22"/>
                <w:highlight w:val="none"/>
                <w:u w:val="none"/>
                <w:vertAlign w:val="superscript"/>
                <w:lang w:val="en-US" w:eastAsia="zh-CN"/>
              </w:rPr>
              <w:t>2</w:t>
            </w:r>
            <w:r>
              <w:rPr>
                <w:rFonts w:hint="default" w:ascii="Times New Roman" w:hAnsi="Times New Roman" w:eastAsia="宋体" w:cs="Times New Roman"/>
                <w:b w:val="0"/>
                <w:bCs w:val="0"/>
                <w:color w:val="auto"/>
                <w:sz w:val="24"/>
                <w:szCs w:val="22"/>
                <w:highlight w:val="none"/>
                <w:u w:val="none"/>
                <w:lang w:val="en-US" w:eastAsia="zh-CN"/>
              </w:rPr>
              <w:t>。本次评价要求危险废物暂存间满足《危险废物贮存污染控制标准》（GB 18597-2023）及《建设项目危险废物环境影响评价指南》（环境保护部公告〔2017〕43号）要求，并按照设置警示标志、张贴标准规范的危险废物标识和危废信息板、屋内张贴企业《危险废物管理制度》。</w:t>
            </w:r>
          </w:p>
          <w:p w14:paraId="5BF6600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leftChars="0" w:firstLine="480" w:firstLineChars="200"/>
              <w:textAlignment w:val="baseline"/>
              <w:rPr>
                <w:rFonts w:hint="default" w:ascii="Times New Roman" w:hAnsi="Times New Roman" w:eastAsia="宋体" w:cs="Times New Roman"/>
                <w:b w:val="0"/>
                <w:bCs w:val="0"/>
                <w:color w:val="auto"/>
                <w:sz w:val="24"/>
                <w:szCs w:val="22"/>
                <w:highlight w:val="none"/>
                <w:u w:val="none"/>
                <w:lang w:val="en-US" w:eastAsia="zh-CN"/>
              </w:rPr>
            </w:pPr>
            <w:r>
              <w:rPr>
                <w:rFonts w:hint="default" w:ascii="Times New Roman" w:hAnsi="Times New Roman" w:eastAsia="宋体" w:cs="Times New Roman"/>
                <w:b w:val="0"/>
                <w:bCs w:val="0"/>
                <w:color w:val="auto"/>
                <w:sz w:val="24"/>
                <w:szCs w:val="22"/>
                <w:highlight w:val="none"/>
                <w:u w:val="none"/>
                <w:lang w:val="en-US" w:eastAsia="zh-CN"/>
              </w:rPr>
              <w:t>（2）固体废物收集管理要求</w:t>
            </w:r>
          </w:p>
          <w:p w14:paraId="79FFE83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rPr>
            </w:pPr>
            <w:r>
              <w:rPr>
                <w:rFonts w:hint="eastAsia" w:cs="Times New Roman"/>
                <w:b w:val="0"/>
                <w:bCs w:val="0"/>
                <w:color w:val="auto"/>
                <w:sz w:val="24"/>
                <w:highlight w:val="none"/>
                <w:u w:val="none"/>
                <w:lang w:val="en-US" w:eastAsia="zh-CN"/>
              </w:rPr>
              <w:t>①</w:t>
            </w:r>
            <w:r>
              <w:rPr>
                <w:rFonts w:hint="default" w:ascii="Times New Roman" w:hAnsi="Times New Roman" w:eastAsia="宋体" w:cs="Times New Roman"/>
                <w:b w:val="0"/>
                <w:bCs w:val="0"/>
                <w:color w:val="auto"/>
                <w:sz w:val="24"/>
                <w:highlight w:val="none"/>
                <w:u w:val="none"/>
              </w:rPr>
              <w:t>贮存场所必须符合《危险废弃物贮存污染控制标准》（GB18597-2023）的规定，必须有符合要求的专用标志、警示、标签。</w:t>
            </w:r>
          </w:p>
          <w:p w14:paraId="420639F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rPr>
            </w:pPr>
            <w:r>
              <w:rPr>
                <w:rFonts w:hint="eastAsia" w:cs="Times New Roman"/>
                <w:b w:val="0"/>
                <w:bCs w:val="0"/>
                <w:color w:val="auto"/>
                <w:sz w:val="24"/>
                <w:highlight w:val="none"/>
                <w:u w:val="none"/>
                <w:lang w:val="en-US" w:eastAsia="zh-CN"/>
              </w:rPr>
              <w:t>②</w:t>
            </w:r>
            <w:r>
              <w:rPr>
                <w:rFonts w:hint="default" w:ascii="Times New Roman" w:hAnsi="Times New Roman" w:eastAsia="宋体" w:cs="Times New Roman"/>
                <w:b w:val="0"/>
                <w:bCs w:val="0"/>
                <w:color w:val="auto"/>
                <w:sz w:val="24"/>
                <w:highlight w:val="none"/>
                <w:u w:val="none"/>
              </w:rPr>
              <w:t>贮存场所内危险废物应分类存放。储存区、道路应分区明显。</w:t>
            </w:r>
          </w:p>
          <w:p w14:paraId="507EED0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rPr>
            </w:pPr>
            <w:r>
              <w:rPr>
                <w:rFonts w:hint="eastAsia" w:cs="Times New Roman"/>
                <w:b w:val="0"/>
                <w:bCs w:val="0"/>
                <w:color w:val="auto"/>
                <w:sz w:val="24"/>
                <w:highlight w:val="none"/>
                <w:u w:val="none"/>
                <w:lang w:val="en-US" w:eastAsia="zh-CN"/>
              </w:rPr>
              <w:t>③</w:t>
            </w:r>
            <w:r>
              <w:rPr>
                <w:rFonts w:hint="default" w:ascii="Times New Roman" w:hAnsi="Times New Roman" w:eastAsia="宋体" w:cs="Times New Roman"/>
                <w:b w:val="0"/>
                <w:bCs w:val="0"/>
                <w:color w:val="auto"/>
                <w:sz w:val="24"/>
                <w:highlight w:val="none"/>
                <w:u w:val="none"/>
              </w:rPr>
              <w:t>存场点应防风、防雨、防晒、防止危险废物流失、扬散等措施。</w:t>
            </w:r>
          </w:p>
          <w:p w14:paraId="51B8B34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rPr>
            </w:pPr>
            <w:r>
              <w:rPr>
                <w:rFonts w:hint="eastAsia" w:cs="Times New Roman"/>
                <w:b w:val="0"/>
                <w:bCs w:val="0"/>
                <w:color w:val="auto"/>
                <w:sz w:val="24"/>
                <w:highlight w:val="none"/>
                <w:u w:val="none"/>
                <w:lang w:val="en-US" w:eastAsia="zh-CN"/>
              </w:rPr>
              <w:t>④</w:t>
            </w:r>
            <w:r>
              <w:rPr>
                <w:rFonts w:hint="default" w:ascii="Times New Roman" w:hAnsi="Times New Roman" w:eastAsia="宋体" w:cs="Times New Roman"/>
                <w:b w:val="0"/>
                <w:bCs w:val="0"/>
                <w:color w:val="auto"/>
                <w:sz w:val="24"/>
                <w:highlight w:val="none"/>
                <w:u w:val="none"/>
              </w:rPr>
              <w:t>危险废物应置于容器或包装物中，不应直接散堆。项目</w:t>
            </w:r>
            <w:r>
              <w:rPr>
                <w:rFonts w:hint="default" w:ascii="Times New Roman" w:hAnsi="Times New Roman" w:eastAsia="宋体" w:cs="Times New Roman"/>
                <w:b w:val="0"/>
                <w:bCs w:val="0"/>
                <w:color w:val="auto"/>
                <w:sz w:val="24"/>
                <w:highlight w:val="none"/>
                <w:u w:val="none"/>
                <w:lang w:val="en-US" w:eastAsia="zh-CN"/>
              </w:rPr>
              <w:t>废润滑油</w:t>
            </w:r>
            <w:r>
              <w:rPr>
                <w:rFonts w:hint="default" w:ascii="Times New Roman" w:hAnsi="Times New Roman" w:eastAsia="宋体" w:cs="Times New Roman"/>
                <w:b w:val="0"/>
                <w:bCs w:val="0"/>
                <w:color w:val="auto"/>
                <w:sz w:val="24"/>
                <w:highlight w:val="none"/>
                <w:u w:val="none"/>
              </w:rPr>
              <w:t>桶口闭口暂存。</w:t>
            </w:r>
          </w:p>
          <w:p w14:paraId="74DD1AA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rPr>
            </w:pPr>
            <w:r>
              <w:rPr>
                <w:rFonts w:hint="eastAsia" w:cs="Times New Roman"/>
                <w:b w:val="0"/>
                <w:bCs w:val="0"/>
                <w:color w:val="auto"/>
                <w:sz w:val="24"/>
                <w:highlight w:val="none"/>
                <w:u w:val="none"/>
                <w:lang w:val="en-US" w:eastAsia="zh-CN"/>
              </w:rPr>
              <w:t>⑤</w:t>
            </w:r>
            <w:r>
              <w:rPr>
                <w:rFonts w:hint="default" w:ascii="Times New Roman" w:hAnsi="Times New Roman" w:eastAsia="宋体" w:cs="Times New Roman"/>
                <w:b w:val="0"/>
                <w:bCs w:val="0"/>
                <w:color w:val="auto"/>
                <w:sz w:val="24"/>
                <w:highlight w:val="none"/>
                <w:u w:val="none"/>
              </w:rPr>
              <w:t>贮存点根据危险废物的形态、物理化学性质、包装形式等，采取防渗、防漏等污染防治措施或采用具有相应功能的装置。</w:t>
            </w:r>
          </w:p>
          <w:p w14:paraId="71383C0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rPr>
            </w:pPr>
            <w:r>
              <w:rPr>
                <w:rFonts w:hint="eastAsia" w:cs="Times New Roman"/>
                <w:b w:val="0"/>
                <w:bCs w:val="0"/>
                <w:color w:val="auto"/>
                <w:sz w:val="24"/>
                <w:highlight w:val="none"/>
                <w:u w:val="none"/>
                <w:lang w:val="en-US" w:eastAsia="zh-CN"/>
              </w:rPr>
              <w:t>⑥</w:t>
            </w:r>
            <w:r>
              <w:rPr>
                <w:rFonts w:hint="default" w:ascii="Times New Roman" w:hAnsi="Times New Roman" w:eastAsia="宋体" w:cs="Times New Roman"/>
                <w:b w:val="0"/>
                <w:bCs w:val="0"/>
                <w:color w:val="auto"/>
                <w:sz w:val="24"/>
                <w:highlight w:val="none"/>
                <w:u w:val="none"/>
              </w:rPr>
              <w:t>硬质容器和包装物及其支护结构堆叠码放时不应有明显变形，无破损泄漏；柔性容器和包装物堆叠码放时应封口严密，无破损泄漏。</w:t>
            </w:r>
          </w:p>
          <w:p w14:paraId="4CF1EF1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rPr>
            </w:pPr>
            <w:r>
              <w:rPr>
                <w:rFonts w:hint="eastAsia" w:cs="Times New Roman"/>
                <w:b w:val="0"/>
                <w:bCs w:val="0"/>
                <w:color w:val="auto"/>
                <w:sz w:val="24"/>
                <w:highlight w:val="none"/>
                <w:u w:val="none"/>
                <w:lang w:val="en-US" w:eastAsia="zh-CN"/>
              </w:rPr>
              <w:t>⑦</w:t>
            </w:r>
            <w:r>
              <w:rPr>
                <w:rFonts w:hint="default" w:ascii="Times New Roman" w:hAnsi="Times New Roman" w:eastAsia="宋体" w:cs="Times New Roman"/>
                <w:b w:val="0"/>
                <w:bCs w:val="0"/>
                <w:color w:val="auto"/>
                <w:sz w:val="24"/>
                <w:highlight w:val="none"/>
                <w:u w:val="none"/>
              </w:rPr>
              <w:t>贮存点应及时清运贮存的危险废物。</w:t>
            </w:r>
          </w:p>
          <w:p w14:paraId="14C92F9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rPr>
            </w:pPr>
            <w:r>
              <w:rPr>
                <w:rFonts w:hint="eastAsia" w:cs="Times New Roman"/>
                <w:b w:val="0"/>
                <w:bCs w:val="0"/>
                <w:color w:val="auto"/>
                <w:sz w:val="24"/>
                <w:highlight w:val="none"/>
                <w:u w:val="none"/>
                <w:lang w:val="en-US" w:eastAsia="zh-CN"/>
              </w:rPr>
              <w:t>⑧</w:t>
            </w:r>
            <w:r>
              <w:rPr>
                <w:rFonts w:hint="default" w:ascii="Times New Roman" w:hAnsi="Times New Roman" w:eastAsia="宋体" w:cs="Times New Roman"/>
                <w:b w:val="0"/>
                <w:bCs w:val="0"/>
                <w:color w:val="auto"/>
                <w:sz w:val="24"/>
                <w:highlight w:val="none"/>
                <w:u w:val="none"/>
              </w:rPr>
              <w:t>贮存设施所有者或运营者应建立贮存设施环境管理制度、管理人员岗位职责制度、设施运行操作制度、人员岗位培训制度等。</w:t>
            </w:r>
          </w:p>
          <w:p w14:paraId="3B527D2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rPr>
            </w:pPr>
            <w:r>
              <w:rPr>
                <w:rFonts w:hint="eastAsia" w:cs="Times New Roman"/>
                <w:b w:val="0"/>
                <w:bCs w:val="0"/>
                <w:color w:val="auto"/>
                <w:sz w:val="24"/>
                <w:highlight w:val="none"/>
                <w:u w:val="none"/>
                <w:lang w:val="en-US" w:eastAsia="zh-CN"/>
              </w:rPr>
              <w:t>⑨</w:t>
            </w:r>
            <w:r>
              <w:rPr>
                <w:rFonts w:hint="default" w:ascii="Times New Roman" w:hAnsi="Times New Roman" w:eastAsia="宋体" w:cs="Times New Roman"/>
                <w:b w:val="0"/>
                <w:bCs w:val="0"/>
                <w:color w:val="auto"/>
                <w:sz w:val="24"/>
                <w:highlight w:val="none"/>
                <w:u w:val="none"/>
              </w:rPr>
              <w:t>定期检查危险废物的贮存状况，及时清理贮存设施地面，更换破损泄漏的危险废物贮存容器和包装物，保证堆存危险废物的防雨、防风、防扬尘等设施功能完好。</w:t>
            </w:r>
          </w:p>
          <w:p w14:paraId="5A5D751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rPr>
            </w:pPr>
            <w:r>
              <w:rPr>
                <w:rFonts w:hint="default" w:ascii="Times New Roman" w:hAnsi="Times New Roman" w:eastAsia="宋体" w:cs="Times New Roman"/>
                <w:b w:val="0"/>
                <w:bCs w:val="0"/>
                <w:color w:val="auto"/>
                <w:sz w:val="24"/>
                <w:highlight w:val="none"/>
                <w:u w:val="none"/>
              </w:rPr>
              <w:t>建设单位按《危险废物转移管理办法》、《危险废物管理计划和管理台账制定技术导则》（HJ1259-2022）、《危险废物转移联单管理办法》等要求，做好项目危险废物转移“五联单”制度，防止非法转移和非法处置，保证危险废物的安全监控，按要求建立危险废物的档案管理制度，建立并做好危险废物台账，记录上须注明危险废物的名称、来源、数量、特性和包装容器的类别等。</w:t>
            </w:r>
          </w:p>
          <w:p w14:paraId="1BCC56B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lang w:val="en-US" w:eastAsia="zh-CN"/>
              </w:rPr>
            </w:pPr>
            <w:r>
              <w:rPr>
                <w:rFonts w:hint="default" w:ascii="Times New Roman" w:hAnsi="Times New Roman" w:cs="Times New Roman"/>
                <w:b w:val="0"/>
                <w:bCs w:val="0"/>
                <w:color w:val="auto"/>
                <w:sz w:val="24"/>
                <w:highlight w:val="none"/>
                <w:u w:val="none"/>
                <w:lang w:val="en-US" w:eastAsia="zh-CN"/>
              </w:rPr>
              <w:t>（3）</w:t>
            </w:r>
            <w:r>
              <w:rPr>
                <w:rFonts w:hint="default" w:ascii="Times New Roman" w:hAnsi="Times New Roman" w:eastAsia="宋体" w:cs="Times New Roman"/>
                <w:b w:val="0"/>
                <w:bCs w:val="0"/>
                <w:color w:val="auto"/>
                <w:sz w:val="24"/>
                <w:highlight w:val="none"/>
                <w:u w:val="none"/>
                <w:lang w:val="en-US" w:eastAsia="zh-CN"/>
              </w:rPr>
              <w:t>危险废物运输过程中应严格遵守以下要求：</w:t>
            </w:r>
          </w:p>
          <w:p w14:paraId="26E5855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lang w:val="en-US" w:eastAsia="zh-CN"/>
              </w:rPr>
            </w:pPr>
            <w:r>
              <w:rPr>
                <w:rFonts w:hint="default" w:ascii="Times New Roman" w:hAnsi="Times New Roman" w:eastAsia="宋体" w:cs="Times New Roman"/>
                <w:b w:val="0"/>
                <w:bCs w:val="0"/>
                <w:color w:val="auto"/>
                <w:sz w:val="24"/>
                <w:highlight w:val="none"/>
                <w:u w:val="none"/>
                <w:lang w:val="en-US" w:eastAsia="zh-CN"/>
              </w:rPr>
              <w:t>①危险废物运输应由持有危险废物经营许可证的单位按照其许可证的经营范围组织实施，承担危险废物运输的单位应获得交通运输部门颁发的危险货物运输资质。</w:t>
            </w:r>
          </w:p>
          <w:p w14:paraId="7D143E4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lang w:val="en-US" w:eastAsia="zh-CN"/>
              </w:rPr>
            </w:pPr>
            <w:r>
              <w:rPr>
                <w:rFonts w:hint="default" w:ascii="Times New Roman" w:hAnsi="Times New Roman" w:eastAsia="宋体" w:cs="Times New Roman"/>
                <w:b w:val="0"/>
                <w:bCs w:val="0"/>
                <w:color w:val="auto"/>
                <w:sz w:val="24"/>
                <w:highlight w:val="none"/>
                <w:u w:val="none"/>
                <w:lang w:val="en-US" w:eastAsia="zh-CN"/>
              </w:rPr>
              <w:t>②运输单位承运危险废物时，应在危险废物包装上按照GB18597附录A设置标志。</w:t>
            </w:r>
          </w:p>
          <w:p w14:paraId="5583766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lang w:val="en-US" w:eastAsia="zh-CN"/>
              </w:rPr>
            </w:pPr>
            <w:r>
              <w:rPr>
                <w:rFonts w:hint="default" w:ascii="Times New Roman" w:hAnsi="Times New Roman" w:eastAsia="宋体" w:cs="Times New Roman"/>
                <w:b w:val="0"/>
                <w:bCs w:val="0"/>
                <w:color w:val="auto"/>
                <w:sz w:val="24"/>
                <w:highlight w:val="none"/>
                <w:u w:val="none"/>
                <w:lang w:val="en-US" w:eastAsia="zh-CN"/>
              </w:rPr>
              <w:t>③危险废物公路运输时，运输车辆应按照GB13392设置车辆标志。</w:t>
            </w:r>
          </w:p>
          <w:p w14:paraId="79B20D3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highlight w:val="none"/>
                <w:u w:val="none"/>
                <w:lang w:val="en-US" w:eastAsia="zh-CN"/>
              </w:rPr>
            </w:pPr>
            <w:r>
              <w:rPr>
                <w:rFonts w:hint="default" w:ascii="Times New Roman" w:hAnsi="Times New Roman" w:eastAsia="宋体" w:cs="Times New Roman"/>
                <w:b w:val="0"/>
                <w:bCs w:val="0"/>
                <w:color w:val="auto"/>
                <w:sz w:val="24"/>
                <w:highlight w:val="none"/>
                <w:u w:val="none"/>
                <w:lang w:val="en-US" w:eastAsia="zh-CN"/>
              </w:rPr>
              <w:t>在收集、贮存、运输、处置等环节均按照《危险废物贮存污染控制标准》（GB18597-2023）及《建设项目危险废物环境影响评价指南》（环境保护部公告〔2017〕43号）要求严格落实后，能够安全、妥善处置，对周围环境影响较小。</w:t>
            </w:r>
          </w:p>
          <w:p w14:paraId="4FD27E6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leftChars="0"/>
              <w:textAlignment w:val="baseline"/>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5、土壤、地下水环境影响分析</w:t>
            </w:r>
          </w:p>
          <w:p w14:paraId="22A8884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eastAsia" w:cs="Times New Roman"/>
                <w:b w:val="0"/>
                <w:bCs w:val="0"/>
                <w:color w:val="auto"/>
                <w:sz w:val="24"/>
                <w:szCs w:val="22"/>
                <w:highlight w:val="none"/>
                <w:u w:val="single"/>
                <w:lang w:val="en-US" w:eastAsia="zh-CN"/>
              </w:rPr>
            </w:pPr>
            <w:r>
              <w:rPr>
                <w:rFonts w:hint="eastAsia" w:cs="Times New Roman"/>
                <w:b w:val="0"/>
                <w:bCs w:val="0"/>
                <w:color w:val="auto"/>
                <w:sz w:val="24"/>
                <w:szCs w:val="22"/>
                <w:highlight w:val="none"/>
                <w:u w:val="single"/>
                <w:lang w:val="en-US" w:eastAsia="zh-CN"/>
              </w:rPr>
              <w:t>本项目无生产废水产生，办公生活污水经化粪池处理后排入园区污水管网，危险废物暂存于危废间，危险废物暂存间严格落实防渗措施，正常工况下，无土壤和地下水环境污染途径，不再进行地下水、土壤环境影响分析。</w:t>
            </w:r>
          </w:p>
          <w:p w14:paraId="51CB7DA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jc w:val="center"/>
              <w:textAlignment w:val="baseline"/>
              <w:rPr>
                <w:rFonts w:hint="eastAsia" w:ascii="Times New Roman" w:hAnsi="Times New Roman" w:eastAsia="宋体" w:cs="Times New Roman"/>
                <w:color w:val="auto"/>
                <w:kern w:val="2"/>
                <w:sz w:val="21"/>
                <w:szCs w:val="21"/>
                <w:highlight w:val="none"/>
                <w:u w:val="single"/>
                <w:lang w:val="en-US" w:eastAsia="zh-CN" w:bidi="ar-SA"/>
              </w:rPr>
            </w:pPr>
          </w:p>
          <w:p w14:paraId="14FB851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jc w:val="center"/>
              <w:textAlignment w:val="baseline"/>
              <w:rPr>
                <w:rFonts w:hint="default" w:ascii="Times New Roman" w:hAnsi="Times New Roman" w:eastAsia="宋体" w:cs="Times New Roman"/>
                <w:color w:val="auto"/>
                <w:kern w:val="2"/>
                <w:sz w:val="21"/>
                <w:szCs w:val="21"/>
                <w:highlight w:val="none"/>
                <w:u w:val="single"/>
                <w:lang w:val="zh-CN" w:eastAsia="zh-CN" w:bidi="ar-SA"/>
              </w:rPr>
            </w:pPr>
            <w:r>
              <w:rPr>
                <w:rFonts w:hint="eastAsia" w:ascii="Times New Roman" w:hAnsi="Times New Roman" w:eastAsia="宋体" w:cs="Times New Roman"/>
                <w:color w:val="auto"/>
                <w:kern w:val="2"/>
                <w:sz w:val="21"/>
                <w:szCs w:val="21"/>
                <w:highlight w:val="none"/>
                <w:u w:val="single"/>
                <w:lang w:val="en-US" w:eastAsia="zh-CN" w:bidi="ar-SA"/>
              </w:rPr>
              <w:t>表4-</w:t>
            </w:r>
            <w:r>
              <w:rPr>
                <w:rFonts w:hint="eastAsia" w:cs="Times New Roman"/>
                <w:color w:val="auto"/>
                <w:kern w:val="2"/>
                <w:sz w:val="21"/>
                <w:szCs w:val="21"/>
                <w:highlight w:val="none"/>
                <w:u w:val="single"/>
                <w:lang w:val="en-US" w:eastAsia="zh-CN" w:bidi="ar-SA"/>
              </w:rPr>
              <w:t>16</w:t>
            </w:r>
            <w:r>
              <w:rPr>
                <w:rFonts w:hint="eastAsia" w:ascii="Times New Roman" w:hAnsi="Times New Roman" w:eastAsia="宋体" w:cs="Times New Roman"/>
                <w:color w:val="auto"/>
                <w:kern w:val="2"/>
                <w:sz w:val="21"/>
                <w:szCs w:val="21"/>
                <w:highlight w:val="none"/>
                <w:u w:val="single"/>
                <w:lang w:val="en-US" w:eastAsia="zh-CN" w:bidi="ar-SA"/>
              </w:rPr>
              <w:t xml:space="preserve">   </w:t>
            </w:r>
            <w:r>
              <w:rPr>
                <w:rFonts w:hint="default" w:ascii="Times New Roman" w:hAnsi="Times New Roman" w:eastAsia="宋体" w:cs="Times New Roman"/>
                <w:color w:val="auto"/>
                <w:kern w:val="2"/>
                <w:sz w:val="21"/>
                <w:szCs w:val="21"/>
                <w:highlight w:val="none"/>
                <w:u w:val="single"/>
                <w:lang w:val="zh-CN" w:eastAsia="zh-CN" w:bidi="ar-SA"/>
              </w:rPr>
              <w:t>本项目防渗区划分一览表</w:t>
            </w:r>
          </w:p>
          <w:tbl>
            <w:tblPr>
              <w:tblStyle w:val="29"/>
              <w:tblW w:w="7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961"/>
              <w:gridCol w:w="1117"/>
              <w:gridCol w:w="3412"/>
            </w:tblGrid>
            <w:tr w14:paraId="7268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center"/>
                </w:tcPr>
                <w:p w14:paraId="65B4B1DF">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r>
                    <w:rPr>
                      <w:rFonts w:hint="default" w:ascii="Times New Roman" w:hAnsi="Times New Roman" w:eastAsia="宋体" w:cs="Times New Roman"/>
                      <w:b w:val="0"/>
                      <w:bCs w:val="0"/>
                      <w:color w:val="auto"/>
                      <w:sz w:val="21"/>
                      <w:szCs w:val="21"/>
                      <w:u w:val="single"/>
                    </w:rPr>
                    <w:t>防控分区</w:t>
                  </w:r>
                </w:p>
              </w:tc>
              <w:tc>
                <w:tcPr>
                  <w:tcW w:w="1961" w:type="dxa"/>
                  <w:vAlign w:val="center"/>
                </w:tcPr>
                <w:p w14:paraId="2FFCEFDE">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r>
                    <w:rPr>
                      <w:rFonts w:hint="default" w:ascii="Times New Roman" w:hAnsi="Times New Roman" w:eastAsia="宋体" w:cs="Times New Roman"/>
                      <w:color w:val="auto"/>
                      <w:sz w:val="21"/>
                      <w:szCs w:val="21"/>
                      <w:highlight w:val="none"/>
                      <w:u w:val="single"/>
                      <w:lang w:val="zh-CN" w:eastAsia="zh-CN"/>
                    </w:rPr>
                    <w:t>装置、单元名称</w:t>
                  </w:r>
                </w:p>
              </w:tc>
              <w:tc>
                <w:tcPr>
                  <w:tcW w:w="1117" w:type="dxa"/>
                  <w:vAlign w:val="center"/>
                </w:tcPr>
                <w:p w14:paraId="23A02D66">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r>
                    <w:rPr>
                      <w:rFonts w:hint="default" w:ascii="Times New Roman" w:hAnsi="Times New Roman" w:eastAsia="宋体" w:cs="Times New Roman"/>
                      <w:b w:val="0"/>
                      <w:bCs w:val="0"/>
                      <w:color w:val="auto"/>
                      <w:sz w:val="21"/>
                      <w:szCs w:val="21"/>
                      <w:u w:val="single"/>
                    </w:rPr>
                    <w:t>防渗区域</w:t>
                  </w:r>
                </w:p>
              </w:tc>
              <w:tc>
                <w:tcPr>
                  <w:tcW w:w="3412" w:type="dxa"/>
                  <w:vAlign w:val="center"/>
                </w:tcPr>
                <w:p w14:paraId="34B64E40">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r>
                    <w:rPr>
                      <w:rFonts w:hint="default" w:ascii="Times New Roman" w:hAnsi="Times New Roman" w:eastAsia="宋体" w:cs="Times New Roman"/>
                      <w:b w:val="0"/>
                      <w:bCs w:val="0"/>
                      <w:color w:val="auto"/>
                      <w:sz w:val="21"/>
                      <w:szCs w:val="21"/>
                      <w:u w:val="single"/>
                    </w:rPr>
                    <w:t>防渗要求</w:t>
                  </w:r>
                </w:p>
              </w:tc>
            </w:tr>
            <w:tr w14:paraId="7980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restart"/>
                  <w:vAlign w:val="center"/>
                </w:tcPr>
                <w:p w14:paraId="1A1B5375">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r>
                    <w:rPr>
                      <w:rFonts w:hint="default" w:ascii="Times New Roman" w:hAnsi="Times New Roman" w:eastAsia="宋体" w:cs="Times New Roman"/>
                      <w:b w:val="0"/>
                      <w:bCs w:val="0"/>
                      <w:color w:val="auto"/>
                      <w:sz w:val="21"/>
                      <w:szCs w:val="21"/>
                      <w:u w:val="single"/>
                    </w:rPr>
                    <w:t>一般防渗区</w:t>
                  </w:r>
                </w:p>
              </w:tc>
              <w:tc>
                <w:tcPr>
                  <w:tcW w:w="1961" w:type="dxa"/>
                  <w:vAlign w:val="center"/>
                </w:tcPr>
                <w:p w14:paraId="5286616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hAnsi="Times New Roman" w:cs="Times New Roman"/>
                      <w:b w:val="0"/>
                      <w:bCs w:val="0"/>
                      <w:color w:val="auto"/>
                      <w:sz w:val="21"/>
                      <w:szCs w:val="21"/>
                      <w:u w:val="single"/>
                      <w:lang w:val="en-US" w:eastAsia="zh-CN"/>
                    </w:rPr>
                    <w:t>生产车间2#</w:t>
                  </w:r>
                </w:p>
              </w:tc>
              <w:tc>
                <w:tcPr>
                  <w:tcW w:w="1117" w:type="dxa"/>
                  <w:vAlign w:val="center"/>
                </w:tcPr>
                <w:p w14:paraId="3FA4C6F4">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r>
                    <w:rPr>
                      <w:rFonts w:hint="default" w:ascii="Times New Roman" w:hAnsi="Times New Roman" w:eastAsia="宋体" w:cs="Times New Roman"/>
                      <w:b w:val="0"/>
                      <w:bCs w:val="0"/>
                      <w:color w:val="auto"/>
                      <w:sz w:val="21"/>
                      <w:szCs w:val="21"/>
                      <w:u w:val="single"/>
                    </w:rPr>
                    <w:t>地面</w:t>
                  </w:r>
                </w:p>
              </w:tc>
              <w:tc>
                <w:tcPr>
                  <w:tcW w:w="3412" w:type="dxa"/>
                  <w:vMerge w:val="restart"/>
                  <w:vAlign w:val="center"/>
                </w:tcPr>
                <w:p w14:paraId="3751087C">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r>
                    <w:rPr>
                      <w:rFonts w:hint="default" w:ascii="Times New Roman" w:hAnsi="Times New Roman" w:eastAsia="宋体" w:cs="Times New Roman"/>
                      <w:b w:val="0"/>
                      <w:bCs w:val="0"/>
                      <w:color w:val="auto"/>
                      <w:sz w:val="21"/>
                      <w:szCs w:val="21"/>
                      <w:u w:val="single"/>
                      <w:lang w:eastAsia="zh-CN"/>
                    </w:rPr>
                    <w:t>等效黏土防渗层Mb≥1.5m，K≤10</w:t>
                  </w:r>
                  <w:r>
                    <w:rPr>
                      <w:rFonts w:hint="default" w:ascii="Times New Roman" w:hAnsi="Times New Roman" w:eastAsia="宋体" w:cs="Times New Roman"/>
                      <w:b w:val="0"/>
                      <w:bCs w:val="0"/>
                      <w:color w:val="auto"/>
                      <w:sz w:val="21"/>
                      <w:szCs w:val="21"/>
                      <w:u w:val="single"/>
                      <w:vertAlign w:val="superscript"/>
                      <w:lang w:eastAsia="zh-CN"/>
                    </w:rPr>
                    <w:t>-7</w:t>
                  </w:r>
                  <w:r>
                    <w:rPr>
                      <w:rFonts w:hint="default" w:ascii="Times New Roman" w:hAnsi="Times New Roman" w:eastAsia="宋体" w:cs="Times New Roman"/>
                      <w:b w:val="0"/>
                      <w:bCs w:val="0"/>
                      <w:color w:val="auto"/>
                      <w:sz w:val="21"/>
                      <w:szCs w:val="21"/>
                      <w:u w:val="single"/>
                      <w:lang w:eastAsia="zh-CN"/>
                    </w:rPr>
                    <w:t>cm/s；或参照</w:t>
                  </w:r>
                  <w:r>
                    <w:rPr>
                      <w:rFonts w:hint="default" w:ascii="Times New Roman" w:hAnsi="Times New Roman" w:eastAsia="宋体" w:cs="Times New Roman"/>
                      <w:b w:val="0"/>
                      <w:bCs w:val="0"/>
                      <w:color w:val="auto"/>
                      <w:sz w:val="21"/>
                      <w:szCs w:val="21"/>
                      <w:u w:val="single"/>
                      <w:lang w:val="en-US" w:eastAsia="zh-CN"/>
                    </w:rPr>
                    <w:t>GB18598执行</w:t>
                  </w:r>
                </w:p>
              </w:tc>
            </w:tr>
            <w:tr w14:paraId="171B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207" w:type="dxa"/>
                  <w:vMerge w:val="continue"/>
                  <w:vAlign w:val="center"/>
                </w:tcPr>
                <w:p w14:paraId="4A57D1AD">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p>
              </w:tc>
              <w:tc>
                <w:tcPr>
                  <w:tcW w:w="1961" w:type="dxa"/>
                  <w:vAlign w:val="center"/>
                </w:tcPr>
                <w:p w14:paraId="11F6EC0D">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r>
                    <w:rPr>
                      <w:rFonts w:hint="default" w:ascii="Times New Roman" w:hAnsi="Times New Roman" w:eastAsia="宋体" w:cs="Times New Roman"/>
                      <w:b w:val="0"/>
                      <w:bCs w:val="0"/>
                      <w:color w:val="auto"/>
                      <w:sz w:val="21"/>
                      <w:szCs w:val="21"/>
                      <w:u w:val="single"/>
                    </w:rPr>
                    <w:t>一般固废暂存间</w:t>
                  </w:r>
                </w:p>
              </w:tc>
              <w:tc>
                <w:tcPr>
                  <w:tcW w:w="1117" w:type="dxa"/>
                  <w:vAlign w:val="center"/>
                </w:tcPr>
                <w:p w14:paraId="0587A95E">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r>
                    <w:rPr>
                      <w:rFonts w:hint="default" w:ascii="Times New Roman" w:hAnsi="Times New Roman" w:eastAsia="宋体" w:cs="Times New Roman"/>
                      <w:b w:val="0"/>
                      <w:bCs w:val="0"/>
                      <w:color w:val="auto"/>
                      <w:sz w:val="21"/>
                      <w:szCs w:val="21"/>
                      <w:u w:val="single"/>
                    </w:rPr>
                    <w:t>地面</w:t>
                  </w:r>
                </w:p>
              </w:tc>
              <w:tc>
                <w:tcPr>
                  <w:tcW w:w="3412" w:type="dxa"/>
                  <w:vMerge w:val="continue"/>
                  <w:vAlign w:val="center"/>
                </w:tcPr>
                <w:p w14:paraId="2C82A92D">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p>
              </w:tc>
            </w:tr>
            <w:tr w14:paraId="38EA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207" w:type="dxa"/>
                  <w:vMerge w:val="continue"/>
                  <w:vAlign w:val="center"/>
                </w:tcPr>
                <w:p w14:paraId="33A41FF6">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p>
              </w:tc>
              <w:tc>
                <w:tcPr>
                  <w:tcW w:w="1961" w:type="dxa"/>
                  <w:vAlign w:val="center"/>
                </w:tcPr>
                <w:p w14:paraId="5B9CEC6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u w:val="single"/>
                    </w:rPr>
                  </w:pPr>
                  <w:r>
                    <w:rPr>
                      <w:rFonts w:hint="eastAsia" w:ascii="Times New Roman" w:hAnsi="Times New Roman" w:eastAsia="宋体" w:cs="Times New Roman"/>
                      <w:b w:val="0"/>
                      <w:bCs w:val="0"/>
                      <w:color w:val="auto"/>
                      <w:sz w:val="21"/>
                      <w:szCs w:val="21"/>
                      <w:u w:val="single"/>
                      <w:lang w:val="en-US" w:eastAsia="zh-CN"/>
                    </w:rPr>
                    <w:t>1</w:t>
                  </w:r>
                  <w:r>
                    <w:rPr>
                      <w:rFonts w:hint="default" w:ascii="Times New Roman" w:hAnsi="Times New Roman" w:eastAsia="宋体" w:cs="Times New Roman"/>
                      <w:b w:val="0"/>
                      <w:bCs w:val="0"/>
                      <w:color w:val="auto"/>
                      <w:sz w:val="21"/>
                      <w:szCs w:val="21"/>
                      <w:u w:val="single"/>
                    </w:rPr>
                    <w:t>#室外作业操作棚</w:t>
                  </w:r>
                </w:p>
              </w:tc>
              <w:tc>
                <w:tcPr>
                  <w:tcW w:w="1117" w:type="dxa"/>
                  <w:vAlign w:val="center"/>
                </w:tcPr>
                <w:p w14:paraId="5BB029F5">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u w:val="single"/>
                    </w:rPr>
                  </w:pPr>
                </w:p>
              </w:tc>
              <w:tc>
                <w:tcPr>
                  <w:tcW w:w="3412" w:type="dxa"/>
                  <w:vMerge w:val="continue"/>
                  <w:vAlign w:val="center"/>
                </w:tcPr>
                <w:p w14:paraId="339AE4AA">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p>
              </w:tc>
            </w:tr>
            <w:tr w14:paraId="1041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207" w:type="dxa"/>
                  <w:vMerge w:val="continue"/>
                  <w:vAlign w:val="center"/>
                </w:tcPr>
                <w:p w14:paraId="0E5B8340">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p>
              </w:tc>
              <w:tc>
                <w:tcPr>
                  <w:tcW w:w="1961" w:type="dxa"/>
                  <w:vAlign w:val="center"/>
                </w:tcPr>
                <w:p w14:paraId="64F765D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u w:val="single"/>
                    </w:rPr>
                  </w:pPr>
                  <w:r>
                    <w:rPr>
                      <w:rFonts w:hint="default" w:ascii="Times New Roman" w:hAnsi="Times New Roman" w:eastAsia="宋体" w:cs="Times New Roman"/>
                      <w:b w:val="0"/>
                      <w:bCs w:val="0"/>
                      <w:color w:val="auto"/>
                      <w:sz w:val="21"/>
                      <w:szCs w:val="21"/>
                      <w:u w:val="single"/>
                    </w:rPr>
                    <w:t>2#室外作业操作棚</w:t>
                  </w:r>
                </w:p>
              </w:tc>
              <w:tc>
                <w:tcPr>
                  <w:tcW w:w="1117" w:type="dxa"/>
                  <w:vAlign w:val="center"/>
                </w:tcPr>
                <w:p w14:paraId="3DED4A60">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u w:val="single"/>
                    </w:rPr>
                  </w:pPr>
                  <w:r>
                    <w:rPr>
                      <w:rFonts w:hint="default" w:ascii="Times New Roman" w:hAnsi="Times New Roman" w:eastAsia="宋体" w:cs="Times New Roman"/>
                      <w:b w:val="0"/>
                      <w:bCs w:val="0"/>
                      <w:color w:val="auto"/>
                      <w:sz w:val="21"/>
                      <w:szCs w:val="21"/>
                      <w:u w:val="single"/>
                    </w:rPr>
                    <w:t>地面</w:t>
                  </w:r>
                </w:p>
              </w:tc>
              <w:tc>
                <w:tcPr>
                  <w:tcW w:w="3412" w:type="dxa"/>
                  <w:vMerge w:val="continue"/>
                  <w:vAlign w:val="center"/>
                </w:tcPr>
                <w:p w14:paraId="27816126">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p>
              </w:tc>
            </w:tr>
            <w:tr w14:paraId="3883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207" w:type="dxa"/>
                  <w:vMerge w:val="restart"/>
                  <w:vAlign w:val="center"/>
                </w:tcPr>
                <w:p w14:paraId="6CBC0B71">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r>
                    <w:rPr>
                      <w:rFonts w:hint="default" w:ascii="Times New Roman" w:hAnsi="Times New Roman" w:eastAsia="宋体" w:cs="Times New Roman"/>
                      <w:b w:val="0"/>
                      <w:bCs w:val="0"/>
                      <w:color w:val="auto"/>
                      <w:sz w:val="21"/>
                      <w:szCs w:val="21"/>
                      <w:u w:val="single"/>
                      <w:lang w:val="en-US" w:eastAsia="zh-CN"/>
                    </w:rPr>
                    <w:t>重点防渗区</w:t>
                  </w:r>
                </w:p>
              </w:tc>
              <w:tc>
                <w:tcPr>
                  <w:tcW w:w="1961" w:type="dxa"/>
                  <w:vAlign w:val="center"/>
                </w:tcPr>
                <w:p w14:paraId="45233F73">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r>
                    <w:rPr>
                      <w:rFonts w:hint="default" w:ascii="Times New Roman" w:hAnsi="Times New Roman" w:eastAsia="宋体" w:cs="Times New Roman"/>
                      <w:b w:val="0"/>
                      <w:bCs w:val="0"/>
                      <w:color w:val="auto"/>
                      <w:sz w:val="21"/>
                      <w:szCs w:val="21"/>
                      <w:u w:val="single"/>
                      <w:lang w:val="en-US" w:eastAsia="zh-CN"/>
                    </w:rPr>
                    <w:t>危险废物暂存间</w:t>
                  </w:r>
                </w:p>
              </w:tc>
              <w:tc>
                <w:tcPr>
                  <w:tcW w:w="1117" w:type="dxa"/>
                  <w:vMerge w:val="restart"/>
                  <w:vAlign w:val="center"/>
                </w:tcPr>
                <w:p w14:paraId="2885DCEC">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r>
                    <w:rPr>
                      <w:rFonts w:hint="default" w:ascii="Times New Roman" w:hAnsi="Times New Roman" w:eastAsia="宋体" w:cs="Times New Roman"/>
                      <w:b w:val="0"/>
                      <w:bCs w:val="0"/>
                      <w:color w:val="auto"/>
                      <w:sz w:val="21"/>
                      <w:szCs w:val="21"/>
                      <w:u w:val="single"/>
                    </w:rPr>
                    <w:t>地面</w:t>
                  </w:r>
                </w:p>
              </w:tc>
              <w:tc>
                <w:tcPr>
                  <w:tcW w:w="3412" w:type="dxa"/>
                  <w:vMerge w:val="restart"/>
                  <w:vAlign w:val="center"/>
                </w:tcPr>
                <w:p w14:paraId="243616DC">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auto"/>
                      <w:sz w:val="21"/>
                      <w:szCs w:val="21"/>
                      <w:highlight w:val="none"/>
                      <w:u w:val="single"/>
                      <w:lang w:val="zh-CN" w:eastAsia="zh-CN"/>
                    </w:rPr>
                  </w:pPr>
                  <w:r>
                    <w:rPr>
                      <w:rFonts w:hint="default" w:ascii="Times New Roman" w:hAnsi="Times New Roman" w:eastAsia="宋体" w:cs="Times New Roman"/>
                      <w:b w:val="0"/>
                      <w:bCs w:val="0"/>
                      <w:color w:val="auto"/>
                      <w:sz w:val="21"/>
                      <w:szCs w:val="21"/>
                      <w:u w:val="single"/>
                      <w:lang w:val="en-US" w:eastAsia="zh-CN"/>
                    </w:rPr>
                    <w:t>等效</w:t>
                  </w:r>
                  <w:r>
                    <w:rPr>
                      <w:rFonts w:hint="default" w:ascii="Times New Roman" w:hAnsi="Times New Roman" w:eastAsia="宋体" w:cs="Times New Roman"/>
                      <w:b w:val="0"/>
                      <w:bCs w:val="0"/>
                      <w:color w:val="auto"/>
                      <w:sz w:val="21"/>
                      <w:szCs w:val="21"/>
                      <w:u w:val="single"/>
                      <w:lang w:eastAsia="zh-CN"/>
                    </w:rPr>
                    <w:t>黏土防渗层Mb≥</w:t>
                  </w:r>
                  <w:r>
                    <w:rPr>
                      <w:rFonts w:hint="default" w:ascii="Times New Roman" w:hAnsi="Times New Roman" w:eastAsia="宋体" w:cs="Times New Roman"/>
                      <w:b w:val="0"/>
                      <w:bCs w:val="0"/>
                      <w:color w:val="auto"/>
                      <w:sz w:val="21"/>
                      <w:szCs w:val="21"/>
                      <w:u w:val="single"/>
                      <w:lang w:val="en-US" w:eastAsia="zh-CN"/>
                    </w:rPr>
                    <w:t>6</w:t>
                  </w:r>
                  <w:r>
                    <w:rPr>
                      <w:rFonts w:hint="default" w:ascii="Times New Roman" w:hAnsi="Times New Roman" w:eastAsia="宋体" w:cs="Times New Roman"/>
                      <w:b w:val="0"/>
                      <w:bCs w:val="0"/>
                      <w:color w:val="auto"/>
                      <w:sz w:val="21"/>
                      <w:szCs w:val="21"/>
                      <w:u w:val="single"/>
                      <w:lang w:eastAsia="zh-CN"/>
                    </w:rPr>
                    <w:t>m，</w:t>
                  </w:r>
                  <w:r>
                    <w:rPr>
                      <w:rFonts w:hint="default" w:ascii="Times New Roman" w:hAnsi="Times New Roman" w:eastAsia="宋体" w:cs="Times New Roman"/>
                      <w:b w:val="0"/>
                      <w:bCs w:val="0"/>
                      <w:color w:val="auto"/>
                      <w:sz w:val="21"/>
                      <w:szCs w:val="21"/>
                      <w:u w:val="single"/>
                      <w:lang w:val="en-US" w:eastAsia="zh-CN"/>
                    </w:rPr>
                    <w:t>渗透系数</w:t>
                  </w:r>
                  <w:r>
                    <w:rPr>
                      <w:rFonts w:hint="default" w:ascii="Times New Roman" w:hAnsi="Times New Roman" w:eastAsia="宋体" w:cs="Times New Roman"/>
                      <w:b w:val="0"/>
                      <w:bCs w:val="0"/>
                      <w:color w:val="auto"/>
                      <w:sz w:val="21"/>
                      <w:szCs w:val="21"/>
                      <w:u w:val="single"/>
                      <w:lang w:eastAsia="zh-CN"/>
                    </w:rPr>
                    <w:t>≤</w:t>
                  </w:r>
                  <w:r>
                    <w:rPr>
                      <w:rFonts w:hint="default" w:ascii="Times New Roman" w:hAnsi="Times New Roman" w:eastAsia="宋体" w:cs="Times New Roman"/>
                      <w:b w:val="0"/>
                      <w:bCs w:val="0"/>
                      <w:color w:val="auto"/>
                      <w:sz w:val="21"/>
                      <w:szCs w:val="21"/>
                      <w:u w:val="single"/>
                      <w:lang w:val="en-US" w:eastAsia="zh-CN"/>
                    </w:rPr>
                    <w:t>10</w:t>
                  </w:r>
                  <w:r>
                    <w:rPr>
                      <w:rFonts w:hint="default" w:ascii="Times New Roman" w:hAnsi="Times New Roman" w:eastAsia="宋体" w:cs="Times New Roman"/>
                      <w:b w:val="0"/>
                      <w:bCs w:val="0"/>
                      <w:color w:val="auto"/>
                      <w:sz w:val="21"/>
                      <w:szCs w:val="21"/>
                      <w:u w:val="single"/>
                      <w:vertAlign w:val="superscript"/>
                      <w:lang w:val="en-US" w:eastAsia="zh-CN"/>
                    </w:rPr>
                    <w:t>-7</w:t>
                  </w:r>
                  <w:r>
                    <w:rPr>
                      <w:rFonts w:hint="default" w:ascii="Times New Roman" w:hAnsi="Times New Roman" w:eastAsia="宋体" w:cs="Times New Roman"/>
                      <w:b w:val="0"/>
                      <w:bCs w:val="0"/>
                      <w:color w:val="auto"/>
                      <w:sz w:val="21"/>
                      <w:szCs w:val="21"/>
                      <w:u w:val="single"/>
                      <w:lang w:val="en-US" w:eastAsia="zh-CN"/>
                    </w:rPr>
                    <w:t>cm/s</w:t>
                  </w:r>
                  <w:r>
                    <w:rPr>
                      <w:rFonts w:hint="default" w:ascii="Times New Roman" w:hAnsi="Times New Roman" w:eastAsia="宋体" w:cs="Times New Roman"/>
                      <w:b w:val="0"/>
                      <w:bCs w:val="0"/>
                      <w:color w:val="auto"/>
                      <w:sz w:val="21"/>
                      <w:szCs w:val="21"/>
                      <w:u w:val="single"/>
                      <w:lang w:eastAsia="zh-CN"/>
                    </w:rPr>
                    <w:t>；或参照</w:t>
                  </w:r>
                  <w:r>
                    <w:rPr>
                      <w:rFonts w:hint="default" w:ascii="Times New Roman" w:hAnsi="Times New Roman" w:eastAsia="宋体" w:cs="Times New Roman"/>
                      <w:b w:val="0"/>
                      <w:bCs w:val="0"/>
                      <w:color w:val="auto"/>
                      <w:sz w:val="21"/>
                      <w:szCs w:val="21"/>
                      <w:u w:val="single"/>
                      <w:lang w:val="en-US" w:eastAsia="zh-CN"/>
                    </w:rPr>
                    <w:t>GB18598执行</w:t>
                  </w:r>
                </w:p>
              </w:tc>
            </w:tr>
            <w:tr w14:paraId="3502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7" w:type="dxa"/>
                  <w:vMerge w:val="continue"/>
                  <w:vAlign w:val="center"/>
                </w:tcPr>
                <w:p w14:paraId="7CC2B746">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u w:val="single"/>
                      <w:lang w:val="en-US" w:eastAsia="zh-CN"/>
                    </w:rPr>
                  </w:pPr>
                </w:p>
              </w:tc>
              <w:tc>
                <w:tcPr>
                  <w:tcW w:w="1961" w:type="dxa"/>
                  <w:vAlign w:val="center"/>
                </w:tcPr>
                <w:p w14:paraId="5FDD1448">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rPr>
                    <w:t>生产车间</w:t>
                  </w:r>
                  <w:r>
                    <w:rPr>
                      <w:rFonts w:hint="eastAsia" w:hAnsi="Times New Roman" w:cs="Times New Roman"/>
                      <w:b w:val="0"/>
                      <w:bCs w:val="0"/>
                      <w:color w:val="auto"/>
                      <w:sz w:val="21"/>
                      <w:szCs w:val="21"/>
                      <w:u w:val="single"/>
                      <w:lang w:val="en-US" w:eastAsia="zh-CN"/>
                    </w:rPr>
                    <w:t>1#</w:t>
                  </w:r>
                </w:p>
              </w:tc>
              <w:tc>
                <w:tcPr>
                  <w:tcW w:w="1117" w:type="dxa"/>
                  <w:vMerge w:val="continue"/>
                  <w:vAlign w:val="center"/>
                </w:tcPr>
                <w:p w14:paraId="0A1F8FD2">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u w:val="single"/>
                    </w:rPr>
                  </w:pPr>
                </w:p>
              </w:tc>
              <w:tc>
                <w:tcPr>
                  <w:tcW w:w="3412" w:type="dxa"/>
                  <w:vMerge w:val="continue"/>
                  <w:vAlign w:val="center"/>
                </w:tcPr>
                <w:p w14:paraId="0887569F">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u w:val="single"/>
                      <w:lang w:val="en-US" w:eastAsia="zh-CN"/>
                    </w:rPr>
                  </w:pPr>
                </w:p>
              </w:tc>
            </w:tr>
          </w:tbl>
          <w:p w14:paraId="620A906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leftChars="0"/>
              <w:textAlignment w:val="baseline"/>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6、运营期环境风险影响及防范措施</w:t>
            </w:r>
          </w:p>
          <w:p w14:paraId="6CC5C56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根据《建设项目环境影响报告表编制技术指南》（污染影响类）（试行），应明确有毒有害和易燃易爆等危险物质和风险源分布情况及可能影响途径，并提出相应环境风险防范措施。</w:t>
            </w:r>
          </w:p>
          <w:p w14:paraId="4A0AD6E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textAlignment w:val="baseline"/>
              <w:rPr>
                <w:rFonts w:hint="default" w:ascii="Times New Roman" w:hAnsi="Times New Roman" w:eastAsia="宋体" w:cs="Times New Roman"/>
                <w:b/>
                <w:bCs/>
                <w:color w:val="auto"/>
                <w:sz w:val="24"/>
                <w:szCs w:val="22"/>
                <w:highlight w:val="none"/>
                <w:lang w:val="en-US" w:eastAsia="zh-CN"/>
              </w:rPr>
            </w:pPr>
            <w:r>
              <w:rPr>
                <w:rFonts w:hint="eastAsia" w:ascii="Times New Roman" w:hAnsi="Times New Roman" w:eastAsia="宋体" w:cs="Times New Roman"/>
                <w:b/>
                <w:bCs/>
                <w:color w:val="auto"/>
                <w:sz w:val="24"/>
                <w:szCs w:val="22"/>
                <w:highlight w:val="none"/>
                <w:lang w:val="en-US" w:eastAsia="zh-CN"/>
              </w:rPr>
              <w:t>6.1</w:t>
            </w:r>
            <w:r>
              <w:rPr>
                <w:rFonts w:hint="default" w:ascii="Times New Roman" w:hAnsi="Times New Roman" w:eastAsia="宋体" w:cs="Times New Roman"/>
                <w:b/>
                <w:bCs/>
                <w:color w:val="auto"/>
                <w:sz w:val="24"/>
                <w:szCs w:val="22"/>
                <w:highlight w:val="none"/>
                <w:lang w:val="en-US" w:eastAsia="zh-CN"/>
              </w:rPr>
              <w:t>主要危险物质识别及分布情况</w:t>
            </w:r>
          </w:p>
          <w:p w14:paraId="37BF8CE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根据《建设项目环境风险评价技术导则》</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HJ 169</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2018</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附录B，对照生产过程中所涉及的原料及成品，废机油、废切削液为表列环境事件风险物质，理化性质见表</w:t>
            </w:r>
            <w:r>
              <w:rPr>
                <w:rFonts w:hint="eastAsia" w:ascii="Times New Roman" w:hAnsi="Times New Roman" w:eastAsia="宋体" w:cs="Times New Roman"/>
                <w:b w:val="0"/>
                <w:bCs w:val="0"/>
                <w:color w:val="auto"/>
                <w:sz w:val="24"/>
                <w:szCs w:val="22"/>
                <w:highlight w:val="none"/>
                <w:lang w:val="en-US" w:eastAsia="zh-CN"/>
              </w:rPr>
              <w:t>2-5</w:t>
            </w:r>
            <w:r>
              <w:rPr>
                <w:rFonts w:hint="default" w:ascii="Times New Roman" w:hAnsi="Times New Roman" w:eastAsia="宋体" w:cs="Times New Roman"/>
                <w:b w:val="0"/>
                <w:bCs w:val="0"/>
                <w:color w:val="auto"/>
                <w:sz w:val="24"/>
                <w:szCs w:val="22"/>
                <w:highlight w:val="none"/>
                <w:lang w:val="en-US" w:eastAsia="zh-CN"/>
              </w:rPr>
              <w:t>。</w:t>
            </w:r>
          </w:p>
          <w:p w14:paraId="5E7F131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本项目核算厂区车间及危废暂存间内最大储存量，风险物质数量、临界量及其比值（Q）见下表。</w:t>
            </w:r>
          </w:p>
          <w:p w14:paraId="3BE8EF72">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jc w:val="center"/>
              <w:textAlignment w:val="baseline"/>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表4-</w:t>
            </w:r>
            <w:r>
              <w:rPr>
                <w:rFonts w:hint="eastAsia" w:cs="Times New Roman"/>
                <w:color w:val="auto"/>
                <w:kern w:val="2"/>
                <w:sz w:val="21"/>
                <w:szCs w:val="21"/>
                <w:highlight w:val="none"/>
                <w:u w:val="single"/>
                <w:lang w:val="en-US" w:eastAsia="zh-CN" w:bidi="ar-SA"/>
              </w:rPr>
              <w:t>17</w:t>
            </w:r>
            <w:r>
              <w:rPr>
                <w:rFonts w:hint="eastAsia" w:ascii="Times New Roman" w:hAnsi="Times New Roman" w:eastAsia="宋体" w:cs="Times New Roman"/>
                <w:color w:val="auto"/>
                <w:kern w:val="2"/>
                <w:sz w:val="21"/>
                <w:szCs w:val="21"/>
                <w:highlight w:val="none"/>
                <w:u w:val="single"/>
                <w:lang w:val="en-US" w:eastAsia="zh-CN" w:bidi="ar-SA"/>
              </w:rPr>
              <w:t xml:space="preserve">   </w:t>
            </w:r>
            <w:r>
              <w:rPr>
                <w:rFonts w:hint="default" w:ascii="Times New Roman" w:hAnsi="Times New Roman" w:eastAsia="宋体" w:cs="Times New Roman"/>
                <w:color w:val="auto"/>
                <w:kern w:val="2"/>
                <w:sz w:val="21"/>
                <w:szCs w:val="21"/>
                <w:highlight w:val="none"/>
                <w:u w:val="single"/>
                <w:lang w:val="en-US" w:eastAsia="zh-CN" w:bidi="ar-SA"/>
              </w:rPr>
              <w:t>厂界风险物质数量、临界量及其比值（Q）</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960"/>
              <w:gridCol w:w="1714"/>
              <w:gridCol w:w="1379"/>
              <w:gridCol w:w="1754"/>
            </w:tblGrid>
            <w:tr w14:paraId="42F3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571" w:type="pct"/>
                  <w:tcBorders>
                    <w:tl2br w:val="nil"/>
                    <w:tr2bl w:val="nil"/>
                  </w:tcBorders>
                  <w:noWrap w:val="0"/>
                  <w:vAlign w:val="center"/>
                </w:tcPr>
                <w:p w14:paraId="4AC76A02">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firstLine="208" w:firstLineChars="100"/>
                    <w:textAlignment w:val="auto"/>
                    <w:rPr>
                      <w:rFonts w:hint="default" w:ascii="Times New Roman" w:hAnsi="Times New Roman" w:eastAsia="宋体" w:cs="Times New Roman"/>
                      <w:color w:val="auto"/>
                      <w:spacing w:val="-1"/>
                      <w:kern w:val="0"/>
                      <w:sz w:val="21"/>
                      <w:szCs w:val="21"/>
                      <w:highlight w:val="none"/>
                      <w:u w:val="single"/>
                    </w:rPr>
                  </w:pPr>
                  <w:r>
                    <w:rPr>
                      <w:rFonts w:hint="default" w:ascii="Times New Roman" w:hAnsi="Times New Roman" w:eastAsia="宋体" w:cs="Times New Roman"/>
                      <w:color w:val="auto"/>
                      <w:spacing w:val="-1"/>
                      <w:kern w:val="0"/>
                      <w:sz w:val="21"/>
                      <w:szCs w:val="21"/>
                      <w:highlight w:val="none"/>
                      <w:u w:val="single"/>
                    </w:rPr>
                    <w:t>序号</w:t>
                  </w:r>
                </w:p>
              </w:tc>
              <w:tc>
                <w:tcPr>
                  <w:tcW w:w="1275" w:type="pct"/>
                  <w:tcBorders>
                    <w:tl2br w:val="nil"/>
                    <w:tr2bl w:val="nil"/>
                  </w:tcBorders>
                  <w:noWrap w:val="0"/>
                  <w:vAlign w:val="center"/>
                </w:tcPr>
                <w:p w14:paraId="73F00F75">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1"/>
                      <w:kern w:val="0"/>
                      <w:sz w:val="21"/>
                      <w:szCs w:val="21"/>
                      <w:highlight w:val="none"/>
                      <w:u w:val="single"/>
                      <w:lang w:eastAsia="zh-CN"/>
                    </w:rPr>
                  </w:pPr>
                  <w:r>
                    <w:rPr>
                      <w:rFonts w:hint="default" w:ascii="Times New Roman" w:hAnsi="Times New Roman" w:cs="Times New Roman"/>
                      <w:color w:val="auto"/>
                      <w:spacing w:val="-1"/>
                      <w:kern w:val="0"/>
                      <w:sz w:val="21"/>
                      <w:szCs w:val="21"/>
                      <w:highlight w:val="none"/>
                      <w:u w:val="single"/>
                      <w:lang w:eastAsia="zh-CN"/>
                    </w:rPr>
                    <w:t>危险物质</w:t>
                  </w:r>
                </w:p>
              </w:tc>
              <w:tc>
                <w:tcPr>
                  <w:tcW w:w="1115" w:type="pct"/>
                  <w:tcBorders>
                    <w:tl2br w:val="nil"/>
                    <w:tr2bl w:val="nil"/>
                  </w:tcBorders>
                  <w:noWrap w:val="0"/>
                  <w:vAlign w:val="center"/>
                </w:tcPr>
                <w:p w14:paraId="48F65204">
                  <w:pPr>
                    <w:pStyle w:val="10"/>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textAlignment w:val="auto"/>
                    <w:rPr>
                      <w:rFonts w:hint="default" w:ascii="Times New Roman" w:hAnsi="Times New Roman" w:cs="Times New Roman"/>
                      <w:b w:val="0"/>
                      <w:color w:val="auto"/>
                      <w:spacing w:val="-1"/>
                      <w:kern w:val="0"/>
                      <w:sz w:val="21"/>
                      <w:szCs w:val="21"/>
                      <w:highlight w:val="none"/>
                      <w:u w:val="single"/>
                    </w:rPr>
                  </w:pPr>
                  <w:r>
                    <w:rPr>
                      <w:rFonts w:hint="default" w:ascii="Times New Roman" w:hAnsi="Times New Roman" w:cs="Times New Roman"/>
                      <w:b w:val="0"/>
                      <w:color w:val="auto"/>
                      <w:spacing w:val="-1"/>
                      <w:kern w:val="0"/>
                      <w:sz w:val="21"/>
                      <w:szCs w:val="21"/>
                      <w:highlight w:val="none"/>
                      <w:u w:val="single"/>
                    </w:rPr>
                    <w:t>最大储存量</w:t>
                  </w:r>
                  <w:r>
                    <w:rPr>
                      <w:rFonts w:hint="eastAsia" w:ascii="Times New Roman" w:hAnsi="Times New Roman" w:cs="Times New Roman"/>
                      <w:b w:val="0"/>
                      <w:color w:val="auto"/>
                      <w:spacing w:val="-1"/>
                      <w:kern w:val="0"/>
                      <w:sz w:val="21"/>
                      <w:szCs w:val="21"/>
                      <w:highlight w:val="none"/>
                      <w:u w:val="single"/>
                      <w:lang w:val="en-US" w:eastAsia="zh-CN"/>
                    </w:rPr>
                    <w:t>/</w:t>
                  </w:r>
                  <w:r>
                    <w:rPr>
                      <w:rFonts w:hint="default" w:ascii="Times New Roman" w:hAnsi="Times New Roman" w:cs="Times New Roman"/>
                      <w:b w:val="0"/>
                      <w:color w:val="auto"/>
                      <w:spacing w:val="-1"/>
                      <w:kern w:val="0"/>
                      <w:sz w:val="21"/>
                      <w:szCs w:val="21"/>
                      <w:highlight w:val="none"/>
                      <w:u w:val="single"/>
                    </w:rPr>
                    <w:t>t</w:t>
                  </w:r>
                </w:p>
              </w:tc>
              <w:tc>
                <w:tcPr>
                  <w:tcW w:w="896" w:type="pct"/>
                  <w:tcBorders>
                    <w:tl2br w:val="nil"/>
                    <w:tr2bl w:val="nil"/>
                  </w:tcBorders>
                  <w:noWrap w:val="0"/>
                  <w:vAlign w:val="center"/>
                </w:tcPr>
                <w:p w14:paraId="7F8790F0">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1"/>
                      <w:kern w:val="0"/>
                      <w:sz w:val="21"/>
                      <w:szCs w:val="21"/>
                      <w:highlight w:val="none"/>
                      <w:u w:val="single"/>
                    </w:rPr>
                  </w:pPr>
                  <w:r>
                    <w:rPr>
                      <w:rFonts w:hint="default" w:ascii="Times New Roman" w:hAnsi="Times New Roman" w:eastAsia="宋体" w:cs="Times New Roman"/>
                      <w:color w:val="auto"/>
                      <w:spacing w:val="-1"/>
                      <w:kern w:val="0"/>
                      <w:sz w:val="21"/>
                      <w:szCs w:val="21"/>
                      <w:highlight w:val="none"/>
                      <w:u w:val="single"/>
                    </w:rPr>
                    <w:t>临界量</w:t>
                  </w:r>
                  <w:r>
                    <w:rPr>
                      <w:rFonts w:hint="eastAsia" w:ascii="Times New Roman" w:hAnsi="Times New Roman" w:eastAsia="宋体" w:cs="Times New Roman"/>
                      <w:color w:val="auto"/>
                      <w:spacing w:val="-1"/>
                      <w:kern w:val="0"/>
                      <w:sz w:val="21"/>
                      <w:szCs w:val="21"/>
                      <w:highlight w:val="none"/>
                      <w:u w:val="single"/>
                      <w:lang w:val="en-US" w:eastAsia="zh-CN"/>
                    </w:rPr>
                    <w:t>/</w:t>
                  </w:r>
                  <w:r>
                    <w:rPr>
                      <w:rFonts w:hint="default" w:ascii="Times New Roman" w:hAnsi="Times New Roman" w:eastAsia="宋体" w:cs="Times New Roman"/>
                      <w:color w:val="auto"/>
                      <w:spacing w:val="-1"/>
                      <w:kern w:val="0"/>
                      <w:sz w:val="21"/>
                      <w:szCs w:val="21"/>
                      <w:highlight w:val="none"/>
                      <w:u w:val="single"/>
                    </w:rPr>
                    <w:t>t</w:t>
                  </w:r>
                </w:p>
              </w:tc>
              <w:tc>
                <w:tcPr>
                  <w:tcW w:w="1141" w:type="pct"/>
                  <w:tcBorders>
                    <w:tl2br w:val="nil"/>
                    <w:tr2bl w:val="nil"/>
                  </w:tcBorders>
                  <w:noWrap w:val="0"/>
                  <w:vAlign w:val="center"/>
                </w:tcPr>
                <w:p w14:paraId="5A49C8C2">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pacing w:val="-1"/>
                      <w:kern w:val="0"/>
                      <w:sz w:val="21"/>
                      <w:szCs w:val="21"/>
                      <w:highlight w:val="none"/>
                      <w:u w:val="single"/>
                    </w:rPr>
                  </w:pPr>
                  <w:r>
                    <w:rPr>
                      <w:rFonts w:hint="default" w:ascii="Times New Roman" w:hAnsi="Times New Roman" w:cs="Times New Roman"/>
                      <w:color w:val="auto"/>
                      <w:spacing w:val="-1"/>
                      <w:kern w:val="0"/>
                      <w:sz w:val="21"/>
                      <w:szCs w:val="21"/>
                      <w:highlight w:val="none"/>
                      <w:u w:val="single"/>
                      <w:lang w:eastAsia="zh-CN"/>
                    </w:rPr>
                    <w:t>该种物质</w:t>
                  </w:r>
                  <w:r>
                    <w:rPr>
                      <w:rFonts w:hint="default" w:ascii="Times New Roman" w:hAnsi="Times New Roman" w:eastAsia="宋体" w:cs="Times New Roman"/>
                      <w:color w:val="auto"/>
                      <w:spacing w:val="-1"/>
                      <w:kern w:val="0"/>
                      <w:sz w:val="21"/>
                      <w:szCs w:val="21"/>
                      <w:highlight w:val="none"/>
                      <w:u w:val="single"/>
                    </w:rPr>
                    <w:t>Q值</w:t>
                  </w:r>
                </w:p>
              </w:tc>
            </w:tr>
            <w:tr w14:paraId="7457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71" w:type="pct"/>
                  <w:tcBorders>
                    <w:tl2br w:val="nil"/>
                    <w:tr2bl w:val="nil"/>
                  </w:tcBorders>
                  <w:noWrap w:val="0"/>
                  <w:vAlign w:val="center"/>
                </w:tcPr>
                <w:p w14:paraId="6DCA3886">
                  <w:pPr>
                    <w:keepNext w:val="0"/>
                    <w:keepLines w:val="0"/>
                    <w:pageBreakBefore w:val="0"/>
                    <w:widowControl w:val="0"/>
                    <w:tabs>
                      <w:tab w:val="left" w:pos="210"/>
                    </w:tabs>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color w:val="auto"/>
                      <w:spacing w:val="-1"/>
                      <w:kern w:val="0"/>
                      <w:sz w:val="21"/>
                      <w:szCs w:val="21"/>
                      <w:highlight w:val="none"/>
                      <w:u w:val="single"/>
                      <w:lang w:val="en-US" w:eastAsia="zh-CN"/>
                    </w:rPr>
                  </w:pPr>
                  <w:r>
                    <w:rPr>
                      <w:rFonts w:hint="default" w:ascii="Times New Roman" w:hAnsi="Times New Roman" w:cs="Times New Roman"/>
                      <w:color w:val="auto"/>
                      <w:spacing w:val="-1"/>
                      <w:kern w:val="0"/>
                      <w:sz w:val="21"/>
                      <w:szCs w:val="21"/>
                      <w:highlight w:val="none"/>
                      <w:u w:val="single"/>
                      <w:lang w:val="en-US" w:eastAsia="zh-CN"/>
                    </w:rPr>
                    <w:t>1</w:t>
                  </w:r>
                </w:p>
              </w:tc>
              <w:tc>
                <w:tcPr>
                  <w:tcW w:w="1275" w:type="pct"/>
                  <w:tcBorders>
                    <w:tl2br w:val="nil"/>
                    <w:tr2bl w:val="nil"/>
                  </w:tcBorders>
                  <w:noWrap w:val="0"/>
                  <w:vAlign w:val="center"/>
                </w:tcPr>
                <w:p w14:paraId="54D20DE3">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color w:val="auto"/>
                      <w:spacing w:val="-1"/>
                      <w:kern w:val="0"/>
                      <w:sz w:val="21"/>
                      <w:szCs w:val="21"/>
                      <w:highlight w:val="none"/>
                      <w:u w:val="single"/>
                      <w:lang w:val="en-US" w:eastAsia="zh-CN"/>
                    </w:rPr>
                  </w:pPr>
                  <w:r>
                    <w:rPr>
                      <w:rFonts w:hint="default" w:ascii="Times New Roman" w:hAnsi="Times New Roman" w:cs="Times New Roman"/>
                      <w:color w:val="auto"/>
                      <w:spacing w:val="-1"/>
                      <w:kern w:val="0"/>
                      <w:sz w:val="21"/>
                      <w:szCs w:val="21"/>
                      <w:highlight w:val="none"/>
                      <w:u w:val="single"/>
                      <w:lang w:val="en-US" w:eastAsia="zh-CN"/>
                    </w:rPr>
                    <w:t>机油</w:t>
                  </w:r>
                </w:p>
              </w:tc>
              <w:tc>
                <w:tcPr>
                  <w:tcW w:w="1115" w:type="pct"/>
                  <w:tcBorders>
                    <w:tl2br w:val="nil"/>
                    <w:tr2bl w:val="nil"/>
                  </w:tcBorders>
                  <w:noWrap w:val="0"/>
                  <w:vAlign w:val="center"/>
                </w:tcPr>
                <w:p w14:paraId="24EE2B49">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Cs/>
                      <w:color w:val="auto"/>
                      <w:kern w:val="0"/>
                      <w:sz w:val="21"/>
                      <w:szCs w:val="21"/>
                      <w:highlight w:val="none"/>
                      <w:u w:val="single"/>
                      <w:lang w:val="en-US" w:eastAsia="zh-CN"/>
                    </w:rPr>
                  </w:pPr>
                  <w:r>
                    <w:rPr>
                      <w:rFonts w:hint="eastAsia" w:ascii="Times New Roman" w:hAnsi="Times New Roman" w:cs="Times New Roman"/>
                      <w:bCs/>
                      <w:color w:val="auto"/>
                      <w:kern w:val="0"/>
                      <w:sz w:val="21"/>
                      <w:szCs w:val="21"/>
                      <w:highlight w:val="none"/>
                      <w:u w:val="single"/>
                      <w:lang w:val="en-US" w:eastAsia="zh-CN"/>
                    </w:rPr>
                    <w:t>0.02</w:t>
                  </w:r>
                </w:p>
              </w:tc>
              <w:tc>
                <w:tcPr>
                  <w:tcW w:w="896" w:type="pct"/>
                  <w:tcBorders>
                    <w:tl2br w:val="nil"/>
                    <w:tr2bl w:val="nil"/>
                  </w:tcBorders>
                  <w:noWrap w:val="0"/>
                  <w:vAlign w:val="center"/>
                </w:tcPr>
                <w:p w14:paraId="08A09395">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Cs/>
                      <w:color w:val="auto"/>
                      <w:kern w:val="0"/>
                      <w:sz w:val="21"/>
                      <w:szCs w:val="21"/>
                      <w:highlight w:val="none"/>
                      <w:u w:val="single"/>
                      <w:lang w:val="en-US" w:eastAsia="zh-CN"/>
                    </w:rPr>
                  </w:pPr>
                  <w:r>
                    <w:rPr>
                      <w:rFonts w:hint="default" w:ascii="Times New Roman" w:hAnsi="Times New Roman" w:cs="Times New Roman"/>
                      <w:bCs/>
                      <w:color w:val="auto"/>
                      <w:kern w:val="0"/>
                      <w:sz w:val="21"/>
                      <w:szCs w:val="21"/>
                      <w:highlight w:val="none"/>
                      <w:u w:val="single"/>
                      <w:lang w:val="en-US" w:eastAsia="zh-CN"/>
                    </w:rPr>
                    <w:t>2500</w:t>
                  </w:r>
                </w:p>
              </w:tc>
              <w:tc>
                <w:tcPr>
                  <w:tcW w:w="1754" w:type="dxa"/>
                  <w:tcBorders>
                    <w:tl2br w:val="nil"/>
                    <w:tr2bl w:val="nil"/>
                  </w:tcBorders>
                  <w:noWrap w:val="0"/>
                  <w:vAlign w:val="center"/>
                </w:tcPr>
                <w:p w14:paraId="198A79F5">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Cs/>
                      <w:color w:val="auto"/>
                      <w:kern w:val="0"/>
                      <w:sz w:val="21"/>
                      <w:szCs w:val="21"/>
                      <w:highlight w:val="none"/>
                      <w:u w:val="single"/>
                      <w:lang w:val="en-US" w:eastAsia="zh-CN"/>
                    </w:rPr>
                  </w:pPr>
                  <w:r>
                    <w:rPr>
                      <w:rFonts w:hint="eastAsia" w:ascii="Times New Roman" w:hAnsi="Times New Roman" w:eastAsia="宋体" w:cs="Times New Roman"/>
                      <w:bCs/>
                      <w:color w:val="auto"/>
                      <w:kern w:val="0"/>
                      <w:sz w:val="21"/>
                      <w:szCs w:val="21"/>
                      <w:highlight w:val="none"/>
                      <w:u w:val="single"/>
                      <w:lang w:val="en-US" w:eastAsia="zh-CN"/>
                    </w:rPr>
                    <w:t>8.00E-06</w:t>
                  </w:r>
                </w:p>
              </w:tc>
            </w:tr>
            <w:tr w14:paraId="1F9B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71" w:type="pct"/>
                  <w:tcBorders>
                    <w:tl2br w:val="nil"/>
                    <w:tr2bl w:val="nil"/>
                  </w:tcBorders>
                  <w:noWrap w:val="0"/>
                  <w:vAlign w:val="center"/>
                </w:tcPr>
                <w:p w14:paraId="3164D94F">
                  <w:pPr>
                    <w:keepNext w:val="0"/>
                    <w:keepLines w:val="0"/>
                    <w:pageBreakBefore w:val="0"/>
                    <w:widowControl w:val="0"/>
                    <w:tabs>
                      <w:tab w:val="left" w:pos="210"/>
                    </w:tabs>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color w:val="auto"/>
                      <w:spacing w:val="-1"/>
                      <w:kern w:val="0"/>
                      <w:sz w:val="21"/>
                      <w:szCs w:val="21"/>
                      <w:highlight w:val="none"/>
                      <w:u w:val="single"/>
                      <w:lang w:val="en-US" w:eastAsia="zh-CN"/>
                    </w:rPr>
                  </w:pPr>
                  <w:r>
                    <w:rPr>
                      <w:rFonts w:hint="default" w:ascii="Times New Roman" w:hAnsi="Times New Roman" w:cs="Times New Roman"/>
                      <w:color w:val="auto"/>
                      <w:spacing w:val="-1"/>
                      <w:kern w:val="0"/>
                      <w:sz w:val="21"/>
                      <w:szCs w:val="21"/>
                      <w:highlight w:val="none"/>
                      <w:u w:val="single"/>
                      <w:lang w:val="en-US" w:eastAsia="zh-CN"/>
                    </w:rPr>
                    <w:t>2</w:t>
                  </w:r>
                </w:p>
              </w:tc>
              <w:tc>
                <w:tcPr>
                  <w:tcW w:w="1275" w:type="pct"/>
                  <w:tcBorders>
                    <w:tl2br w:val="nil"/>
                    <w:tr2bl w:val="nil"/>
                  </w:tcBorders>
                  <w:noWrap w:val="0"/>
                  <w:vAlign w:val="center"/>
                </w:tcPr>
                <w:p w14:paraId="7AEFC2AE">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color w:val="auto"/>
                      <w:spacing w:val="-1"/>
                      <w:kern w:val="0"/>
                      <w:sz w:val="21"/>
                      <w:szCs w:val="21"/>
                      <w:highlight w:val="none"/>
                      <w:u w:val="single"/>
                      <w:lang w:val="en-US" w:eastAsia="zh-CN"/>
                    </w:rPr>
                  </w:pPr>
                  <w:r>
                    <w:rPr>
                      <w:rFonts w:hint="default" w:ascii="Times New Roman" w:hAnsi="Times New Roman" w:cs="Times New Roman"/>
                      <w:color w:val="auto"/>
                      <w:spacing w:val="-1"/>
                      <w:kern w:val="0"/>
                      <w:sz w:val="21"/>
                      <w:szCs w:val="21"/>
                      <w:highlight w:val="none"/>
                      <w:u w:val="single"/>
                      <w:lang w:val="en-US" w:eastAsia="zh-CN"/>
                    </w:rPr>
                    <w:t>切削液</w:t>
                  </w:r>
                </w:p>
              </w:tc>
              <w:tc>
                <w:tcPr>
                  <w:tcW w:w="1115" w:type="pct"/>
                  <w:tcBorders>
                    <w:tl2br w:val="nil"/>
                    <w:tr2bl w:val="nil"/>
                  </w:tcBorders>
                  <w:noWrap w:val="0"/>
                  <w:vAlign w:val="center"/>
                </w:tcPr>
                <w:p w14:paraId="29FCCA37">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Cs/>
                      <w:color w:val="auto"/>
                      <w:kern w:val="0"/>
                      <w:sz w:val="21"/>
                      <w:szCs w:val="21"/>
                      <w:highlight w:val="none"/>
                      <w:u w:val="single"/>
                      <w:lang w:val="en-US" w:eastAsia="zh-CN"/>
                    </w:rPr>
                  </w:pPr>
                  <w:r>
                    <w:rPr>
                      <w:rFonts w:hint="eastAsia" w:cs="Times New Roman"/>
                      <w:bCs/>
                      <w:color w:val="auto"/>
                      <w:kern w:val="0"/>
                      <w:sz w:val="21"/>
                      <w:szCs w:val="21"/>
                      <w:highlight w:val="none"/>
                      <w:u w:val="single"/>
                      <w:lang w:val="en-US" w:eastAsia="zh-CN"/>
                    </w:rPr>
                    <w:t>0.2</w:t>
                  </w:r>
                </w:p>
              </w:tc>
              <w:tc>
                <w:tcPr>
                  <w:tcW w:w="896" w:type="pct"/>
                  <w:tcBorders>
                    <w:tl2br w:val="nil"/>
                    <w:tr2bl w:val="nil"/>
                  </w:tcBorders>
                  <w:noWrap w:val="0"/>
                  <w:vAlign w:val="center"/>
                </w:tcPr>
                <w:p w14:paraId="1001088F">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Cs/>
                      <w:color w:val="auto"/>
                      <w:kern w:val="0"/>
                      <w:sz w:val="21"/>
                      <w:szCs w:val="21"/>
                      <w:highlight w:val="none"/>
                      <w:u w:val="single"/>
                      <w:lang w:val="en-US" w:eastAsia="zh-CN"/>
                    </w:rPr>
                  </w:pPr>
                  <w:r>
                    <w:rPr>
                      <w:rFonts w:hint="default" w:ascii="Times New Roman" w:hAnsi="Times New Roman" w:cs="Times New Roman"/>
                      <w:bCs/>
                      <w:color w:val="auto"/>
                      <w:kern w:val="0"/>
                      <w:sz w:val="21"/>
                      <w:szCs w:val="21"/>
                      <w:highlight w:val="none"/>
                      <w:u w:val="single"/>
                      <w:lang w:val="en-US" w:eastAsia="zh-CN"/>
                    </w:rPr>
                    <w:t>2500</w:t>
                  </w:r>
                </w:p>
              </w:tc>
              <w:tc>
                <w:tcPr>
                  <w:tcW w:w="1754" w:type="dxa"/>
                  <w:tcBorders>
                    <w:tl2br w:val="nil"/>
                    <w:tr2bl w:val="nil"/>
                  </w:tcBorders>
                  <w:noWrap w:val="0"/>
                  <w:vAlign w:val="center"/>
                </w:tcPr>
                <w:p w14:paraId="607A3F93">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Cs/>
                      <w:color w:val="auto"/>
                      <w:kern w:val="0"/>
                      <w:sz w:val="21"/>
                      <w:szCs w:val="21"/>
                      <w:highlight w:val="none"/>
                      <w:u w:val="single"/>
                      <w:lang w:val="en-US" w:eastAsia="zh-CN"/>
                    </w:rPr>
                  </w:pPr>
                  <w:r>
                    <w:rPr>
                      <w:rFonts w:hint="eastAsia" w:ascii="Times New Roman" w:hAnsi="Times New Roman" w:eastAsia="宋体" w:cs="Times New Roman"/>
                      <w:bCs/>
                      <w:color w:val="auto"/>
                      <w:kern w:val="0"/>
                      <w:sz w:val="21"/>
                      <w:szCs w:val="21"/>
                      <w:highlight w:val="none"/>
                      <w:u w:val="single"/>
                      <w:lang w:val="en-US" w:eastAsia="zh-CN"/>
                    </w:rPr>
                    <w:t>8.00E-05</w:t>
                  </w:r>
                </w:p>
              </w:tc>
            </w:tr>
            <w:tr w14:paraId="0C16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71" w:type="pct"/>
                  <w:tcBorders>
                    <w:tl2br w:val="nil"/>
                    <w:tr2bl w:val="nil"/>
                  </w:tcBorders>
                  <w:noWrap w:val="0"/>
                  <w:vAlign w:val="center"/>
                </w:tcPr>
                <w:p w14:paraId="7B9782F7">
                  <w:pPr>
                    <w:keepNext w:val="0"/>
                    <w:keepLines w:val="0"/>
                    <w:pageBreakBefore w:val="0"/>
                    <w:widowControl w:val="0"/>
                    <w:tabs>
                      <w:tab w:val="left" w:pos="210"/>
                    </w:tabs>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color w:val="auto"/>
                      <w:spacing w:val="-1"/>
                      <w:kern w:val="0"/>
                      <w:sz w:val="21"/>
                      <w:szCs w:val="21"/>
                      <w:highlight w:val="none"/>
                      <w:u w:val="single"/>
                      <w:lang w:val="en-US" w:eastAsia="zh-CN"/>
                    </w:rPr>
                  </w:pPr>
                  <w:r>
                    <w:rPr>
                      <w:rFonts w:hint="default" w:ascii="Times New Roman" w:hAnsi="Times New Roman" w:cs="Times New Roman"/>
                      <w:color w:val="auto"/>
                      <w:spacing w:val="-1"/>
                      <w:kern w:val="0"/>
                      <w:sz w:val="21"/>
                      <w:szCs w:val="21"/>
                      <w:highlight w:val="none"/>
                      <w:u w:val="single"/>
                      <w:lang w:val="en-US" w:eastAsia="zh-CN"/>
                    </w:rPr>
                    <w:t>3</w:t>
                  </w:r>
                </w:p>
              </w:tc>
              <w:tc>
                <w:tcPr>
                  <w:tcW w:w="1275" w:type="pct"/>
                  <w:tcBorders>
                    <w:tl2br w:val="nil"/>
                    <w:tr2bl w:val="nil"/>
                  </w:tcBorders>
                  <w:noWrap w:val="0"/>
                  <w:vAlign w:val="center"/>
                </w:tcPr>
                <w:p w14:paraId="79A36410">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color w:val="auto"/>
                      <w:spacing w:val="-1"/>
                      <w:kern w:val="0"/>
                      <w:sz w:val="21"/>
                      <w:szCs w:val="21"/>
                      <w:highlight w:val="none"/>
                      <w:u w:val="single"/>
                      <w:lang w:val="en-US" w:eastAsia="zh-CN"/>
                    </w:rPr>
                  </w:pPr>
                  <w:r>
                    <w:rPr>
                      <w:rFonts w:hint="default" w:ascii="Times New Roman" w:hAnsi="Times New Roman" w:cs="Times New Roman"/>
                      <w:color w:val="auto"/>
                      <w:spacing w:val="-1"/>
                      <w:kern w:val="0"/>
                      <w:sz w:val="21"/>
                      <w:szCs w:val="21"/>
                      <w:highlight w:val="none"/>
                      <w:u w:val="single"/>
                      <w:lang w:val="en-US" w:eastAsia="zh-CN"/>
                    </w:rPr>
                    <w:t>防锈油</w:t>
                  </w:r>
                </w:p>
              </w:tc>
              <w:tc>
                <w:tcPr>
                  <w:tcW w:w="1115" w:type="pct"/>
                  <w:tcBorders>
                    <w:tl2br w:val="nil"/>
                    <w:tr2bl w:val="nil"/>
                  </w:tcBorders>
                  <w:noWrap w:val="0"/>
                  <w:vAlign w:val="center"/>
                </w:tcPr>
                <w:p w14:paraId="219D8E83">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Cs/>
                      <w:color w:val="auto"/>
                      <w:kern w:val="0"/>
                      <w:sz w:val="21"/>
                      <w:szCs w:val="21"/>
                      <w:highlight w:val="none"/>
                      <w:u w:val="single"/>
                      <w:lang w:val="en-US" w:eastAsia="zh-CN"/>
                    </w:rPr>
                  </w:pPr>
                  <w:r>
                    <w:rPr>
                      <w:rFonts w:hint="eastAsia" w:cs="Times New Roman"/>
                      <w:bCs/>
                      <w:color w:val="auto"/>
                      <w:kern w:val="0"/>
                      <w:sz w:val="21"/>
                      <w:szCs w:val="21"/>
                      <w:highlight w:val="none"/>
                      <w:u w:val="single"/>
                      <w:lang w:val="en-US" w:eastAsia="zh-CN"/>
                    </w:rPr>
                    <w:t>0.2</w:t>
                  </w:r>
                </w:p>
              </w:tc>
              <w:tc>
                <w:tcPr>
                  <w:tcW w:w="896" w:type="pct"/>
                  <w:tcBorders>
                    <w:tl2br w:val="nil"/>
                    <w:tr2bl w:val="nil"/>
                  </w:tcBorders>
                  <w:noWrap w:val="0"/>
                  <w:vAlign w:val="center"/>
                </w:tcPr>
                <w:p w14:paraId="3472ECC9">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Cs/>
                      <w:color w:val="auto"/>
                      <w:kern w:val="0"/>
                      <w:sz w:val="21"/>
                      <w:szCs w:val="21"/>
                      <w:highlight w:val="none"/>
                      <w:u w:val="single"/>
                      <w:lang w:val="en-US" w:eastAsia="zh-CN"/>
                    </w:rPr>
                  </w:pPr>
                  <w:r>
                    <w:rPr>
                      <w:rFonts w:hint="default" w:ascii="Times New Roman" w:hAnsi="Times New Roman" w:cs="Times New Roman"/>
                      <w:bCs/>
                      <w:color w:val="auto"/>
                      <w:kern w:val="0"/>
                      <w:sz w:val="21"/>
                      <w:szCs w:val="21"/>
                      <w:highlight w:val="none"/>
                      <w:u w:val="single"/>
                      <w:lang w:val="en-US" w:eastAsia="zh-CN"/>
                    </w:rPr>
                    <w:t>2500</w:t>
                  </w:r>
                </w:p>
              </w:tc>
              <w:tc>
                <w:tcPr>
                  <w:tcW w:w="1754" w:type="dxa"/>
                  <w:tcBorders>
                    <w:tl2br w:val="nil"/>
                    <w:tr2bl w:val="nil"/>
                  </w:tcBorders>
                  <w:noWrap w:val="0"/>
                  <w:vAlign w:val="center"/>
                </w:tcPr>
                <w:p w14:paraId="4717D8E5">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Cs/>
                      <w:color w:val="auto"/>
                      <w:kern w:val="0"/>
                      <w:sz w:val="21"/>
                      <w:szCs w:val="21"/>
                      <w:highlight w:val="none"/>
                      <w:u w:val="single"/>
                      <w:lang w:val="en-US" w:eastAsia="zh-CN"/>
                    </w:rPr>
                  </w:pPr>
                  <w:r>
                    <w:rPr>
                      <w:rFonts w:hint="eastAsia" w:ascii="Times New Roman" w:hAnsi="Times New Roman" w:eastAsia="宋体" w:cs="Times New Roman"/>
                      <w:bCs/>
                      <w:color w:val="auto"/>
                      <w:kern w:val="0"/>
                      <w:sz w:val="21"/>
                      <w:szCs w:val="21"/>
                      <w:highlight w:val="none"/>
                      <w:u w:val="single"/>
                      <w:lang w:val="en-US" w:eastAsia="zh-CN"/>
                    </w:rPr>
                    <w:t>8.00E-05</w:t>
                  </w:r>
                </w:p>
              </w:tc>
            </w:tr>
            <w:tr w14:paraId="6A61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71" w:type="pct"/>
                  <w:tcBorders>
                    <w:tl2br w:val="nil"/>
                    <w:tr2bl w:val="nil"/>
                  </w:tcBorders>
                  <w:noWrap w:val="0"/>
                  <w:vAlign w:val="center"/>
                </w:tcPr>
                <w:p w14:paraId="16DA6BC8">
                  <w:pPr>
                    <w:keepNext w:val="0"/>
                    <w:keepLines w:val="0"/>
                    <w:pageBreakBefore w:val="0"/>
                    <w:widowControl w:val="0"/>
                    <w:tabs>
                      <w:tab w:val="left" w:pos="210"/>
                    </w:tabs>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color w:val="auto"/>
                      <w:spacing w:val="-1"/>
                      <w:kern w:val="0"/>
                      <w:sz w:val="21"/>
                      <w:szCs w:val="21"/>
                      <w:highlight w:val="none"/>
                      <w:u w:val="single"/>
                      <w:lang w:val="en-US" w:eastAsia="zh-CN"/>
                    </w:rPr>
                  </w:pPr>
                  <w:r>
                    <w:rPr>
                      <w:rFonts w:hint="eastAsia" w:ascii="Times New Roman" w:hAnsi="Times New Roman" w:cs="Times New Roman"/>
                      <w:color w:val="auto"/>
                      <w:spacing w:val="-1"/>
                      <w:kern w:val="0"/>
                      <w:sz w:val="21"/>
                      <w:szCs w:val="21"/>
                      <w:highlight w:val="none"/>
                      <w:u w:val="single"/>
                      <w:lang w:val="en-US" w:eastAsia="zh-CN"/>
                    </w:rPr>
                    <w:t>4</w:t>
                  </w:r>
                </w:p>
              </w:tc>
              <w:tc>
                <w:tcPr>
                  <w:tcW w:w="1275" w:type="pct"/>
                  <w:tcBorders>
                    <w:tl2br w:val="nil"/>
                    <w:tr2bl w:val="nil"/>
                  </w:tcBorders>
                  <w:shd w:val="clear" w:color="auto" w:fill="auto"/>
                  <w:noWrap w:val="0"/>
                  <w:vAlign w:val="center"/>
                </w:tcPr>
                <w:p w14:paraId="04158344">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cs="Times New Roman"/>
                      <w:b w:val="0"/>
                      <w:bCs w:val="0"/>
                      <w:color w:val="auto"/>
                      <w:kern w:val="2"/>
                      <w:sz w:val="21"/>
                      <w:szCs w:val="21"/>
                      <w:highlight w:val="none"/>
                      <w:u w:val="single"/>
                      <w:vertAlign w:val="baseline"/>
                      <w:lang w:val="en-US" w:eastAsia="zh-CN" w:bidi="ar-SA"/>
                    </w:rPr>
                    <w:t>废</w:t>
                  </w:r>
                  <w:r>
                    <w:rPr>
                      <w:rFonts w:hint="eastAsia" w:cs="Times New Roman"/>
                      <w:b w:val="0"/>
                      <w:bCs w:val="0"/>
                      <w:color w:val="auto"/>
                      <w:kern w:val="2"/>
                      <w:sz w:val="21"/>
                      <w:szCs w:val="21"/>
                      <w:highlight w:val="none"/>
                      <w:u w:val="single"/>
                      <w:vertAlign w:val="baseline"/>
                      <w:lang w:val="en-US" w:eastAsia="zh-CN" w:bidi="ar-SA"/>
                    </w:rPr>
                    <w:t>切削</w:t>
                  </w:r>
                  <w:r>
                    <w:rPr>
                      <w:rFonts w:hint="default" w:ascii="Times New Roman" w:hAnsi="Times New Roman" w:cs="Times New Roman"/>
                      <w:b w:val="0"/>
                      <w:bCs w:val="0"/>
                      <w:color w:val="auto"/>
                      <w:kern w:val="2"/>
                      <w:sz w:val="21"/>
                      <w:szCs w:val="21"/>
                      <w:highlight w:val="none"/>
                      <w:u w:val="single"/>
                      <w:vertAlign w:val="baseline"/>
                      <w:lang w:val="en-US" w:eastAsia="zh-CN" w:bidi="ar-SA"/>
                    </w:rPr>
                    <w:t>液</w:t>
                  </w:r>
                </w:p>
              </w:tc>
              <w:tc>
                <w:tcPr>
                  <w:tcW w:w="1115" w:type="pct"/>
                  <w:tcBorders>
                    <w:tl2br w:val="nil"/>
                    <w:tr2bl w:val="nil"/>
                  </w:tcBorders>
                  <w:shd w:val="clear" w:color="auto" w:fill="auto"/>
                  <w:noWrap w:val="0"/>
                  <w:vAlign w:val="center"/>
                </w:tcPr>
                <w:p w14:paraId="1172E845">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sz w:val="21"/>
                      <w:szCs w:val="21"/>
                      <w:highlight w:val="none"/>
                      <w:u w:val="single"/>
                      <w:lang w:val="en-US" w:eastAsia="zh-CN"/>
                    </w:rPr>
                    <w:t>0.2</w:t>
                  </w:r>
                </w:p>
              </w:tc>
              <w:tc>
                <w:tcPr>
                  <w:tcW w:w="896" w:type="pct"/>
                  <w:tcBorders>
                    <w:tl2br w:val="nil"/>
                    <w:tr2bl w:val="nil"/>
                  </w:tcBorders>
                  <w:noWrap w:val="0"/>
                  <w:vAlign w:val="center"/>
                </w:tcPr>
                <w:p w14:paraId="5D413EEE">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Cs/>
                      <w:color w:val="auto"/>
                      <w:kern w:val="0"/>
                      <w:sz w:val="21"/>
                      <w:szCs w:val="21"/>
                      <w:highlight w:val="none"/>
                      <w:u w:val="single"/>
                      <w:lang w:val="en-US" w:eastAsia="zh-CN"/>
                    </w:rPr>
                  </w:pPr>
                  <w:r>
                    <w:rPr>
                      <w:rFonts w:hint="default" w:ascii="Times New Roman" w:hAnsi="Times New Roman" w:cs="Times New Roman"/>
                      <w:bCs/>
                      <w:color w:val="auto"/>
                      <w:kern w:val="0"/>
                      <w:sz w:val="21"/>
                      <w:szCs w:val="21"/>
                      <w:highlight w:val="none"/>
                      <w:u w:val="single"/>
                      <w:lang w:val="en-US" w:eastAsia="zh-CN"/>
                    </w:rPr>
                    <w:t>2500</w:t>
                  </w:r>
                </w:p>
              </w:tc>
              <w:tc>
                <w:tcPr>
                  <w:tcW w:w="1754" w:type="dxa"/>
                  <w:tcBorders>
                    <w:tl2br w:val="nil"/>
                    <w:tr2bl w:val="nil"/>
                  </w:tcBorders>
                  <w:noWrap w:val="0"/>
                  <w:vAlign w:val="center"/>
                </w:tcPr>
                <w:p w14:paraId="03B5EDA1">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Cs/>
                      <w:color w:val="auto"/>
                      <w:kern w:val="0"/>
                      <w:sz w:val="21"/>
                      <w:szCs w:val="21"/>
                      <w:highlight w:val="none"/>
                      <w:u w:val="single"/>
                      <w:lang w:val="en-US" w:eastAsia="zh-CN"/>
                    </w:rPr>
                  </w:pPr>
                  <w:r>
                    <w:rPr>
                      <w:rFonts w:hint="eastAsia" w:ascii="Times New Roman" w:hAnsi="Times New Roman" w:eastAsia="宋体" w:cs="Times New Roman"/>
                      <w:bCs/>
                      <w:color w:val="auto"/>
                      <w:kern w:val="0"/>
                      <w:sz w:val="21"/>
                      <w:szCs w:val="21"/>
                      <w:highlight w:val="none"/>
                      <w:u w:val="single"/>
                      <w:lang w:val="en-US" w:eastAsia="zh-CN"/>
                    </w:rPr>
                    <w:t>8.00E-05</w:t>
                  </w:r>
                </w:p>
              </w:tc>
            </w:tr>
            <w:tr w14:paraId="1ABA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71" w:type="pct"/>
                  <w:tcBorders>
                    <w:tl2br w:val="nil"/>
                    <w:tr2bl w:val="nil"/>
                  </w:tcBorders>
                  <w:noWrap w:val="0"/>
                  <w:vAlign w:val="center"/>
                </w:tcPr>
                <w:p w14:paraId="4E391858">
                  <w:pPr>
                    <w:keepNext w:val="0"/>
                    <w:keepLines w:val="0"/>
                    <w:pageBreakBefore w:val="0"/>
                    <w:widowControl w:val="0"/>
                    <w:tabs>
                      <w:tab w:val="left" w:pos="210"/>
                    </w:tabs>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color w:val="auto"/>
                      <w:spacing w:val="-1"/>
                      <w:kern w:val="0"/>
                      <w:sz w:val="21"/>
                      <w:szCs w:val="21"/>
                      <w:highlight w:val="none"/>
                      <w:u w:val="single"/>
                      <w:lang w:val="en-US" w:eastAsia="zh-CN"/>
                    </w:rPr>
                  </w:pPr>
                  <w:r>
                    <w:rPr>
                      <w:rFonts w:hint="eastAsia" w:ascii="Times New Roman" w:hAnsi="Times New Roman" w:cs="Times New Roman"/>
                      <w:color w:val="auto"/>
                      <w:spacing w:val="-1"/>
                      <w:kern w:val="0"/>
                      <w:sz w:val="21"/>
                      <w:szCs w:val="21"/>
                      <w:highlight w:val="none"/>
                      <w:u w:val="single"/>
                      <w:lang w:val="en-US" w:eastAsia="zh-CN"/>
                    </w:rPr>
                    <w:t>5</w:t>
                  </w:r>
                </w:p>
              </w:tc>
              <w:tc>
                <w:tcPr>
                  <w:tcW w:w="1275" w:type="pct"/>
                  <w:tcBorders>
                    <w:tl2br w:val="nil"/>
                    <w:tr2bl w:val="nil"/>
                  </w:tcBorders>
                  <w:shd w:val="clear" w:color="auto" w:fill="auto"/>
                  <w:noWrap w:val="0"/>
                  <w:vAlign w:val="center"/>
                </w:tcPr>
                <w:p w14:paraId="192D264F">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b w:val="0"/>
                      <w:bCs w:val="0"/>
                      <w:color w:val="auto"/>
                      <w:kern w:val="2"/>
                      <w:sz w:val="21"/>
                      <w:szCs w:val="21"/>
                      <w:highlight w:val="none"/>
                      <w:u w:val="single"/>
                      <w:vertAlign w:val="baseline"/>
                      <w:lang w:val="en-US" w:eastAsia="zh-CN" w:bidi="ar-SA"/>
                    </w:rPr>
                    <w:t>废机油</w:t>
                  </w:r>
                </w:p>
              </w:tc>
              <w:tc>
                <w:tcPr>
                  <w:tcW w:w="1115" w:type="pct"/>
                  <w:tcBorders>
                    <w:tl2br w:val="nil"/>
                    <w:tr2bl w:val="nil"/>
                  </w:tcBorders>
                  <w:shd w:val="clear" w:color="auto" w:fill="auto"/>
                  <w:noWrap w:val="0"/>
                  <w:vAlign w:val="center"/>
                </w:tcPr>
                <w:p w14:paraId="47BD6004">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sz w:val="21"/>
                      <w:szCs w:val="21"/>
                      <w:highlight w:val="none"/>
                      <w:u w:val="single"/>
                      <w:lang w:val="en-US" w:eastAsia="zh-CN"/>
                    </w:rPr>
                    <w:t>0.002</w:t>
                  </w:r>
                </w:p>
              </w:tc>
              <w:tc>
                <w:tcPr>
                  <w:tcW w:w="896" w:type="pct"/>
                  <w:tcBorders>
                    <w:tl2br w:val="nil"/>
                    <w:tr2bl w:val="nil"/>
                  </w:tcBorders>
                  <w:noWrap w:val="0"/>
                  <w:vAlign w:val="center"/>
                </w:tcPr>
                <w:p w14:paraId="155D25E3">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Cs/>
                      <w:color w:val="auto"/>
                      <w:kern w:val="0"/>
                      <w:sz w:val="21"/>
                      <w:szCs w:val="21"/>
                      <w:highlight w:val="none"/>
                      <w:u w:val="single"/>
                      <w:lang w:val="en-US" w:eastAsia="zh-CN"/>
                    </w:rPr>
                  </w:pPr>
                  <w:r>
                    <w:rPr>
                      <w:rFonts w:hint="default" w:ascii="Times New Roman" w:hAnsi="Times New Roman" w:cs="Times New Roman"/>
                      <w:bCs/>
                      <w:color w:val="auto"/>
                      <w:kern w:val="0"/>
                      <w:sz w:val="21"/>
                      <w:szCs w:val="21"/>
                      <w:highlight w:val="none"/>
                      <w:u w:val="single"/>
                      <w:lang w:val="en-US" w:eastAsia="zh-CN"/>
                    </w:rPr>
                    <w:t>2500</w:t>
                  </w:r>
                </w:p>
              </w:tc>
              <w:tc>
                <w:tcPr>
                  <w:tcW w:w="1754" w:type="dxa"/>
                  <w:tcBorders>
                    <w:tl2br w:val="nil"/>
                    <w:tr2bl w:val="nil"/>
                  </w:tcBorders>
                  <w:noWrap w:val="0"/>
                  <w:vAlign w:val="center"/>
                </w:tcPr>
                <w:p w14:paraId="39998C13">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Cs/>
                      <w:color w:val="auto"/>
                      <w:kern w:val="0"/>
                      <w:sz w:val="21"/>
                      <w:szCs w:val="21"/>
                      <w:highlight w:val="none"/>
                      <w:u w:val="single"/>
                      <w:lang w:val="en-US" w:eastAsia="zh-CN"/>
                    </w:rPr>
                  </w:pPr>
                  <w:r>
                    <w:rPr>
                      <w:rFonts w:hint="eastAsia" w:ascii="Times New Roman" w:hAnsi="Times New Roman" w:eastAsia="宋体" w:cs="Times New Roman"/>
                      <w:bCs/>
                      <w:color w:val="auto"/>
                      <w:kern w:val="0"/>
                      <w:sz w:val="21"/>
                      <w:szCs w:val="21"/>
                      <w:highlight w:val="none"/>
                      <w:u w:val="single"/>
                      <w:lang w:val="en-US" w:eastAsia="zh-CN"/>
                    </w:rPr>
                    <w:t>8.00E-07</w:t>
                  </w:r>
                </w:p>
              </w:tc>
            </w:tr>
            <w:tr w14:paraId="6AE4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71" w:type="pct"/>
                  <w:tcBorders>
                    <w:tl2br w:val="nil"/>
                    <w:tr2bl w:val="nil"/>
                  </w:tcBorders>
                  <w:noWrap w:val="0"/>
                  <w:vAlign w:val="center"/>
                </w:tcPr>
                <w:p w14:paraId="16E795A1">
                  <w:pPr>
                    <w:keepNext w:val="0"/>
                    <w:keepLines w:val="0"/>
                    <w:pageBreakBefore w:val="0"/>
                    <w:widowControl w:val="0"/>
                    <w:tabs>
                      <w:tab w:val="left" w:pos="210"/>
                    </w:tabs>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color w:val="auto"/>
                      <w:spacing w:val="-1"/>
                      <w:kern w:val="0"/>
                      <w:sz w:val="21"/>
                      <w:szCs w:val="21"/>
                      <w:highlight w:val="none"/>
                      <w:u w:val="single"/>
                      <w:lang w:val="en-US" w:eastAsia="zh-CN"/>
                    </w:rPr>
                  </w:pPr>
                  <w:r>
                    <w:rPr>
                      <w:rFonts w:hint="eastAsia" w:cs="Times New Roman"/>
                      <w:color w:val="auto"/>
                      <w:spacing w:val="-1"/>
                      <w:kern w:val="0"/>
                      <w:sz w:val="21"/>
                      <w:szCs w:val="21"/>
                      <w:highlight w:val="none"/>
                      <w:u w:val="single"/>
                      <w:lang w:val="en-US" w:eastAsia="zh-CN"/>
                    </w:rPr>
                    <w:t>6</w:t>
                  </w:r>
                </w:p>
              </w:tc>
              <w:tc>
                <w:tcPr>
                  <w:tcW w:w="1275" w:type="pct"/>
                  <w:tcBorders>
                    <w:tl2br w:val="nil"/>
                    <w:tr2bl w:val="nil"/>
                  </w:tcBorders>
                  <w:shd w:val="clear" w:color="auto" w:fill="auto"/>
                  <w:noWrap w:val="0"/>
                  <w:vAlign w:val="center"/>
                </w:tcPr>
                <w:p w14:paraId="3D2F57F2">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single"/>
                      <w:vertAlign w:val="baseline"/>
                      <w:lang w:val="en-US" w:eastAsia="zh-CN" w:bidi="ar-SA"/>
                    </w:rPr>
                  </w:pPr>
                  <w:r>
                    <w:rPr>
                      <w:rFonts w:hint="eastAsia" w:cs="Times New Roman"/>
                      <w:b w:val="0"/>
                      <w:bCs w:val="0"/>
                      <w:color w:val="auto"/>
                      <w:kern w:val="2"/>
                      <w:sz w:val="21"/>
                      <w:szCs w:val="21"/>
                      <w:highlight w:val="none"/>
                      <w:u w:val="single"/>
                      <w:vertAlign w:val="baseline"/>
                      <w:lang w:val="en-US" w:eastAsia="zh-CN" w:bidi="ar-SA"/>
                    </w:rPr>
                    <w:t>废防锈油</w:t>
                  </w:r>
                </w:p>
              </w:tc>
              <w:tc>
                <w:tcPr>
                  <w:tcW w:w="1115" w:type="pct"/>
                  <w:tcBorders>
                    <w:tl2br w:val="nil"/>
                    <w:tr2bl w:val="nil"/>
                  </w:tcBorders>
                  <w:shd w:val="clear" w:color="auto" w:fill="auto"/>
                  <w:noWrap w:val="0"/>
                  <w:vAlign w:val="center"/>
                </w:tcPr>
                <w:p w14:paraId="6377A708">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sz w:val="21"/>
                      <w:szCs w:val="21"/>
                      <w:highlight w:val="none"/>
                      <w:u w:val="single"/>
                      <w:lang w:val="en-US" w:eastAsia="zh-CN"/>
                    </w:rPr>
                  </w:pPr>
                  <w:r>
                    <w:rPr>
                      <w:rFonts w:hint="eastAsia" w:hAnsi="Times New Roman" w:cs="Times New Roman"/>
                      <w:b w:val="0"/>
                      <w:bCs w:val="0"/>
                      <w:color w:val="auto"/>
                      <w:sz w:val="21"/>
                      <w:szCs w:val="21"/>
                      <w:highlight w:val="none"/>
                      <w:u w:val="single"/>
                      <w:lang w:val="en-US" w:eastAsia="zh-CN"/>
                    </w:rPr>
                    <w:t>0.035</w:t>
                  </w:r>
                </w:p>
              </w:tc>
              <w:tc>
                <w:tcPr>
                  <w:tcW w:w="896" w:type="pct"/>
                  <w:tcBorders>
                    <w:tl2br w:val="nil"/>
                    <w:tr2bl w:val="nil"/>
                  </w:tcBorders>
                  <w:noWrap w:val="0"/>
                  <w:vAlign w:val="center"/>
                </w:tcPr>
                <w:p w14:paraId="7696E5D8">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Cs/>
                      <w:color w:val="auto"/>
                      <w:kern w:val="0"/>
                      <w:sz w:val="21"/>
                      <w:szCs w:val="21"/>
                      <w:highlight w:val="none"/>
                      <w:u w:val="single"/>
                      <w:lang w:val="en-US" w:eastAsia="zh-CN"/>
                    </w:rPr>
                  </w:pPr>
                  <w:r>
                    <w:rPr>
                      <w:rFonts w:hint="eastAsia" w:cs="Times New Roman"/>
                      <w:bCs/>
                      <w:color w:val="auto"/>
                      <w:kern w:val="0"/>
                      <w:sz w:val="21"/>
                      <w:szCs w:val="21"/>
                      <w:highlight w:val="none"/>
                      <w:u w:val="single"/>
                      <w:lang w:val="en-US" w:eastAsia="zh-CN"/>
                    </w:rPr>
                    <w:t>2500</w:t>
                  </w:r>
                </w:p>
              </w:tc>
              <w:tc>
                <w:tcPr>
                  <w:tcW w:w="1754" w:type="dxa"/>
                  <w:tcBorders>
                    <w:tl2br w:val="nil"/>
                    <w:tr2bl w:val="nil"/>
                  </w:tcBorders>
                  <w:noWrap w:val="0"/>
                  <w:vAlign w:val="center"/>
                </w:tcPr>
                <w:p w14:paraId="0FF36E2A">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bCs/>
                      <w:color w:val="auto"/>
                      <w:kern w:val="0"/>
                      <w:sz w:val="21"/>
                      <w:szCs w:val="21"/>
                      <w:highlight w:val="none"/>
                      <w:u w:val="single"/>
                      <w:lang w:val="en-US" w:eastAsia="zh-CN"/>
                    </w:rPr>
                  </w:pPr>
                  <w:r>
                    <w:rPr>
                      <w:rFonts w:hint="eastAsia" w:ascii="Times New Roman" w:hAnsi="Times New Roman" w:eastAsia="宋体" w:cs="Times New Roman"/>
                      <w:bCs/>
                      <w:color w:val="auto"/>
                      <w:kern w:val="0"/>
                      <w:sz w:val="21"/>
                      <w:szCs w:val="21"/>
                      <w:highlight w:val="none"/>
                      <w:u w:val="single"/>
                      <w:lang w:val="en-US" w:eastAsia="zh-CN"/>
                    </w:rPr>
                    <w:t>1.40E-05</w:t>
                  </w:r>
                </w:p>
              </w:tc>
            </w:tr>
            <w:tr w14:paraId="1CFE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858" w:type="pct"/>
                  <w:gridSpan w:val="4"/>
                  <w:tcBorders>
                    <w:tl2br w:val="nil"/>
                    <w:tr2bl w:val="nil"/>
                  </w:tcBorders>
                  <w:noWrap w:val="0"/>
                  <w:vAlign w:val="center"/>
                </w:tcPr>
                <w:p w14:paraId="1925EB02">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Cs/>
                      <w:color w:val="auto"/>
                      <w:kern w:val="0"/>
                      <w:sz w:val="21"/>
                      <w:szCs w:val="21"/>
                      <w:highlight w:val="none"/>
                      <w:u w:val="single"/>
                      <w:lang w:val="en-US" w:eastAsia="zh-CN"/>
                    </w:rPr>
                  </w:pPr>
                  <w:r>
                    <w:rPr>
                      <w:rFonts w:hint="default" w:ascii="Times New Roman" w:hAnsi="Times New Roman" w:cs="Times New Roman"/>
                      <w:bCs/>
                      <w:color w:val="auto"/>
                      <w:kern w:val="0"/>
                      <w:sz w:val="21"/>
                      <w:szCs w:val="21"/>
                      <w:highlight w:val="none"/>
                      <w:u w:val="single"/>
                      <w:lang w:val="en-US" w:eastAsia="zh-CN"/>
                    </w:rPr>
                    <w:t>危险物质与临界量比值</w:t>
                  </w:r>
                  <w:r>
                    <w:rPr>
                      <w:rFonts w:hint="eastAsia" w:ascii="Times New Roman" w:hAnsi="Times New Roman" w:cs="Times New Roman"/>
                      <w:bCs/>
                      <w:color w:val="auto"/>
                      <w:kern w:val="0"/>
                      <w:sz w:val="21"/>
                      <w:szCs w:val="21"/>
                      <w:highlight w:val="none"/>
                      <w:u w:val="single"/>
                      <w:lang w:val="en-US" w:eastAsia="zh-CN"/>
                    </w:rPr>
                    <w:t>合计</w:t>
                  </w:r>
                </w:p>
              </w:tc>
              <w:tc>
                <w:tcPr>
                  <w:tcW w:w="1754" w:type="dxa"/>
                  <w:tcBorders>
                    <w:tl2br w:val="nil"/>
                    <w:tr2bl w:val="nil"/>
                  </w:tcBorders>
                  <w:shd w:val="clear" w:color="auto" w:fill="auto"/>
                  <w:noWrap w:val="0"/>
                  <w:vAlign w:val="center"/>
                </w:tcPr>
                <w:p w14:paraId="1E9B7495">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Cs/>
                      <w:color w:val="auto"/>
                      <w:kern w:val="0"/>
                      <w:sz w:val="21"/>
                      <w:szCs w:val="21"/>
                      <w:highlight w:val="none"/>
                      <w:u w:val="single"/>
                      <w:lang w:val="en-US" w:eastAsia="zh-CN"/>
                    </w:rPr>
                  </w:pPr>
                  <w:r>
                    <w:rPr>
                      <w:rFonts w:hint="eastAsia" w:ascii="Times New Roman" w:hAnsi="Times New Roman" w:eastAsia="宋体" w:cs="Times New Roman"/>
                      <w:bCs/>
                      <w:color w:val="auto"/>
                      <w:kern w:val="0"/>
                      <w:sz w:val="21"/>
                      <w:szCs w:val="21"/>
                      <w:highlight w:val="none"/>
                      <w:u w:val="single"/>
                      <w:lang w:val="en-US" w:eastAsia="zh-CN"/>
                    </w:rPr>
                    <w:t>2.628E-04</w:t>
                  </w:r>
                </w:p>
              </w:tc>
            </w:tr>
          </w:tbl>
          <w:p w14:paraId="52D1113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本项目危险物质与危险物质与临界量比值远远小于1，仅需对环境风险进行简单分析。</w:t>
            </w:r>
          </w:p>
          <w:p w14:paraId="3136471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textAlignment w:val="baseline"/>
              <w:rPr>
                <w:rFonts w:hint="default" w:ascii="Times New Roman" w:hAnsi="Times New Roman" w:eastAsia="宋体" w:cs="Times New Roman"/>
                <w:b/>
                <w:bCs/>
                <w:color w:val="auto"/>
                <w:sz w:val="24"/>
                <w:szCs w:val="22"/>
                <w:highlight w:val="none"/>
                <w:lang w:val="en-US" w:eastAsia="zh-CN"/>
              </w:rPr>
            </w:pPr>
            <w:r>
              <w:rPr>
                <w:rFonts w:hint="eastAsia" w:ascii="Times New Roman" w:hAnsi="Times New Roman" w:eastAsia="宋体" w:cs="Times New Roman"/>
                <w:b/>
                <w:bCs/>
                <w:color w:val="auto"/>
                <w:sz w:val="24"/>
                <w:szCs w:val="22"/>
                <w:highlight w:val="none"/>
                <w:lang w:val="en-US" w:eastAsia="zh-CN"/>
              </w:rPr>
              <w:t xml:space="preserve">6.2 </w:t>
            </w:r>
            <w:r>
              <w:rPr>
                <w:rFonts w:hint="default" w:ascii="Times New Roman" w:hAnsi="Times New Roman" w:eastAsia="宋体" w:cs="Times New Roman"/>
                <w:b/>
                <w:bCs/>
                <w:color w:val="auto"/>
                <w:kern w:val="0"/>
                <w:sz w:val="24"/>
                <w:szCs w:val="24"/>
                <w:u w:val="none"/>
              </w:rPr>
              <w:t>环境风险识别</w:t>
            </w:r>
          </w:p>
          <w:p w14:paraId="03A0C4F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①风险物质识别</w:t>
            </w:r>
          </w:p>
          <w:p w14:paraId="6B6B33F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对照《建设项目环境风险评价技术导则》（HJ169-2018）附录B 以及《危险化学品重大危险源辨识》（GB18218-2018）进行物质危险性判定，本项目涉及的主要风险物品为</w:t>
            </w:r>
            <w:r>
              <w:rPr>
                <w:rFonts w:hint="eastAsia" w:cs="Times New Roman"/>
                <w:b w:val="0"/>
                <w:bCs w:val="0"/>
                <w:color w:val="auto"/>
                <w:sz w:val="24"/>
                <w:szCs w:val="22"/>
                <w:highlight w:val="none"/>
                <w:lang w:val="en-US" w:eastAsia="zh-CN"/>
              </w:rPr>
              <w:t>切削</w:t>
            </w:r>
            <w:r>
              <w:rPr>
                <w:rFonts w:hint="default" w:ascii="Times New Roman" w:hAnsi="Times New Roman" w:eastAsia="宋体" w:cs="Times New Roman"/>
                <w:b w:val="0"/>
                <w:bCs w:val="0"/>
                <w:color w:val="auto"/>
                <w:sz w:val="24"/>
                <w:szCs w:val="22"/>
                <w:highlight w:val="none"/>
                <w:lang w:val="en-US" w:eastAsia="zh-CN"/>
              </w:rPr>
              <w:t>液</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机油</w:t>
            </w:r>
            <w:r>
              <w:rPr>
                <w:rFonts w:hint="eastAsia" w:ascii="Times New Roman" w:hAnsi="Times New Roman" w:eastAsia="宋体" w:cs="Times New Roman"/>
                <w:b w:val="0"/>
                <w:bCs w:val="0"/>
                <w:color w:val="auto"/>
                <w:sz w:val="24"/>
                <w:szCs w:val="22"/>
                <w:highlight w:val="none"/>
                <w:lang w:val="en-US" w:eastAsia="zh-CN"/>
              </w:rPr>
              <w:t>、防锈油、废活性炭</w:t>
            </w:r>
            <w:r>
              <w:rPr>
                <w:rFonts w:hint="default" w:ascii="Times New Roman" w:hAnsi="Times New Roman" w:eastAsia="宋体" w:cs="Times New Roman"/>
                <w:b w:val="0"/>
                <w:bCs w:val="0"/>
                <w:color w:val="auto"/>
                <w:sz w:val="24"/>
                <w:szCs w:val="22"/>
                <w:highlight w:val="none"/>
                <w:lang w:val="en-US" w:eastAsia="zh-CN"/>
              </w:rPr>
              <w:t>及危险废物。</w:t>
            </w:r>
          </w:p>
          <w:p w14:paraId="45092B9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②生产系统风险识别</w:t>
            </w:r>
          </w:p>
          <w:p w14:paraId="79AF733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根据工艺流程和厂区平面布局，项目涉及危险单元主要包括</w:t>
            </w:r>
            <w:r>
              <w:rPr>
                <w:rFonts w:hint="eastAsia" w:cs="Times New Roman"/>
                <w:b w:val="0"/>
                <w:bCs w:val="0"/>
                <w:color w:val="auto"/>
                <w:sz w:val="24"/>
                <w:szCs w:val="22"/>
                <w:highlight w:val="none"/>
                <w:lang w:val="en-US" w:eastAsia="zh-CN"/>
              </w:rPr>
              <w:t>生产车间1#</w:t>
            </w:r>
            <w:r>
              <w:rPr>
                <w:rFonts w:hint="default" w:ascii="Times New Roman" w:hAnsi="Times New Roman" w:eastAsia="宋体" w:cs="Times New Roman"/>
                <w:b w:val="0"/>
                <w:bCs w:val="0"/>
                <w:color w:val="auto"/>
                <w:sz w:val="24"/>
                <w:szCs w:val="22"/>
                <w:highlight w:val="none"/>
                <w:lang w:val="en-US" w:eastAsia="zh-CN"/>
              </w:rPr>
              <w:t>、危废暂存间等。</w:t>
            </w:r>
          </w:p>
          <w:p w14:paraId="2FCF2D3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③影响途径风险识别</w:t>
            </w:r>
          </w:p>
          <w:p w14:paraId="476AD1E2">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本项目影响途径风险识别主要有以下几种：</w:t>
            </w:r>
          </w:p>
          <w:p w14:paraId="4F6AFC8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A、</w:t>
            </w:r>
            <w:r>
              <w:rPr>
                <w:rFonts w:hint="eastAsia" w:cs="Times New Roman"/>
                <w:b w:val="0"/>
                <w:bCs w:val="0"/>
                <w:color w:val="auto"/>
                <w:sz w:val="24"/>
                <w:szCs w:val="22"/>
                <w:highlight w:val="none"/>
                <w:lang w:val="en-US" w:eastAsia="zh-CN"/>
              </w:rPr>
              <w:t>生产车间1#</w:t>
            </w:r>
          </w:p>
          <w:p w14:paraId="4E1B67B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本项目</w:t>
            </w:r>
            <w:r>
              <w:rPr>
                <w:rFonts w:hint="eastAsia" w:cs="Times New Roman"/>
                <w:b w:val="0"/>
                <w:bCs w:val="0"/>
                <w:color w:val="auto"/>
                <w:sz w:val="24"/>
                <w:szCs w:val="22"/>
                <w:highlight w:val="none"/>
                <w:lang w:val="en-US" w:eastAsia="zh-CN"/>
              </w:rPr>
              <w:t>切削</w:t>
            </w:r>
            <w:r>
              <w:rPr>
                <w:rFonts w:hint="default" w:ascii="Times New Roman" w:hAnsi="Times New Roman" w:eastAsia="宋体" w:cs="Times New Roman"/>
                <w:b w:val="0"/>
                <w:bCs w:val="0"/>
                <w:color w:val="auto"/>
                <w:sz w:val="24"/>
                <w:szCs w:val="22"/>
                <w:highlight w:val="none"/>
                <w:lang w:val="en-US" w:eastAsia="zh-CN"/>
              </w:rPr>
              <w:t>液</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机油</w:t>
            </w:r>
            <w:r>
              <w:rPr>
                <w:rFonts w:hint="eastAsia" w:ascii="Times New Roman" w:hAnsi="Times New Roman" w:eastAsia="宋体" w:cs="Times New Roman"/>
                <w:b w:val="0"/>
                <w:bCs w:val="0"/>
                <w:color w:val="auto"/>
                <w:sz w:val="24"/>
                <w:szCs w:val="22"/>
                <w:highlight w:val="none"/>
                <w:lang w:val="en-US" w:eastAsia="zh-CN"/>
              </w:rPr>
              <w:t>、防锈油</w:t>
            </w:r>
            <w:r>
              <w:rPr>
                <w:rFonts w:hint="default" w:ascii="Times New Roman" w:hAnsi="Times New Roman" w:eastAsia="宋体" w:cs="Times New Roman"/>
                <w:b w:val="0"/>
                <w:bCs w:val="0"/>
                <w:color w:val="auto"/>
                <w:sz w:val="24"/>
                <w:szCs w:val="22"/>
                <w:highlight w:val="none"/>
                <w:lang w:val="en-US" w:eastAsia="zh-CN"/>
              </w:rPr>
              <w:t>贮存在</w:t>
            </w:r>
            <w:r>
              <w:rPr>
                <w:rFonts w:hint="eastAsia" w:cs="Times New Roman"/>
                <w:b w:val="0"/>
                <w:bCs w:val="0"/>
                <w:color w:val="auto"/>
                <w:sz w:val="24"/>
                <w:szCs w:val="22"/>
                <w:highlight w:val="none"/>
                <w:lang w:val="en-US" w:eastAsia="zh-CN"/>
              </w:rPr>
              <w:t>生产车间1#</w:t>
            </w:r>
            <w:r>
              <w:rPr>
                <w:rFonts w:hint="default" w:ascii="Times New Roman" w:hAnsi="Times New Roman" w:eastAsia="宋体" w:cs="Times New Roman"/>
                <w:b w:val="0"/>
                <w:bCs w:val="0"/>
                <w:color w:val="auto"/>
                <w:sz w:val="24"/>
                <w:szCs w:val="22"/>
                <w:highlight w:val="none"/>
                <w:lang w:val="en-US" w:eastAsia="zh-CN"/>
              </w:rPr>
              <w:t>，上述物质在卸货、贮存过程中存在因管理、操作、保护不当或因设计不合理，导致泄漏的风险，从而带来伴生或者次生危险。</w:t>
            </w:r>
          </w:p>
          <w:p w14:paraId="0766F94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eastAsia"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本项目</w:t>
            </w:r>
            <w:r>
              <w:rPr>
                <w:rFonts w:hint="eastAsia" w:cs="Times New Roman"/>
                <w:b w:val="0"/>
                <w:bCs w:val="0"/>
                <w:color w:val="auto"/>
                <w:sz w:val="24"/>
                <w:szCs w:val="22"/>
                <w:highlight w:val="none"/>
                <w:lang w:val="en-US" w:eastAsia="zh-CN"/>
              </w:rPr>
              <w:t>防锈处理工序</w:t>
            </w:r>
            <w:r>
              <w:rPr>
                <w:rFonts w:hint="default" w:ascii="Times New Roman" w:hAnsi="Times New Roman" w:eastAsia="宋体" w:cs="Times New Roman"/>
                <w:b w:val="0"/>
                <w:bCs w:val="0"/>
                <w:color w:val="auto"/>
                <w:sz w:val="24"/>
                <w:szCs w:val="22"/>
                <w:highlight w:val="none"/>
                <w:lang w:val="en-US" w:eastAsia="zh-CN"/>
              </w:rPr>
              <w:t>在</w:t>
            </w:r>
            <w:r>
              <w:rPr>
                <w:rFonts w:hint="eastAsia" w:cs="Times New Roman"/>
                <w:b w:val="0"/>
                <w:bCs w:val="0"/>
                <w:color w:val="auto"/>
                <w:sz w:val="24"/>
                <w:szCs w:val="22"/>
                <w:highlight w:val="none"/>
                <w:lang w:val="en-US" w:eastAsia="zh-CN"/>
              </w:rPr>
              <w:t>生产车间1#</w:t>
            </w:r>
            <w:r>
              <w:rPr>
                <w:rFonts w:hint="default" w:ascii="Times New Roman" w:hAnsi="Times New Roman" w:eastAsia="宋体" w:cs="Times New Roman"/>
                <w:b w:val="0"/>
                <w:bCs w:val="0"/>
                <w:color w:val="auto"/>
                <w:sz w:val="24"/>
                <w:szCs w:val="22"/>
                <w:highlight w:val="none"/>
                <w:lang w:val="en-US" w:eastAsia="zh-CN"/>
              </w:rPr>
              <w:t>，</w:t>
            </w:r>
            <w:r>
              <w:rPr>
                <w:rFonts w:hint="eastAsia" w:ascii="Times New Roman" w:hAnsi="Times New Roman" w:eastAsia="宋体" w:cs="Times New Roman"/>
                <w:b w:val="0"/>
                <w:bCs w:val="0"/>
                <w:color w:val="auto"/>
                <w:sz w:val="24"/>
                <w:szCs w:val="22"/>
                <w:highlight w:val="none"/>
                <w:lang w:val="en-US" w:eastAsia="zh-CN"/>
              </w:rPr>
              <w:t>设置一座防锈</w:t>
            </w:r>
            <w:r>
              <w:rPr>
                <w:rFonts w:hint="eastAsia" w:cs="Times New Roman"/>
                <w:b w:val="0"/>
                <w:bCs w:val="0"/>
                <w:color w:val="auto"/>
                <w:sz w:val="24"/>
                <w:szCs w:val="22"/>
                <w:highlight w:val="none"/>
                <w:lang w:val="en-US" w:eastAsia="zh-CN"/>
              </w:rPr>
              <w:t>间</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上述物质在贮存</w:t>
            </w:r>
            <w:r>
              <w:rPr>
                <w:rFonts w:hint="eastAsia" w:ascii="Times New Roman" w:hAnsi="Times New Roman" w:eastAsia="宋体" w:cs="Times New Roman"/>
                <w:b w:val="0"/>
                <w:bCs w:val="0"/>
                <w:color w:val="auto"/>
                <w:sz w:val="24"/>
                <w:szCs w:val="22"/>
                <w:highlight w:val="none"/>
                <w:lang w:val="en-US" w:eastAsia="zh-CN"/>
              </w:rPr>
              <w:t>、生产</w:t>
            </w:r>
            <w:r>
              <w:rPr>
                <w:rFonts w:hint="default" w:ascii="Times New Roman" w:hAnsi="Times New Roman" w:eastAsia="宋体" w:cs="Times New Roman"/>
                <w:b w:val="0"/>
                <w:bCs w:val="0"/>
                <w:color w:val="auto"/>
                <w:sz w:val="24"/>
                <w:szCs w:val="22"/>
                <w:highlight w:val="none"/>
                <w:lang w:val="en-US" w:eastAsia="zh-CN"/>
              </w:rPr>
              <w:t>过程中存在因管理、操作、保护不当或因设计不合理，导致泄漏的风险，从而带来伴生或者次生危险。</w:t>
            </w:r>
          </w:p>
          <w:p w14:paraId="45581A4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eastAsia" w:cs="Times New Roman"/>
                <w:b w:val="0"/>
                <w:bCs w:val="0"/>
                <w:color w:val="auto"/>
                <w:sz w:val="24"/>
                <w:szCs w:val="22"/>
                <w:highlight w:val="none"/>
                <w:lang w:val="en-US" w:eastAsia="zh-CN"/>
              </w:rPr>
              <w:t>C</w:t>
            </w:r>
            <w:r>
              <w:rPr>
                <w:rFonts w:hint="default" w:ascii="Times New Roman" w:hAnsi="Times New Roman" w:eastAsia="宋体" w:cs="Times New Roman"/>
                <w:b w:val="0"/>
                <w:bCs w:val="0"/>
                <w:color w:val="auto"/>
                <w:sz w:val="24"/>
                <w:szCs w:val="22"/>
                <w:highlight w:val="none"/>
                <w:lang w:val="en-US" w:eastAsia="zh-CN"/>
              </w:rPr>
              <w:t>、危险废物暂存场所</w:t>
            </w:r>
          </w:p>
          <w:p w14:paraId="66D99E7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危险废物暂存场所管理不善，导致无组织流散，造成的地表水、地下水及土壤环境污染事故。</w:t>
            </w:r>
          </w:p>
          <w:p w14:paraId="4116CE9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textAlignment w:val="baseline"/>
              <w:rPr>
                <w:rFonts w:hint="default" w:ascii="Times New Roman" w:hAnsi="Times New Roman" w:eastAsia="宋体" w:cs="Times New Roman"/>
                <w:b/>
                <w:bCs/>
                <w:color w:val="auto"/>
                <w:sz w:val="24"/>
                <w:szCs w:val="22"/>
                <w:highlight w:val="none"/>
                <w:lang w:val="en-US" w:eastAsia="zh-CN"/>
              </w:rPr>
            </w:pPr>
            <w:r>
              <w:rPr>
                <w:rFonts w:hint="eastAsia" w:ascii="Times New Roman" w:hAnsi="Times New Roman" w:eastAsia="宋体" w:cs="Times New Roman"/>
                <w:b/>
                <w:bCs/>
                <w:color w:val="auto"/>
                <w:sz w:val="24"/>
                <w:szCs w:val="22"/>
                <w:highlight w:val="none"/>
                <w:lang w:val="en-US" w:eastAsia="zh-CN"/>
              </w:rPr>
              <w:t xml:space="preserve">6.3 </w:t>
            </w:r>
            <w:r>
              <w:rPr>
                <w:rFonts w:hint="default" w:ascii="Times New Roman" w:hAnsi="Times New Roman" w:eastAsia="宋体" w:cs="Times New Roman"/>
                <w:b/>
                <w:bCs/>
                <w:color w:val="auto"/>
                <w:kern w:val="0"/>
                <w:sz w:val="24"/>
                <w:szCs w:val="24"/>
                <w:u w:val="none"/>
              </w:rPr>
              <w:t>环境风险分析</w:t>
            </w:r>
          </w:p>
          <w:p w14:paraId="50F091C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u w:val="single"/>
                <w:lang w:val="en-US" w:eastAsia="zh-CN"/>
              </w:rPr>
            </w:pPr>
            <w:r>
              <w:rPr>
                <w:rFonts w:hint="default" w:ascii="Times New Roman" w:hAnsi="Times New Roman" w:eastAsia="宋体" w:cs="Times New Roman"/>
                <w:b w:val="0"/>
                <w:bCs w:val="0"/>
                <w:color w:val="auto"/>
                <w:sz w:val="24"/>
                <w:szCs w:val="22"/>
                <w:highlight w:val="none"/>
                <w:u w:val="single"/>
                <w:lang w:val="en-US" w:eastAsia="zh-CN"/>
              </w:rPr>
              <w:t>①泄漏事故风险影响分析</w:t>
            </w:r>
          </w:p>
          <w:p w14:paraId="1212F3E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u w:val="single"/>
                <w:lang w:val="en-US" w:eastAsia="zh-CN"/>
              </w:rPr>
            </w:pPr>
            <w:r>
              <w:rPr>
                <w:rFonts w:hint="default" w:ascii="Times New Roman" w:hAnsi="Times New Roman" w:eastAsia="宋体" w:cs="Times New Roman"/>
                <w:b w:val="0"/>
                <w:bCs w:val="0"/>
                <w:color w:val="auto"/>
                <w:sz w:val="24"/>
                <w:szCs w:val="22"/>
                <w:highlight w:val="none"/>
                <w:u w:val="single"/>
                <w:lang w:val="en-US" w:eastAsia="zh-CN"/>
              </w:rPr>
              <w:t>项目生产过程中使用的</w:t>
            </w:r>
            <w:r>
              <w:rPr>
                <w:rFonts w:hint="eastAsia" w:cs="Times New Roman"/>
                <w:b w:val="0"/>
                <w:bCs w:val="0"/>
                <w:color w:val="auto"/>
                <w:sz w:val="24"/>
                <w:szCs w:val="22"/>
                <w:highlight w:val="none"/>
                <w:u w:val="single"/>
                <w:lang w:val="en-US" w:eastAsia="zh-CN"/>
              </w:rPr>
              <w:t>切削</w:t>
            </w:r>
            <w:r>
              <w:rPr>
                <w:rFonts w:hint="default" w:ascii="Times New Roman" w:hAnsi="Times New Roman" w:eastAsia="宋体" w:cs="Times New Roman"/>
                <w:b w:val="0"/>
                <w:bCs w:val="0"/>
                <w:color w:val="auto"/>
                <w:sz w:val="24"/>
                <w:szCs w:val="22"/>
                <w:highlight w:val="none"/>
                <w:u w:val="single"/>
                <w:lang w:val="en-US" w:eastAsia="zh-CN"/>
              </w:rPr>
              <w:t>液</w:t>
            </w:r>
            <w:r>
              <w:rPr>
                <w:rFonts w:hint="eastAsia" w:ascii="Times New Roman" w:hAnsi="Times New Roman" w:eastAsia="宋体" w:cs="Times New Roman"/>
                <w:b w:val="0"/>
                <w:bCs w:val="0"/>
                <w:color w:val="auto"/>
                <w:sz w:val="24"/>
                <w:szCs w:val="22"/>
                <w:highlight w:val="none"/>
                <w:u w:val="single"/>
                <w:lang w:val="en-US" w:eastAsia="zh-CN"/>
              </w:rPr>
              <w:t>、</w:t>
            </w:r>
            <w:r>
              <w:rPr>
                <w:rFonts w:hint="default" w:ascii="Times New Roman" w:hAnsi="Times New Roman" w:eastAsia="宋体" w:cs="Times New Roman"/>
                <w:b w:val="0"/>
                <w:bCs w:val="0"/>
                <w:color w:val="auto"/>
                <w:sz w:val="24"/>
                <w:szCs w:val="22"/>
                <w:highlight w:val="none"/>
                <w:u w:val="single"/>
                <w:lang w:val="en-US" w:eastAsia="zh-CN"/>
              </w:rPr>
              <w:t>机油</w:t>
            </w:r>
            <w:r>
              <w:rPr>
                <w:rFonts w:hint="eastAsia" w:ascii="Times New Roman" w:hAnsi="Times New Roman" w:eastAsia="宋体" w:cs="Times New Roman"/>
                <w:b w:val="0"/>
                <w:bCs w:val="0"/>
                <w:color w:val="auto"/>
                <w:sz w:val="24"/>
                <w:szCs w:val="22"/>
                <w:highlight w:val="none"/>
                <w:u w:val="single"/>
                <w:lang w:val="en-US" w:eastAsia="zh-CN"/>
              </w:rPr>
              <w:t>、防锈油</w:t>
            </w:r>
            <w:r>
              <w:rPr>
                <w:rFonts w:hint="default" w:ascii="Times New Roman" w:hAnsi="Times New Roman" w:eastAsia="宋体" w:cs="Times New Roman"/>
                <w:b w:val="0"/>
                <w:bCs w:val="0"/>
                <w:color w:val="auto"/>
                <w:sz w:val="24"/>
                <w:szCs w:val="22"/>
                <w:highlight w:val="none"/>
                <w:u w:val="single"/>
                <w:lang w:val="en-US" w:eastAsia="zh-CN"/>
              </w:rPr>
              <w:t>及危险废物泄漏及火灾的风险，且遇明火、高热能引起燃烧。燃烧产物一般主要为CO</w:t>
            </w:r>
            <w:r>
              <w:rPr>
                <w:rFonts w:hint="default" w:ascii="Times New Roman" w:hAnsi="Times New Roman" w:eastAsia="宋体" w:cs="Times New Roman"/>
                <w:b w:val="0"/>
                <w:bCs w:val="0"/>
                <w:color w:val="auto"/>
                <w:sz w:val="24"/>
                <w:szCs w:val="22"/>
                <w:highlight w:val="none"/>
                <w:u w:val="single"/>
                <w:vertAlign w:val="subscript"/>
                <w:lang w:val="en-US" w:eastAsia="zh-CN"/>
              </w:rPr>
              <w:t>2</w:t>
            </w:r>
            <w:r>
              <w:rPr>
                <w:rFonts w:hint="default" w:ascii="Times New Roman" w:hAnsi="Times New Roman" w:eastAsia="宋体" w:cs="Times New Roman"/>
                <w:b w:val="0"/>
                <w:bCs w:val="0"/>
                <w:color w:val="auto"/>
                <w:sz w:val="24"/>
                <w:szCs w:val="22"/>
                <w:highlight w:val="none"/>
                <w:u w:val="single"/>
                <w:lang w:val="en-US" w:eastAsia="zh-CN"/>
              </w:rPr>
              <w:t>、CO等，燃烧产物特别是烟雾也会对周围人员造成危害。烟雾中含有大量的CO等有毒气体，能使人窒息死亡，同时烟雾刺激眼睛，造成人员伤害。因此，建设单位应重视使用危险物品的安全措施；对各类原料的包装须定期进行检查，一旦发现有老化、破损现象须及时更换包装，杜绝风险事故的发生。</w:t>
            </w:r>
          </w:p>
          <w:p w14:paraId="2951941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u w:val="single"/>
                <w:lang w:val="en-US" w:eastAsia="zh-CN"/>
              </w:rPr>
            </w:pPr>
            <w:r>
              <w:rPr>
                <w:rFonts w:hint="default" w:ascii="Times New Roman" w:hAnsi="Times New Roman" w:eastAsia="宋体" w:cs="Times New Roman"/>
                <w:b w:val="0"/>
                <w:bCs w:val="0"/>
                <w:color w:val="auto"/>
                <w:sz w:val="24"/>
                <w:szCs w:val="22"/>
                <w:highlight w:val="none"/>
                <w:u w:val="single"/>
                <w:lang w:val="en-US" w:eastAsia="zh-CN"/>
              </w:rPr>
              <w:t>②危险废物暂存、转移事故影响分析</w:t>
            </w:r>
          </w:p>
          <w:p w14:paraId="6AF0B87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u w:val="single"/>
                <w:lang w:val="en-US" w:eastAsia="zh-CN"/>
              </w:rPr>
            </w:pPr>
            <w:r>
              <w:rPr>
                <w:rFonts w:hint="default" w:ascii="Times New Roman" w:hAnsi="Times New Roman" w:eastAsia="宋体" w:cs="Times New Roman"/>
                <w:b w:val="0"/>
                <w:bCs w:val="0"/>
                <w:color w:val="auto"/>
                <w:sz w:val="24"/>
                <w:szCs w:val="22"/>
                <w:highlight w:val="none"/>
                <w:u w:val="single"/>
                <w:lang w:val="en-US" w:eastAsia="zh-CN"/>
              </w:rPr>
              <w:t>本项目产生的危险废物，若处置不当，如露天堆放，危险废物极易受雨水淋溶而渗入土壤，产生二次污染。同时，在危险废物转移过程中，如包装发生破裂等原因导致危险废物遗失于环境中，则可能造成附近水体或土壤污染。因此，厂区内危险废物贮存场所应按照规定做好防风、防雨、防晒、防渗漏措施，各类危险废物平时收集后妥善贮存于危废贮存场所，定期委托有资质单位处置。</w:t>
            </w:r>
          </w:p>
          <w:p w14:paraId="5AD4524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textAlignment w:val="baseline"/>
              <w:rPr>
                <w:rFonts w:hint="default" w:ascii="Times New Roman" w:hAnsi="Times New Roman" w:eastAsia="宋体" w:cs="Times New Roman"/>
                <w:b/>
                <w:bCs/>
                <w:color w:val="auto"/>
                <w:sz w:val="24"/>
                <w:szCs w:val="22"/>
                <w:highlight w:val="none"/>
                <w:lang w:val="en-US" w:eastAsia="zh-CN"/>
              </w:rPr>
            </w:pPr>
            <w:r>
              <w:rPr>
                <w:rFonts w:hint="eastAsia" w:ascii="Times New Roman" w:hAnsi="Times New Roman" w:eastAsia="宋体" w:cs="Times New Roman"/>
                <w:b/>
                <w:bCs/>
                <w:color w:val="auto"/>
                <w:sz w:val="24"/>
                <w:szCs w:val="22"/>
                <w:highlight w:val="none"/>
                <w:lang w:val="en-US" w:eastAsia="zh-CN"/>
              </w:rPr>
              <w:t xml:space="preserve">6.4 </w:t>
            </w:r>
            <w:r>
              <w:rPr>
                <w:rFonts w:hint="default" w:ascii="Times New Roman" w:hAnsi="Times New Roman" w:eastAsia="宋体" w:cs="Times New Roman"/>
                <w:b/>
                <w:bCs/>
                <w:color w:val="auto"/>
                <w:kern w:val="0"/>
                <w:sz w:val="24"/>
                <w:szCs w:val="24"/>
                <w:u w:val="none"/>
              </w:rPr>
              <w:t>风险防范措施</w:t>
            </w:r>
          </w:p>
          <w:p w14:paraId="1D36844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①强化风险意识、加强安全管理</w:t>
            </w:r>
          </w:p>
          <w:p w14:paraId="2C91F26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安全生产是企业立厂之本，因此首先一定要强化风险意识，加强安全管理，具体要求如下：</w:t>
            </w:r>
          </w:p>
          <w:p w14:paraId="5B983EC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必须将“安全第一，预防为主”作为公司经营的基本原则。必须进行广泛系统的培训，使所有操作人员熟悉自己的岗位，树立严谨规范的操作作风，并且在任何紧急状况下都能随时对工艺装置进行控制，并及时、独立、正确地实施相关应急措施。设立安全生产领导小组，形成领导负总责，全公司参与的管理模式。按《劳动法》有关规定，为职工提供劳动安全条件和劳动防护用品。</w:t>
            </w:r>
          </w:p>
          <w:p w14:paraId="59F4248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②贮存过程风险防范</w:t>
            </w:r>
          </w:p>
          <w:p w14:paraId="1D4F759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原料设置专门的原料库并定期检查，危废设置专门的暂存场所，针对危废类别选用合适的包装容器，危废暂存前需检查包装容器的完整性，严禁将危废暂存于破损的包装容器内，以免物料泄露污染周围环境，同时对危废暂存区域进行定期检查，以便及时发现泄露事故并进行处理。</w:t>
            </w:r>
          </w:p>
          <w:p w14:paraId="07E030B2">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③生产过程风险防范</w:t>
            </w:r>
          </w:p>
          <w:p w14:paraId="5646EC3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生产过程事故风险防范是安全生产的核心，要严格采取措施加以防范，尽可能降低事故概率。必须组织专门人员每天每班多次进行周期性巡回检査，有跑冒滴漏或其他异常现象的应及时检修，必要时按照“生产服从安全”原则停车检修，严禁带病或不正常运转。与维修保养，防祸于未然。必须组织专门人员每天每班多次进行周期性巡回检查，发现异常现象的应及时检修，必要时按照“生产服从安全”原则停车检修，严禁带病或不正常。</w:t>
            </w:r>
          </w:p>
          <w:p w14:paraId="2925C15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④末端处置风险防范措施</w:t>
            </w:r>
          </w:p>
          <w:p w14:paraId="1A13065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危险暂存间：加强对危废储存场所的管理，危险废物贮存场所外要设置危险废物警示标志，危险废物容器和包装物上要设置危险废物标签。危险废物应当委托具有相应危险废物经营资质的单位利用处置，严格执行危险废物转移计划审批和转移联单制度。 危险废物存贮设施底部必须高于地下水最高水位，设施地面与裙脚要用坚固、防渗的材料建造，地面必须硬化、耐腐蚀，且表面无裂缝，贮存设施周围应设置围墙或其它防护栅栏，并防风、防雨、防晒、防漏，做好危险废物的入库、存放、出库记录，不得随意堆置，委托资质单位处置等。</w:t>
            </w:r>
          </w:p>
          <w:p w14:paraId="3364793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⑤突发环境事故应急预案</w:t>
            </w:r>
          </w:p>
          <w:p w14:paraId="65EE262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根据《突发环境事件应急管理办法》（环境保护部 部令第34号）要求，企业事业单位应当按照国务院环境保护主管部门的规定，在开展突发环境事件风险评估和应急资源调查的基础上制定突发环境事件应急预案，并按照分类分级管理的原则，报区级以上环境保护主管部门备案，并与园区及园区企业建立应急联动。</w:t>
            </w:r>
          </w:p>
          <w:p w14:paraId="79F0720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jc w:val="center"/>
              <w:textAlignment w:val="baseline"/>
              <w:rPr>
                <w:rFonts w:hint="default"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表4-</w:t>
            </w:r>
            <w:r>
              <w:rPr>
                <w:rFonts w:hint="eastAsia" w:cs="Times New Roman"/>
                <w:color w:val="auto"/>
                <w:kern w:val="2"/>
                <w:sz w:val="21"/>
                <w:szCs w:val="21"/>
                <w:highlight w:val="none"/>
                <w:lang w:val="en-US" w:eastAsia="zh-CN" w:bidi="ar-SA"/>
              </w:rPr>
              <w:t>18</w:t>
            </w:r>
            <w:r>
              <w:rPr>
                <w:rFonts w:hint="eastAsia" w:ascii="Times New Roman" w:hAnsi="Times New Roman" w:eastAsia="宋体" w:cs="Times New Roman"/>
                <w:color w:val="auto"/>
                <w:kern w:val="2"/>
                <w:sz w:val="21"/>
                <w:szCs w:val="21"/>
                <w:highlight w:val="none"/>
                <w:lang w:val="en-US" w:eastAsia="zh-CN" w:bidi="ar-SA"/>
              </w:rPr>
              <w:t xml:space="preserve">   </w:t>
            </w:r>
            <w:r>
              <w:rPr>
                <w:rFonts w:hint="default" w:ascii="Times New Roman" w:hAnsi="Times New Roman" w:eastAsia="宋体" w:cs="Times New Roman"/>
                <w:color w:val="auto"/>
                <w:kern w:val="2"/>
                <w:sz w:val="21"/>
                <w:szCs w:val="21"/>
                <w:highlight w:val="none"/>
                <w:lang w:val="zh-CN" w:eastAsia="zh-CN" w:bidi="ar-SA"/>
              </w:rPr>
              <w:t>项目环境风险简单分析表</w:t>
            </w:r>
          </w:p>
          <w:tbl>
            <w:tblPr>
              <w:tblStyle w:val="29"/>
              <w:tblW w:w="7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6190"/>
            </w:tblGrid>
            <w:tr w14:paraId="0315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14:paraId="0914C446">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zh-CN" w:eastAsia="zh-CN"/>
                    </w:rPr>
                  </w:pPr>
                  <w:r>
                    <w:rPr>
                      <w:rFonts w:hint="default" w:ascii="Times New Roman" w:hAnsi="Times New Roman" w:eastAsia="宋体" w:cs="Times New Roman"/>
                      <w:b w:val="0"/>
                      <w:bCs w:val="0"/>
                      <w:color w:val="auto"/>
                      <w:sz w:val="21"/>
                      <w:szCs w:val="21"/>
                      <w:highlight w:val="none"/>
                      <w:u w:val="none"/>
                      <w:lang w:val="zh-CN" w:eastAsia="zh-CN"/>
                    </w:rPr>
                    <w:t>建设项目名称</w:t>
                  </w:r>
                </w:p>
              </w:tc>
              <w:tc>
                <w:tcPr>
                  <w:tcW w:w="6190" w:type="dxa"/>
                  <w:vAlign w:val="center"/>
                </w:tcPr>
                <w:p w14:paraId="5BF143E0">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zh-CN" w:eastAsia="zh-CN"/>
                    </w:rPr>
                  </w:pPr>
                  <w:r>
                    <w:rPr>
                      <w:rFonts w:hint="default" w:ascii="Times New Roman" w:hAnsi="Times New Roman" w:eastAsia="宋体" w:cs="Times New Roman"/>
                      <w:b w:val="0"/>
                      <w:bCs w:val="0"/>
                      <w:color w:val="auto"/>
                      <w:sz w:val="21"/>
                      <w:szCs w:val="21"/>
                      <w:highlight w:val="none"/>
                      <w:u w:val="none"/>
                      <w:lang w:val="zh-CN" w:eastAsia="zh-CN"/>
                    </w:rPr>
                    <w:t>濮阳市中原锐实达石油设备有限公司年产800套石油设备项目</w:t>
                  </w:r>
                </w:p>
              </w:tc>
            </w:tr>
            <w:tr w14:paraId="50FB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14:paraId="6E196A53">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zh-CN" w:eastAsia="zh-CN"/>
                    </w:rPr>
                  </w:pPr>
                  <w:r>
                    <w:rPr>
                      <w:rFonts w:hint="default" w:ascii="Times New Roman" w:hAnsi="Times New Roman" w:eastAsia="宋体" w:cs="Times New Roman"/>
                      <w:b w:val="0"/>
                      <w:bCs w:val="0"/>
                      <w:color w:val="auto"/>
                      <w:sz w:val="21"/>
                      <w:szCs w:val="21"/>
                      <w:highlight w:val="none"/>
                      <w:u w:val="none"/>
                      <w:lang w:val="zh-CN" w:eastAsia="zh-CN"/>
                    </w:rPr>
                    <w:t>建设地点</w:t>
                  </w:r>
                </w:p>
              </w:tc>
              <w:tc>
                <w:tcPr>
                  <w:tcW w:w="6190" w:type="dxa"/>
                  <w:vAlign w:val="center"/>
                </w:tcPr>
                <w:p w14:paraId="09D74AB3">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zh-CN" w:eastAsia="zh-CN"/>
                    </w:rPr>
                  </w:pPr>
                  <w:r>
                    <w:rPr>
                      <w:rFonts w:hint="default" w:ascii="Times New Roman" w:hAnsi="Times New Roman" w:eastAsia="宋体" w:cs="Times New Roman"/>
                      <w:b w:val="0"/>
                      <w:bCs w:val="0"/>
                      <w:color w:val="auto"/>
                      <w:sz w:val="21"/>
                      <w:szCs w:val="21"/>
                      <w:highlight w:val="none"/>
                      <w:u w:val="none"/>
                      <w:lang w:val="zh-CN" w:eastAsia="zh-CN"/>
                    </w:rPr>
                    <w:t>濮阳市清丰县先进制造业开发区规划一路东段</w:t>
                  </w:r>
                </w:p>
              </w:tc>
            </w:tr>
            <w:tr w14:paraId="7E57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shd w:val="clear" w:color="auto" w:fill="auto"/>
                  <w:vAlign w:val="center"/>
                </w:tcPr>
                <w:p w14:paraId="5A177255">
                  <w:pPr>
                    <w:pStyle w:val="100"/>
                    <w:spacing w:line="240" w:lineRule="auto"/>
                    <w:jc w:val="center"/>
                    <w:rPr>
                      <w:rFonts w:hint="default" w:ascii="Times New Roman" w:hAnsi="Times New Roman" w:eastAsia="宋体" w:cs="Times New Roman"/>
                      <w:color w:val="auto"/>
                      <w:kern w:val="0"/>
                      <w:sz w:val="21"/>
                      <w:szCs w:val="21"/>
                      <w:highlight w:val="none"/>
                      <w:lang w:val="zh-CN" w:eastAsia="zh-CN" w:bidi="ar-SA"/>
                    </w:rPr>
                  </w:pPr>
                  <w:r>
                    <w:rPr>
                      <w:rFonts w:ascii="Times New Roman" w:hAnsi="Times New Roman"/>
                      <w:color w:val="auto"/>
                      <w:sz w:val="21"/>
                      <w:highlight w:val="none"/>
                    </w:rPr>
                    <w:t>地理坐标</w:t>
                  </w:r>
                </w:p>
              </w:tc>
              <w:tc>
                <w:tcPr>
                  <w:tcW w:w="6190" w:type="dxa"/>
                  <w:vAlign w:val="center"/>
                </w:tcPr>
                <w:p w14:paraId="0B753BCE">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zh-CN" w:eastAsia="zh-CN"/>
                    </w:rPr>
                  </w:pPr>
                  <w:r>
                    <w:rPr>
                      <w:rFonts w:hint="default" w:ascii="Times New Roman" w:hAnsi="Times New Roman" w:eastAsia="宋体" w:cs="Times New Roman"/>
                      <w:b w:val="0"/>
                      <w:bCs w:val="0"/>
                      <w:color w:val="auto"/>
                      <w:sz w:val="21"/>
                      <w:szCs w:val="21"/>
                      <w:highlight w:val="none"/>
                      <w:u w:val="none"/>
                      <w:lang w:val="zh-CN" w:eastAsia="zh-CN"/>
                    </w:rPr>
                    <w:t>（115度7分10.081秒，35度49分55.493秒）</w:t>
                  </w:r>
                </w:p>
              </w:tc>
            </w:tr>
            <w:tr w14:paraId="38E1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shd w:val="clear" w:color="auto" w:fill="auto"/>
                  <w:vAlign w:val="center"/>
                </w:tcPr>
                <w:p w14:paraId="32D4FBBE">
                  <w:pPr>
                    <w:pStyle w:val="100"/>
                    <w:spacing w:line="240" w:lineRule="auto"/>
                    <w:jc w:val="center"/>
                    <w:rPr>
                      <w:rFonts w:hint="default" w:ascii="Times New Roman" w:hAnsi="Times New Roman" w:eastAsia="宋体" w:cs="Times New Roman"/>
                      <w:color w:val="auto"/>
                      <w:kern w:val="0"/>
                      <w:sz w:val="21"/>
                      <w:szCs w:val="21"/>
                      <w:highlight w:val="none"/>
                      <w:lang w:val="zh-CN" w:eastAsia="zh-CN" w:bidi="ar-SA"/>
                    </w:rPr>
                  </w:pPr>
                  <w:r>
                    <w:rPr>
                      <w:rFonts w:ascii="Times New Roman" w:hAnsi="Times New Roman"/>
                      <w:color w:val="auto"/>
                      <w:sz w:val="21"/>
                      <w:highlight w:val="none"/>
                    </w:rPr>
                    <w:t>主要危险物质及分布</w:t>
                  </w:r>
                </w:p>
              </w:tc>
              <w:tc>
                <w:tcPr>
                  <w:tcW w:w="6190" w:type="dxa"/>
                  <w:vAlign w:val="center"/>
                </w:tcPr>
                <w:p w14:paraId="1EA2C196">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zh-CN" w:eastAsia="zh-CN"/>
                    </w:rPr>
                  </w:pPr>
                  <w:r>
                    <w:rPr>
                      <w:rFonts w:hint="default" w:ascii="Times New Roman" w:hAnsi="Times New Roman" w:eastAsia="宋体" w:cs="Times New Roman"/>
                      <w:b w:val="0"/>
                      <w:bCs w:val="0"/>
                      <w:color w:val="auto"/>
                      <w:sz w:val="21"/>
                      <w:szCs w:val="21"/>
                      <w:highlight w:val="none"/>
                      <w:u w:val="none"/>
                      <w:lang w:val="zh-CN" w:eastAsia="zh-CN"/>
                    </w:rPr>
                    <w:t>主要危险物质：</w:t>
                  </w:r>
                  <w:r>
                    <w:rPr>
                      <w:rFonts w:hint="eastAsia" w:hAnsi="Times New Roman" w:cs="Times New Roman"/>
                      <w:b w:val="0"/>
                      <w:bCs w:val="0"/>
                      <w:color w:val="auto"/>
                      <w:sz w:val="21"/>
                      <w:szCs w:val="21"/>
                      <w:highlight w:val="none"/>
                      <w:u w:val="none"/>
                      <w:lang w:val="zh-CN" w:eastAsia="zh-CN"/>
                    </w:rPr>
                    <w:t>切削</w:t>
                  </w:r>
                  <w:r>
                    <w:rPr>
                      <w:rFonts w:hint="default" w:ascii="Times New Roman" w:hAnsi="Times New Roman" w:eastAsia="宋体" w:cs="Times New Roman"/>
                      <w:b w:val="0"/>
                      <w:bCs w:val="0"/>
                      <w:color w:val="auto"/>
                      <w:sz w:val="21"/>
                      <w:szCs w:val="21"/>
                      <w:highlight w:val="none"/>
                      <w:u w:val="none"/>
                      <w:lang w:val="zh-CN" w:eastAsia="zh-CN"/>
                    </w:rPr>
                    <w:t>液、机油、防锈油及危险废物</w:t>
                  </w:r>
                </w:p>
                <w:p w14:paraId="13B4FF3B">
                  <w:pPr>
                    <w:pStyle w:val="56"/>
                    <w:keepNext w:val="0"/>
                    <w:keepLines/>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none"/>
                      <w:lang w:val="zh-CN" w:eastAsia="zh-CN"/>
                    </w:rPr>
                  </w:pPr>
                  <w:r>
                    <w:rPr>
                      <w:rFonts w:hint="default" w:ascii="Times New Roman" w:hAnsi="Times New Roman" w:eastAsia="宋体" w:cs="Times New Roman"/>
                      <w:b w:val="0"/>
                      <w:bCs w:val="0"/>
                      <w:color w:val="auto"/>
                      <w:sz w:val="21"/>
                      <w:szCs w:val="21"/>
                      <w:highlight w:val="none"/>
                      <w:u w:val="none"/>
                      <w:lang w:val="zh-CN" w:eastAsia="zh-CN"/>
                    </w:rPr>
                    <w:t>分布：生产车间1#、生产车间</w:t>
                  </w:r>
                  <w:r>
                    <w:rPr>
                      <w:rFonts w:hint="eastAsia" w:hAnsi="Times New Roman" w:cs="Times New Roman"/>
                      <w:b w:val="0"/>
                      <w:bCs w:val="0"/>
                      <w:color w:val="auto"/>
                      <w:sz w:val="21"/>
                      <w:szCs w:val="21"/>
                      <w:highlight w:val="none"/>
                      <w:u w:val="none"/>
                      <w:lang w:val="en-US" w:eastAsia="zh-CN"/>
                    </w:rPr>
                    <w:t>3</w:t>
                  </w:r>
                  <w:r>
                    <w:rPr>
                      <w:rFonts w:hint="default" w:ascii="Times New Roman" w:hAnsi="Times New Roman" w:eastAsia="宋体" w:cs="Times New Roman"/>
                      <w:b w:val="0"/>
                      <w:bCs w:val="0"/>
                      <w:color w:val="auto"/>
                      <w:sz w:val="21"/>
                      <w:szCs w:val="21"/>
                      <w:highlight w:val="none"/>
                      <w:u w:val="none"/>
                      <w:lang w:val="zh-CN" w:eastAsia="zh-CN"/>
                    </w:rPr>
                    <w:t>#、危废暂存间</w:t>
                  </w:r>
                </w:p>
              </w:tc>
            </w:tr>
            <w:tr w14:paraId="6DDC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shd w:val="clear" w:color="auto" w:fill="auto"/>
                  <w:vAlign w:val="center"/>
                </w:tcPr>
                <w:p w14:paraId="2E977816">
                  <w:pPr>
                    <w:pStyle w:val="100"/>
                    <w:spacing w:line="240" w:lineRule="auto"/>
                    <w:jc w:val="center"/>
                    <w:rPr>
                      <w:rFonts w:hint="default" w:ascii="Times New Roman" w:hAnsi="Times New Roman" w:eastAsia="宋体" w:cs="Times New Roman"/>
                      <w:color w:val="auto"/>
                      <w:kern w:val="0"/>
                      <w:sz w:val="21"/>
                      <w:szCs w:val="21"/>
                      <w:highlight w:val="none"/>
                      <w:lang w:val="zh-CN" w:eastAsia="zh-CN" w:bidi="ar-SA"/>
                    </w:rPr>
                  </w:pPr>
                  <w:r>
                    <w:rPr>
                      <w:rFonts w:ascii="Times New Roman" w:hAnsi="Times New Roman"/>
                      <w:color w:val="auto"/>
                      <w:sz w:val="21"/>
                      <w:highlight w:val="none"/>
                    </w:rPr>
                    <w:t>环境影响途径及危害后果</w:t>
                  </w:r>
                </w:p>
              </w:tc>
              <w:tc>
                <w:tcPr>
                  <w:tcW w:w="6190" w:type="dxa"/>
                  <w:vAlign w:val="center"/>
                </w:tcPr>
                <w:p w14:paraId="7ABB4DF3">
                  <w:pPr>
                    <w:pStyle w:val="56"/>
                    <w:keepNext w:val="0"/>
                    <w:keepLines/>
                    <w:pageBreakBefore w:val="0"/>
                    <w:widowControl w:val="0"/>
                    <w:kinsoku/>
                    <w:wordWrap/>
                    <w:overflowPunct/>
                    <w:topLinePunct w:val="0"/>
                    <w:autoSpaceDE/>
                    <w:autoSpaceDN/>
                    <w:bidi w:val="0"/>
                    <w:adjustRightInd/>
                    <w:snapToGrid/>
                    <w:spacing w:before="63" w:beforeLines="20" w:after="63" w:afterLines="20"/>
                    <w:jc w:val="both"/>
                    <w:textAlignment w:val="auto"/>
                    <w:rPr>
                      <w:rFonts w:hint="default" w:ascii="Times New Roman" w:hAnsi="Times New Roman" w:eastAsia="宋体" w:cs="Times New Roman"/>
                      <w:b w:val="0"/>
                      <w:bCs w:val="0"/>
                      <w:color w:val="auto"/>
                      <w:sz w:val="21"/>
                      <w:szCs w:val="21"/>
                      <w:highlight w:val="none"/>
                      <w:u w:val="none"/>
                      <w:lang w:val="zh-CN" w:eastAsia="zh-CN"/>
                    </w:rPr>
                  </w:pPr>
                  <w:r>
                    <w:rPr>
                      <w:rFonts w:hint="default" w:ascii="Times New Roman" w:hAnsi="Times New Roman" w:eastAsia="宋体" w:cs="Times New Roman"/>
                      <w:b w:val="0"/>
                      <w:bCs w:val="0"/>
                      <w:color w:val="auto"/>
                      <w:sz w:val="21"/>
                      <w:szCs w:val="21"/>
                      <w:highlight w:val="none"/>
                      <w:u w:val="none"/>
                      <w:lang w:val="zh-CN" w:eastAsia="zh-CN"/>
                    </w:rPr>
                    <w:t>①原料泄露，造成的地表水、地下水及土壤环境污染事故；</w:t>
                  </w:r>
                </w:p>
                <w:p w14:paraId="207FC3F3">
                  <w:pPr>
                    <w:pStyle w:val="56"/>
                    <w:keepNext w:val="0"/>
                    <w:keepLines/>
                    <w:pageBreakBefore w:val="0"/>
                    <w:widowControl w:val="0"/>
                    <w:kinsoku/>
                    <w:wordWrap/>
                    <w:overflowPunct/>
                    <w:topLinePunct w:val="0"/>
                    <w:autoSpaceDE/>
                    <w:autoSpaceDN/>
                    <w:bidi w:val="0"/>
                    <w:adjustRightInd/>
                    <w:snapToGrid/>
                    <w:spacing w:before="63" w:beforeLines="20" w:after="63" w:afterLines="20"/>
                    <w:jc w:val="both"/>
                    <w:textAlignment w:val="auto"/>
                    <w:rPr>
                      <w:rFonts w:hint="default" w:ascii="Times New Roman" w:hAnsi="Times New Roman" w:eastAsia="宋体" w:cs="Times New Roman"/>
                      <w:b w:val="0"/>
                      <w:bCs w:val="0"/>
                      <w:color w:val="auto"/>
                      <w:sz w:val="21"/>
                      <w:szCs w:val="21"/>
                      <w:highlight w:val="none"/>
                      <w:u w:val="none"/>
                      <w:lang w:val="zh-CN" w:eastAsia="zh-CN"/>
                    </w:rPr>
                  </w:pPr>
                  <w:r>
                    <w:rPr>
                      <w:rFonts w:hint="default" w:ascii="Times New Roman" w:hAnsi="Times New Roman" w:eastAsia="宋体" w:cs="Times New Roman"/>
                      <w:b w:val="0"/>
                      <w:bCs w:val="0"/>
                      <w:color w:val="auto"/>
                      <w:sz w:val="21"/>
                      <w:szCs w:val="21"/>
                      <w:highlight w:val="none"/>
                      <w:u w:val="none"/>
                      <w:lang w:val="zh-CN" w:eastAsia="zh-CN"/>
                    </w:rPr>
                    <w:t>②危险废物贮存场所管理不善，导致无组织流散，造成的地表水、地下水及土壤环境污染事故；</w:t>
                  </w:r>
                </w:p>
              </w:tc>
            </w:tr>
            <w:tr w14:paraId="538E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shd w:val="clear" w:color="auto" w:fill="auto"/>
                  <w:vAlign w:val="center"/>
                </w:tcPr>
                <w:p w14:paraId="1BAABF62">
                  <w:pPr>
                    <w:pStyle w:val="100"/>
                    <w:spacing w:line="240" w:lineRule="auto"/>
                    <w:jc w:val="center"/>
                    <w:rPr>
                      <w:rFonts w:hint="default" w:ascii="Times New Roman" w:hAnsi="Times New Roman" w:eastAsia="宋体" w:cs="Times New Roman"/>
                      <w:color w:val="auto"/>
                      <w:kern w:val="0"/>
                      <w:sz w:val="21"/>
                      <w:szCs w:val="21"/>
                      <w:highlight w:val="none"/>
                      <w:lang w:val="zh-CN" w:eastAsia="zh-CN" w:bidi="ar-SA"/>
                    </w:rPr>
                  </w:pPr>
                  <w:r>
                    <w:rPr>
                      <w:rFonts w:ascii="Times New Roman" w:hAnsi="Times New Roman"/>
                      <w:color w:val="auto"/>
                      <w:sz w:val="21"/>
                      <w:highlight w:val="none"/>
                    </w:rPr>
                    <w:t>风险防范措施要求</w:t>
                  </w:r>
                </w:p>
              </w:tc>
              <w:tc>
                <w:tcPr>
                  <w:tcW w:w="6190" w:type="dxa"/>
                  <w:vAlign w:val="center"/>
                </w:tcPr>
                <w:p w14:paraId="6FE7339D">
                  <w:pPr>
                    <w:pStyle w:val="56"/>
                    <w:keepNext w:val="0"/>
                    <w:keepLines/>
                    <w:pageBreakBefore w:val="0"/>
                    <w:widowControl w:val="0"/>
                    <w:kinsoku/>
                    <w:wordWrap/>
                    <w:overflowPunct/>
                    <w:topLinePunct w:val="0"/>
                    <w:autoSpaceDE/>
                    <w:autoSpaceDN/>
                    <w:bidi w:val="0"/>
                    <w:adjustRightInd/>
                    <w:snapToGrid/>
                    <w:spacing w:before="63" w:beforeLines="20" w:after="63" w:afterLines="20"/>
                    <w:jc w:val="both"/>
                    <w:textAlignment w:val="auto"/>
                    <w:rPr>
                      <w:rFonts w:hint="default" w:ascii="Times New Roman" w:hAnsi="Times New Roman" w:eastAsia="宋体" w:cs="Times New Roman"/>
                      <w:b w:val="0"/>
                      <w:bCs w:val="0"/>
                      <w:color w:val="auto"/>
                      <w:sz w:val="21"/>
                      <w:szCs w:val="21"/>
                      <w:highlight w:val="none"/>
                      <w:u w:val="none"/>
                      <w:lang w:val="zh-CN" w:eastAsia="zh-CN"/>
                    </w:rPr>
                  </w:pPr>
                  <w:r>
                    <w:rPr>
                      <w:rFonts w:hint="default" w:ascii="Times New Roman" w:hAnsi="Times New Roman" w:eastAsia="宋体" w:cs="Times New Roman"/>
                      <w:b w:val="0"/>
                      <w:bCs w:val="0"/>
                      <w:color w:val="auto"/>
                      <w:sz w:val="21"/>
                      <w:szCs w:val="21"/>
                      <w:highlight w:val="none"/>
                      <w:u w:val="none"/>
                      <w:lang w:val="zh-CN" w:eastAsia="zh-CN"/>
                    </w:rPr>
                    <w:t>详见风险防范措施</w:t>
                  </w:r>
                </w:p>
              </w:tc>
            </w:tr>
          </w:tbl>
          <w:p w14:paraId="64B982D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textAlignment w:val="baseline"/>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采取环境风险防范措施及应急要求后，本建设项目环境风险可防控。</w:t>
            </w:r>
          </w:p>
          <w:p w14:paraId="7EB88961">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jc w:val="both"/>
              <w:textAlignment w:val="baseline"/>
              <w:rPr>
                <w:rFonts w:hint="default" w:ascii="Times New Roman" w:hAnsi="Times New Roman" w:eastAsia="宋体" w:cs="Times New Roman"/>
                <w:b/>
                <w:bCs/>
                <w:color w:val="auto"/>
                <w:kern w:val="2"/>
                <w:sz w:val="24"/>
                <w:szCs w:val="22"/>
                <w:highlight w:val="none"/>
                <w:lang w:val="en-US" w:eastAsia="zh-CN" w:bidi="ar-SA"/>
              </w:rPr>
            </w:pPr>
            <w:r>
              <w:rPr>
                <w:rFonts w:hint="default" w:ascii="Times New Roman" w:hAnsi="Times New Roman" w:eastAsia="宋体" w:cs="Times New Roman"/>
                <w:b/>
                <w:bCs/>
                <w:color w:val="auto"/>
                <w:kern w:val="2"/>
                <w:sz w:val="24"/>
                <w:szCs w:val="22"/>
                <w:highlight w:val="none"/>
                <w:lang w:val="en-US" w:eastAsia="zh-CN" w:bidi="ar-SA"/>
              </w:rPr>
              <w:t>7、</w:t>
            </w:r>
            <w:r>
              <w:rPr>
                <w:rFonts w:hint="eastAsia" w:cs="Times New Roman"/>
                <w:b/>
                <w:bCs/>
                <w:color w:val="auto"/>
                <w:kern w:val="2"/>
                <w:sz w:val="24"/>
                <w:szCs w:val="22"/>
                <w:highlight w:val="none"/>
                <w:lang w:val="en-US" w:eastAsia="zh-CN" w:bidi="ar-SA"/>
              </w:rPr>
              <w:t>污染物“三本账”汇总</w:t>
            </w:r>
          </w:p>
          <w:p w14:paraId="50645784">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firstLine="480" w:firstLineChars="200"/>
              <w:jc w:val="both"/>
              <w:textAlignment w:val="baseline"/>
              <w:rPr>
                <w:rFonts w:hint="default" w:ascii="Times New Roman" w:hAnsi="Times New Roman" w:eastAsia="宋体" w:cs="Times New Roman"/>
                <w:b w:val="0"/>
                <w:bCs w:val="0"/>
                <w:snapToGrid w:val="0"/>
                <w:color w:val="auto"/>
                <w:kern w:val="2"/>
                <w:sz w:val="24"/>
                <w:szCs w:val="24"/>
                <w:highlight w:val="none"/>
                <w:u w:val="none"/>
                <w:vertAlign w:val="baseline"/>
                <w:lang w:val="en-US" w:eastAsia="zh-CN" w:bidi="ar-SA"/>
              </w:rPr>
            </w:pPr>
            <w:r>
              <w:rPr>
                <w:rFonts w:hint="default" w:ascii="Times New Roman" w:hAnsi="Times New Roman" w:eastAsia="宋体" w:cs="Times New Roman"/>
                <w:b w:val="0"/>
                <w:bCs w:val="0"/>
                <w:snapToGrid w:val="0"/>
                <w:color w:val="auto"/>
                <w:kern w:val="2"/>
                <w:sz w:val="24"/>
                <w:szCs w:val="24"/>
                <w:highlight w:val="none"/>
                <w:u w:val="none"/>
                <w:vertAlign w:val="baseline"/>
                <w:lang w:val="en-US" w:eastAsia="zh-CN" w:bidi="ar-SA"/>
              </w:rPr>
              <w:t>新建（迁建）完成后，各污染物产排“三本账”详见下表。</w:t>
            </w:r>
          </w:p>
          <w:p w14:paraId="33A5880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jc w:val="center"/>
              <w:textAlignment w:val="baseline"/>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表4-</w:t>
            </w:r>
            <w:r>
              <w:rPr>
                <w:rFonts w:hint="eastAsia" w:cs="Times New Roman"/>
                <w:color w:val="auto"/>
                <w:sz w:val="21"/>
                <w:szCs w:val="21"/>
                <w:highlight w:val="none"/>
                <w:u w:val="single"/>
                <w:lang w:val="en-US" w:eastAsia="zh-CN"/>
              </w:rPr>
              <w:t>19</w:t>
            </w:r>
            <w:r>
              <w:rPr>
                <w:rFonts w:hint="default" w:ascii="Times New Roman" w:hAnsi="Times New Roman" w:eastAsia="宋体" w:cs="Times New Roman"/>
                <w:color w:val="auto"/>
                <w:sz w:val="21"/>
                <w:szCs w:val="21"/>
                <w:highlight w:val="none"/>
                <w:u w:val="single"/>
                <w:lang w:val="en-US" w:eastAsia="zh-CN"/>
              </w:rPr>
              <w:t xml:space="preserve">   污染物“三本账”汇总（单位：t/a）</w:t>
            </w:r>
          </w:p>
          <w:tbl>
            <w:tblPr>
              <w:tblStyle w:val="2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91"/>
              <w:gridCol w:w="879"/>
              <w:gridCol w:w="885"/>
              <w:gridCol w:w="1214"/>
              <w:gridCol w:w="873"/>
              <w:gridCol w:w="1293"/>
              <w:gridCol w:w="971"/>
            </w:tblGrid>
            <w:tr w14:paraId="5429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noWrap w:val="0"/>
                  <w:vAlign w:val="center"/>
                </w:tcPr>
                <w:p w14:paraId="1DC988AD">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污染源类别</w:t>
                  </w:r>
                </w:p>
              </w:tc>
              <w:tc>
                <w:tcPr>
                  <w:tcW w:w="580" w:type="pct"/>
                  <w:noWrap w:val="0"/>
                  <w:vAlign w:val="center"/>
                </w:tcPr>
                <w:p w14:paraId="17B52B0E">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污染物名称</w:t>
                  </w:r>
                </w:p>
              </w:tc>
              <w:tc>
                <w:tcPr>
                  <w:tcW w:w="572" w:type="pct"/>
                  <w:noWrap w:val="0"/>
                  <w:vAlign w:val="center"/>
                </w:tcPr>
                <w:p w14:paraId="27BBC7C8">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原有工程排放量</w:t>
                  </w:r>
                </w:p>
              </w:tc>
              <w:tc>
                <w:tcPr>
                  <w:tcW w:w="576" w:type="pct"/>
                  <w:noWrap w:val="0"/>
                  <w:vAlign w:val="center"/>
                </w:tcPr>
                <w:p w14:paraId="6A57906F">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原有工程许可排放量</w:t>
                  </w:r>
                </w:p>
              </w:tc>
              <w:tc>
                <w:tcPr>
                  <w:tcW w:w="790" w:type="pct"/>
                  <w:noWrap w:val="0"/>
                  <w:vAlign w:val="center"/>
                </w:tcPr>
                <w:p w14:paraId="4EAC68BC">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本项目</w:t>
                  </w:r>
                  <w:r>
                    <w:rPr>
                      <w:rFonts w:hint="eastAsia" w:cs="Times New Roman"/>
                      <w:b w:val="0"/>
                      <w:bCs w:val="0"/>
                      <w:color w:val="auto"/>
                      <w:sz w:val="21"/>
                      <w:szCs w:val="21"/>
                      <w:highlight w:val="none"/>
                      <w:u w:val="single"/>
                      <w:vertAlign w:val="baseline"/>
                      <w:lang w:val="en-US" w:eastAsia="zh-CN"/>
                    </w:rPr>
                    <w:t>排放</w:t>
                  </w:r>
                  <w:r>
                    <w:rPr>
                      <w:rFonts w:hint="default" w:ascii="Times New Roman" w:hAnsi="Times New Roman" w:eastAsia="宋体" w:cs="Times New Roman"/>
                      <w:b w:val="0"/>
                      <w:bCs w:val="0"/>
                      <w:color w:val="auto"/>
                      <w:sz w:val="21"/>
                      <w:szCs w:val="21"/>
                      <w:highlight w:val="none"/>
                      <w:u w:val="single"/>
                      <w:vertAlign w:val="baseline"/>
                      <w:lang w:val="en-US" w:eastAsia="zh-CN"/>
                    </w:rPr>
                    <w:t>量</w:t>
                  </w:r>
                  <w:r>
                    <w:rPr>
                      <w:rFonts w:hint="eastAsia" w:cs="Times New Roman"/>
                      <w:b w:val="0"/>
                      <w:bCs w:val="0"/>
                      <w:color w:val="auto"/>
                      <w:sz w:val="21"/>
                      <w:szCs w:val="21"/>
                      <w:highlight w:val="none"/>
                      <w:u w:val="single"/>
                      <w:vertAlign w:val="baseline"/>
                      <w:lang w:val="en-US" w:eastAsia="zh-CN"/>
                    </w:rPr>
                    <w:t>/固体废物处置量</w:t>
                  </w:r>
                </w:p>
              </w:tc>
              <w:tc>
                <w:tcPr>
                  <w:tcW w:w="568" w:type="pct"/>
                  <w:noWrap w:val="0"/>
                  <w:vAlign w:val="center"/>
                </w:tcPr>
                <w:p w14:paraId="12F3BE70">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“以新带老”削减量</w:t>
                  </w:r>
                </w:p>
              </w:tc>
              <w:tc>
                <w:tcPr>
                  <w:tcW w:w="842" w:type="pct"/>
                  <w:noWrap w:val="0"/>
                  <w:vAlign w:val="center"/>
                </w:tcPr>
                <w:p w14:paraId="5F2B4B4D">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项目完成后全厂</w:t>
                  </w:r>
                  <w:r>
                    <w:rPr>
                      <w:rFonts w:hint="eastAsia" w:cs="Times New Roman"/>
                      <w:b w:val="0"/>
                      <w:bCs w:val="0"/>
                      <w:color w:val="auto"/>
                      <w:sz w:val="21"/>
                      <w:szCs w:val="21"/>
                      <w:highlight w:val="none"/>
                      <w:u w:val="single"/>
                      <w:vertAlign w:val="baseline"/>
                      <w:lang w:val="en-US" w:eastAsia="zh-CN"/>
                    </w:rPr>
                    <w:t>排放</w:t>
                  </w:r>
                  <w:r>
                    <w:rPr>
                      <w:rFonts w:hint="default" w:ascii="Times New Roman" w:hAnsi="Times New Roman" w:eastAsia="宋体" w:cs="Times New Roman"/>
                      <w:b w:val="0"/>
                      <w:bCs w:val="0"/>
                      <w:color w:val="auto"/>
                      <w:sz w:val="21"/>
                      <w:szCs w:val="21"/>
                      <w:highlight w:val="none"/>
                      <w:u w:val="single"/>
                      <w:vertAlign w:val="baseline"/>
                      <w:lang w:val="en-US" w:eastAsia="zh-CN"/>
                    </w:rPr>
                    <w:t>量</w:t>
                  </w:r>
                  <w:r>
                    <w:rPr>
                      <w:rFonts w:hint="eastAsia" w:cs="Times New Roman"/>
                      <w:b w:val="0"/>
                      <w:bCs w:val="0"/>
                      <w:color w:val="auto"/>
                      <w:sz w:val="21"/>
                      <w:szCs w:val="21"/>
                      <w:highlight w:val="none"/>
                      <w:u w:val="single"/>
                      <w:vertAlign w:val="baseline"/>
                      <w:lang w:val="en-US" w:eastAsia="zh-CN"/>
                    </w:rPr>
                    <w:t>/固体废物处置量</w:t>
                  </w:r>
                </w:p>
              </w:tc>
              <w:tc>
                <w:tcPr>
                  <w:tcW w:w="628" w:type="pct"/>
                  <w:noWrap w:val="0"/>
                  <w:vAlign w:val="center"/>
                </w:tcPr>
                <w:p w14:paraId="00ED2FCE">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增减量变化</w:t>
                  </w:r>
                </w:p>
              </w:tc>
            </w:tr>
            <w:tr w14:paraId="4C98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vMerge w:val="restart"/>
                  <w:noWrap w:val="0"/>
                  <w:vAlign w:val="center"/>
                </w:tcPr>
                <w:p w14:paraId="47A65806">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废气</w:t>
                  </w:r>
                </w:p>
              </w:tc>
              <w:tc>
                <w:tcPr>
                  <w:tcW w:w="580" w:type="pct"/>
                  <w:noWrap w:val="0"/>
                  <w:vAlign w:val="center"/>
                </w:tcPr>
                <w:p w14:paraId="680BAA0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颗粒物</w:t>
                  </w:r>
                </w:p>
              </w:tc>
              <w:tc>
                <w:tcPr>
                  <w:tcW w:w="572" w:type="pct"/>
                  <w:noWrap w:val="0"/>
                  <w:vAlign w:val="center"/>
                </w:tcPr>
                <w:p w14:paraId="2B8C5D7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kern w:val="2"/>
                      <w:sz w:val="21"/>
                      <w:szCs w:val="21"/>
                      <w:highlight w:val="none"/>
                      <w:u w:val="single"/>
                      <w:vertAlign w:val="baseline"/>
                      <w:lang w:val="en-US" w:eastAsia="zh-CN" w:bidi="ar-SA"/>
                    </w:rPr>
                    <w:t>0.0875</w:t>
                  </w:r>
                </w:p>
              </w:tc>
              <w:tc>
                <w:tcPr>
                  <w:tcW w:w="576" w:type="pct"/>
                  <w:noWrap w:val="0"/>
                  <w:vAlign w:val="center"/>
                </w:tcPr>
                <w:p w14:paraId="031552B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kern w:val="2"/>
                      <w:sz w:val="21"/>
                      <w:szCs w:val="21"/>
                      <w:highlight w:val="none"/>
                      <w:u w:val="single"/>
                      <w:vertAlign w:val="baseline"/>
                      <w:lang w:val="en-US" w:eastAsia="zh-CN" w:bidi="ar-SA"/>
                    </w:rPr>
                  </w:pPr>
                  <w:r>
                    <w:rPr>
                      <w:rFonts w:hint="eastAsia" w:cs="Times New Roman"/>
                      <w:color w:val="auto"/>
                      <w:kern w:val="2"/>
                      <w:sz w:val="21"/>
                      <w:szCs w:val="21"/>
                      <w:highlight w:val="none"/>
                      <w:u w:val="single"/>
                      <w:vertAlign w:val="baseline"/>
                      <w:lang w:val="en-US" w:eastAsia="zh-CN" w:bidi="ar-SA"/>
                    </w:rPr>
                    <w:t>0.15</w:t>
                  </w:r>
                </w:p>
              </w:tc>
              <w:tc>
                <w:tcPr>
                  <w:tcW w:w="790" w:type="pct"/>
                  <w:noWrap w:val="0"/>
                  <w:vAlign w:val="center"/>
                </w:tcPr>
                <w:p w14:paraId="39C4FD2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kern w:val="2"/>
                      <w:sz w:val="21"/>
                      <w:szCs w:val="21"/>
                      <w:highlight w:val="none"/>
                      <w:u w:val="single"/>
                      <w:vertAlign w:val="baseline"/>
                      <w:lang w:val="en-US" w:eastAsia="zh-CN" w:bidi="ar-SA"/>
                    </w:rPr>
                    <w:t>0.2174</w:t>
                  </w:r>
                </w:p>
              </w:tc>
              <w:tc>
                <w:tcPr>
                  <w:tcW w:w="568" w:type="pct"/>
                  <w:shd w:val="clear" w:color="auto" w:fill="auto"/>
                  <w:noWrap w:val="0"/>
                  <w:vAlign w:val="center"/>
                </w:tcPr>
                <w:p w14:paraId="4839A98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kern w:val="2"/>
                      <w:sz w:val="21"/>
                      <w:szCs w:val="21"/>
                      <w:highlight w:val="none"/>
                      <w:u w:val="single"/>
                      <w:vertAlign w:val="baseline"/>
                      <w:lang w:val="en-US" w:eastAsia="zh-CN" w:bidi="ar-SA"/>
                    </w:rPr>
                    <w:t>0.0875</w:t>
                  </w:r>
                </w:p>
              </w:tc>
              <w:tc>
                <w:tcPr>
                  <w:tcW w:w="842" w:type="pct"/>
                  <w:shd w:val="clear" w:color="auto" w:fill="auto"/>
                  <w:noWrap w:val="0"/>
                  <w:vAlign w:val="center"/>
                </w:tcPr>
                <w:p w14:paraId="509CFC6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kern w:val="2"/>
                      <w:sz w:val="21"/>
                      <w:szCs w:val="21"/>
                      <w:highlight w:val="none"/>
                      <w:u w:val="single"/>
                      <w:vertAlign w:val="baseline"/>
                      <w:lang w:val="en-US" w:eastAsia="zh-CN" w:bidi="ar-SA"/>
                    </w:rPr>
                    <w:t>0.2174</w:t>
                  </w:r>
                </w:p>
              </w:tc>
              <w:tc>
                <w:tcPr>
                  <w:tcW w:w="628" w:type="pct"/>
                  <w:noWrap w:val="0"/>
                  <w:vAlign w:val="center"/>
                </w:tcPr>
                <w:p w14:paraId="3A98569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kern w:val="2"/>
                      <w:sz w:val="21"/>
                      <w:szCs w:val="21"/>
                      <w:highlight w:val="none"/>
                      <w:u w:val="single"/>
                      <w:vertAlign w:val="baseline"/>
                      <w:lang w:val="en-US" w:eastAsia="zh-CN" w:bidi="ar-SA"/>
                    </w:rPr>
                    <w:t>+0.1299</w:t>
                  </w:r>
                </w:p>
              </w:tc>
            </w:tr>
            <w:tr w14:paraId="12A9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vMerge w:val="continue"/>
                  <w:noWrap w:val="0"/>
                  <w:vAlign w:val="center"/>
                </w:tcPr>
                <w:p w14:paraId="0982569C">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p>
              </w:tc>
              <w:tc>
                <w:tcPr>
                  <w:tcW w:w="580" w:type="pct"/>
                  <w:noWrap w:val="0"/>
                  <w:vAlign w:val="center"/>
                </w:tcPr>
                <w:p w14:paraId="6E5AFDC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非甲烷总烃</w:t>
                  </w:r>
                </w:p>
              </w:tc>
              <w:tc>
                <w:tcPr>
                  <w:tcW w:w="572" w:type="pct"/>
                  <w:noWrap w:val="0"/>
                  <w:vAlign w:val="center"/>
                </w:tcPr>
                <w:p w14:paraId="246D597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eastAsia="宋体" w:cs="Times New Roman"/>
                      <w:color w:val="auto"/>
                      <w:kern w:val="2"/>
                      <w:sz w:val="21"/>
                      <w:szCs w:val="21"/>
                      <w:highlight w:val="none"/>
                      <w:u w:val="single"/>
                      <w:vertAlign w:val="baseline"/>
                      <w:lang w:val="en-US" w:eastAsia="zh-CN" w:bidi="ar-SA"/>
                    </w:rPr>
                    <w:t>0</w:t>
                  </w:r>
                </w:p>
              </w:tc>
              <w:tc>
                <w:tcPr>
                  <w:tcW w:w="576" w:type="pct"/>
                  <w:noWrap w:val="0"/>
                  <w:vAlign w:val="center"/>
                </w:tcPr>
                <w:p w14:paraId="5DB3665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eastAsia="宋体" w:cs="Times New Roman"/>
                      <w:color w:val="auto"/>
                      <w:kern w:val="2"/>
                      <w:sz w:val="21"/>
                      <w:szCs w:val="21"/>
                      <w:highlight w:val="none"/>
                      <w:u w:val="single"/>
                      <w:vertAlign w:val="baseline"/>
                      <w:lang w:val="en-US" w:eastAsia="zh-CN" w:bidi="ar-SA"/>
                    </w:rPr>
                    <w:t>/</w:t>
                  </w:r>
                </w:p>
              </w:tc>
              <w:tc>
                <w:tcPr>
                  <w:tcW w:w="790" w:type="pct"/>
                  <w:noWrap w:val="0"/>
                  <w:vAlign w:val="center"/>
                </w:tcPr>
                <w:p w14:paraId="51CD024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kern w:val="2"/>
                      <w:sz w:val="21"/>
                      <w:szCs w:val="21"/>
                      <w:highlight w:val="none"/>
                      <w:u w:val="single"/>
                      <w:vertAlign w:val="baseline"/>
                      <w:lang w:val="en-US" w:eastAsia="zh-CN" w:bidi="ar-SA"/>
                    </w:rPr>
                    <w:t>0.0716</w:t>
                  </w:r>
                </w:p>
              </w:tc>
              <w:tc>
                <w:tcPr>
                  <w:tcW w:w="568" w:type="pct"/>
                  <w:shd w:val="clear" w:color="auto" w:fill="auto"/>
                  <w:noWrap w:val="0"/>
                  <w:vAlign w:val="center"/>
                </w:tcPr>
                <w:p w14:paraId="3E258D9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eastAsia="宋体" w:cs="Times New Roman"/>
                      <w:color w:val="auto"/>
                      <w:kern w:val="2"/>
                      <w:sz w:val="21"/>
                      <w:szCs w:val="21"/>
                      <w:highlight w:val="none"/>
                      <w:u w:val="single"/>
                      <w:vertAlign w:val="baseline"/>
                      <w:lang w:val="en-US" w:eastAsia="zh-CN" w:bidi="ar-SA"/>
                    </w:rPr>
                    <w:t>0</w:t>
                  </w:r>
                </w:p>
              </w:tc>
              <w:tc>
                <w:tcPr>
                  <w:tcW w:w="842" w:type="pct"/>
                  <w:shd w:val="clear" w:color="auto" w:fill="auto"/>
                  <w:noWrap w:val="0"/>
                  <w:vAlign w:val="center"/>
                </w:tcPr>
                <w:p w14:paraId="762C6A3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kern w:val="2"/>
                      <w:sz w:val="21"/>
                      <w:szCs w:val="21"/>
                      <w:highlight w:val="none"/>
                      <w:u w:val="single"/>
                      <w:vertAlign w:val="baseline"/>
                      <w:lang w:val="en-US" w:eastAsia="zh-CN" w:bidi="ar-SA"/>
                    </w:rPr>
                    <w:t>0.0716</w:t>
                  </w:r>
                </w:p>
              </w:tc>
              <w:tc>
                <w:tcPr>
                  <w:tcW w:w="628" w:type="pct"/>
                  <w:shd w:val="clear" w:color="auto" w:fill="auto"/>
                  <w:noWrap w:val="0"/>
                  <w:vAlign w:val="center"/>
                </w:tcPr>
                <w:p w14:paraId="4514748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eastAsia="宋体" w:cs="Times New Roman"/>
                      <w:color w:val="auto"/>
                      <w:kern w:val="2"/>
                      <w:sz w:val="21"/>
                      <w:szCs w:val="21"/>
                      <w:highlight w:val="none"/>
                      <w:u w:val="single"/>
                      <w:vertAlign w:val="baseline"/>
                      <w:lang w:val="en-US" w:eastAsia="zh-CN" w:bidi="ar-SA"/>
                    </w:rPr>
                    <w:t>+</w:t>
                  </w:r>
                  <w:r>
                    <w:rPr>
                      <w:rFonts w:hint="eastAsia" w:cs="Times New Roman"/>
                      <w:color w:val="auto"/>
                      <w:kern w:val="2"/>
                      <w:sz w:val="21"/>
                      <w:szCs w:val="21"/>
                      <w:highlight w:val="none"/>
                      <w:u w:val="single"/>
                      <w:vertAlign w:val="baseline"/>
                      <w:lang w:val="en-US" w:eastAsia="zh-CN" w:bidi="ar-SA"/>
                    </w:rPr>
                    <w:t>0.0716</w:t>
                  </w:r>
                </w:p>
              </w:tc>
            </w:tr>
            <w:tr w14:paraId="55FA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40" w:type="pct"/>
                  <w:vMerge w:val="restart"/>
                  <w:noWrap w:val="0"/>
                  <w:vAlign w:val="center"/>
                </w:tcPr>
                <w:p w14:paraId="559492EF">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废水（入外环境）</w:t>
                  </w:r>
                </w:p>
              </w:tc>
              <w:tc>
                <w:tcPr>
                  <w:tcW w:w="580" w:type="pct"/>
                  <w:noWrap w:val="0"/>
                  <w:vAlign w:val="center"/>
                </w:tcPr>
                <w:p w14:paraId="1CFE6D0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化学需氧量</w:t>
                  </w:r>
                </w:p>
              </w:tc>
              <w:tc>
                <w:tcPr>
                  <w:tcW w:w="572" w:type="pct"/>
                  <w:noWrap w:val="0"/>
                  <w:vAlign w:val="center"/>
                </w:tcPr>
                <w:p w14:paraId="0F540D18">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color w:val="auto"/>
                      <w:highlight w:val="none"/>
                      <w:u w:val="single"/>
                      <w:lang w:val="en-US" w:eastAsia="zh-CN"/>
                    </w:rPr>
                  </w:pPr>
                  <w:r>
                    <w:rPr>
                      <w:rFonts w:hint="eastAsia" w:cs="Times New Roman"/>
                      <w:b w:val="0"/>
                      <w:bCs w:val="0"/>
                      <w:color w:val="auto"/>
                      <w:kern w:val="2"/>
                      <w:sz w:val="21"/>
                      <w:szCs w:val="21"/>
                      <w:highlight w:val="none"/>
                      <w:u w:val="single"/>
                      <w:lang w:val="en-US" w:eastAsia="zh-CN" w:bidi="ar-SA"/>
                    </w:rPr>
                    <w:t>0.015</w:t>
                  </w:r>
                </w:p>
              </w:tc>
              <w:tc>
                <w:tcPr>
                  <w:tcW w:w="576" w:type="pct"/>
                  <w:shd w:val="clear" w:color="auto" w:fill="auto"/>
                  <w:noWrap w:val="0"/>
                  <w:vAlign w:val="center"/>
                </w:tcPr>
                <w:p w14:paraId="17FB4C1F">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u w:val="single"/>
                      <w:vertAlign w:val="baseline"/>
                      <w:lang w:val="en-US" w:eastAsia="zh-CN" w:bidi="ar-SA"/>
                    </w:rPr>
                  </w:pPr>
                  <w:r>
                    <w:rPr>
                      <w:rFonts w:hint="eastAsia" w:cs="Times New Roman"/>
                      <w:b w:val="0"/>
                      <w:bCs/>
                      <w:color w:val="auto"/>
                      <w:sz w:val="21"/>
                      <w:szCs w:val="21"/>
                      <w:highlight w:val="none"/>
                      <w:u w:val="single"/>
                      <w:vertAlign w:val="baseline"/>
                      <w:lang w:val="en-US" w:eastAsia="zh-CN"/>
                    </w:rPr>
                    <w:t>0.045</w:t>
                  </w:r>
                </w:p>
              </w:tc>
              <w:tc>
                <w:tcPr>
                  <w:tcW w:w="790" w:type="pct"/>
                  <w:shd w:val="clear" w:color="auto" w:fill="auto"/>
                  <w:noWrap w:val="0"/>
                  <w:vAlign w:val="center"/>
                </w:tcPr>
                <w:p w14:paraId="6A30DB7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eastAsia="宋体" w:cs="Times New Roman"/>
                      <w:b w:val="0"/>
                      <w:bCs/>
                      <w:color w:val="auto"/>
                      <w:kern w:val="2"/>
                      <w:sz w:val="21"/>
                      <w:szCs w:val="21"/>
                      <w:highlight w:val="none"/>
                      <w:u w:val="single"/>
                      <w:lang w:val="en-US" w:eastAsia="zh-CN" w:bidi="ar-SA"/>
                    </w:rPr>
                  </w:pPr>
                  <w:r>
                    <w:rPr>
                      <w:rFonts w:hint="eastAsia" w:cs="Times New Roman"/>
                      <w:b w:val="0"/>
                      <w:bCs/>
                      <w:color w:val="auto"/>
                      <w:kern w:val="2"/>
                      <w:sz w:val="21"/>
                      <w:szCs w:val="21"/>
                      <w:highlight w:val="none"/>
                      <w:u w:val="single"/>
                      <w:lang w:val="en-US" w:eastAsia="zh-CN" w:bidi="ar-SA"/>
                    </w:rPr>
                    <w:t>0.0211</w:t>
                  </w:r>
                </w:p>
              </w:tc>
              <w:tc>
                <w:tcPr>
                  <w:tcW w:w="568" w:type="pct"/>
                  <w:shd w:val="clear" w:color="auto" w:fill="auto"/>
                  <w:noWrap w:val="0"/>
                  <w:vAlign w:val="center"/>
                </w:tcPr>
                <w:p w14:paraId="06ECFDA7">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ascii="Times New Roman" w:hAnsi="Times New Roman" w:eastAsia="宋体" w:cs="Times New Roman"/>
                      <w:color w:val="auto"/>
                      <w:kern w:val="2"/>
                      <w:sz w:val="21"/>
                      <w:szCs w:val="24"/>
                      <w:highlight w:val="none"/>
                      <w:u w:val="single"/>
                      <w:lang w:val="en-US" w:eastAsia="zh-CN" w:bidi="ar-SA"/>
                    </w:rPr>
                  </w:pPr>
                  <w:r>
                    <w:rPr>
                      <w:rFonts w:hint="eastAsia" w:cs="Times New Roman"/>
                      <w:b w:val="0"/>
                      <w:bCs w:val="0"/>
                      <w:color w:val="auto"/>
                      <w:kern w:val="2"/>
                      <w:sz w:val="21"/>
                      <w:szCs w:val="21"/>
                      <w:highlight w:val="none"/>
                      <w:u w:val="single"/>
                      <w:lang w:val="en-US" w:eastAsia="zh-CN" w:bidi="ar-SA"/>
                    </w:rPr>
                    <w:t>0.015</w:t>
                  </w:r>
                </w:p>
              </w:tc>
              <w:tc>
                <w:tcPr>
                  <w:tcW w:w="842" w:type="pct"/>
                  <w:shd w:val="clear" w:color="auto" w:fill="auto"/>
                  <w:noWrap w:val="0"/>
                  <w:vAlign w:val="center"/>
                </w:tcPr>
                <w:p w14:paraId="47FB252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eastAsia="宋体" w:cs="Times New Roman"/>
                      <w:b w:val="0"/>
                      <w:bCs/>
                      <w:color w:val="auto"/>
                      <w:kern w:val="2"/>
                      <w:sz w:val="21"/>
                      <w:szCs w:val="21"/>
                      <w:highlight w:val="none"/>
                      <w:u w:val="single"/>
                      <w:lang w:val="en-US" w:eastAsia="zh-CN" w:bidi="ar-SA"/>
                    </w:rPr>
                  </w:pPr>
                  <w:r>
                    <w:rPr>
                      <w:rFonts w:hint="eastAsia" w:cs="Times New Roman"/>
                      <w:b w:val="0"/>
                      <w:bCs/>
                      <w:color w:val="auto"/>
                      <w:kern w:val="2"/>
                      <w:sz w:val="21"/>
                      <w:szCs w:val="21"/>
                      <w:highlight w:val="none"/>
                      <w:u w:val="single"/>
                      <w:lang w:val="en-US" w:eastAsia="zh-CN" w:bidi="ar-SA"/>
                    </w:rPr>
                    <w:t>0.0211</w:t>
                  </w:r>
                </w:p>
              </w:tc>
              <w:tc>
                <w:tcPr>
                  <w:tcW w:w="628" w:type="pct"/>
                  <w:shd w:val="clear" w:color="auto" w:fill="auto"/>
                  <w:noWrap w:val="0"/>
                  <w:vAlign w:val="center"/>
                </w:tcPr>
                <w:p w14:paraId="06205F23">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eastAsia="宋体" w:cs="Times New Roman"/>
                      <w:b w:val="0"/>
                      <w:bCs/>
                      <w:color w:val="auto"/>
                      <w:kern w:val="2"/>
                      <w:sz w:val="21"/>
                      <w:szCs w:val="21"/>
                      <w:highlight w:val="none"/>
                      <w:u w:val="single"/>
                      <w:lang w:val="en-US" w:eastAsia="zh-CN" w:bidi="ar-SA"/>
                    </w:rPr>
                  </w:pPr>
                  <w:r>
                    <w:rPr>
                      <w:rFonts w:hint="eastAsia" w:ascii="Times New Roman" w:hAnsi="Times New Roman" w:eastAsia="宋体" w:cs="Times New Roman"/>
                      <w:b w:val="0"/>
                      <w:bCs/>
                      <w:color w:val="auto"/>
                      <w:kern w:val="2"/>
                      <w:sz w:val="21"/>
                      <w:szCs w:val="21"/>
                      <w:highlight w:val="none"/>
                      <w:u w:val="single"/>
                      <w:lang w:val="en-US" w:eastAsia="zh-CN" w:bidi="ar-SA"/>
                    </w:rPr>
                    <w:t>+</w:t>
                  </w:r>
                  <w:r>
                    <w:rPr>
                      <w:rFonts w:hint="eastAsia" w:cs="Times New Roman"/>
                      <w:b w:val="0"/>
                      <w:bCs/>
                      <w:color w:val="auto"/>
                      <w:kern w:val="2"/>
                      <w:sz w:val="21"/>
                      <w:szCs w:val="21"/>
                      <w:highlight w:val="none"/>
                      <w:u w:val="single"/>
                      <w:lang w:val="en-US" w:eastAsia="zh-CN" w:bidi="ar-SA"/>
                    </w:rPr>
                    <w:t>0.0061</w:t>
                  </w:r>
                </w:p>
              </w:tc>
            </w:tr>
            <w:tr w14:paraId="566A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440" w:type="pct"/>
                  <w:vMerge w:val="continue"/>
                  <w:noWrap w:val="0"/>
                  <w:vAlign w:val="center"/>
                </w:tcPr>
                <w:p w14:paraId="4EB76073">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cs="Times New Roman"/>
                      <w:b w:val="0"/>
                      <w:bCs w:val="0"/>
                      <w:color w:val="auto"/>
                      <w:sz w:val="21"/>
                      <w:szCs w:val="21"/>
                      <w:highlight w:val="none"/>
                      <w:u w:val="single"/>
                      <w:vertAlign w:val="baseline"/>
                      <w:lang w:val="en-US" w:eastAsia="zh-CN"/>
                    </w:rPr>
                  </w:pPr>
                </w:p>
              </w:tc>
              <w:tc>
                <w:tcPr>
                  <w:tcW w:w="580" w:type="pct"/>
                  <w:noWrap w:val="0"/>
                  <w:vAlign w:val="center"/>
                </w:tcPr>
                <w:p w14:paraId="05E073B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氨氮</w:t>
                  </w:r>
                </w:p>
              </w:tc>
              <w:tc>
                <w:tcPr>
                  <w:tcW w:w="572" w:type="pct"/>
                  <w:noWrap w:val="0"/>
                  <w:vAlign w:val="center"/>
                </w:tcPr>
                <w:p w14:paraId="0E4BC26A">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0.0</w:t>
                  </w:r>
                  <w:r>
                    <w:rPr>
                      <w:rFonts w:hint="eastAsia" w:cs="Times New Roman"/>
                      <w:b w:val="0"/>
                      <w:bCs w:val="0"/>
                      <w:color w:val="auto"/>
                      <w:kern w:val="2"/>
                      <w:sz w:val="21"/>
                      <w:szCs w:val="21"/>
                      <w:highlight w:val="none"/>
                      <w:u w:val="single"/>
                      <w:lang w:val="en-US" w:eastAsia="zh-CN" w:bidi="ar-SA"/>
                    </w:rPr>
                    <w:t>008</w:t>
                  </w:r>
                </w:p>
              </w:tc>
              <w:tc>
                <w:tcPr>
                  <w:tcW w:w="576" w:type="pct"/>
                  <w:shd w:val="clear" w:color="auto" w:fill="auto"/>
                  <w:noWrap w:val="0"/>
                  <w:vAlign w:val="center"/>
                </w:tcPr>
                <w:p w14:paraId="5D5C499E">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u w:val="single"/>
                      <w:vertAlign w:val="baseline"/>
                      <w:lang w:val="en-US" w:eastAsia="zh-CN" w:bidi="ar-SA"/>
                    </w:rPr>
                  </w:pPr>
                  <w:r>
                    <w:rPr>
                      <w:rFonts w:hint="eastAsia" w:cs="Times New Roman"/>
                      <w:b w:val="0"/>
                      <w:bCs/>
                      <w:color w:val="auto"/>
                      <w:sz w:val="21"/>
                      <w:szCs w:val="21"/>
                      <w:highlight w:val="none"/>
                      <w:u w:val="single"/>
                      <w:vertAlign w:val="baseline"/>
                      <w:lang w:val="en-US" w:eastAsia="zh-CN"/>
                    </w:rPr>
                    <w:t>0.0048</w:t>
                  </w:r>
                </w:p>
              </w:tc>
              <w:tc>
                <w:tcPr>
                  <w:tcW w:w="790" w:type="pct"/>
                  <w:shd w:val="clear" w:color="auto" w:fill="auto"/>
                  <w:noWrap w:val="0"/>
                  <w:vAlign w:val="center"/>
                </w:tcPr>
                <w:p w14:paraId="0B22A3EE">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eastAsia="宋体" w:cs="Times New Roman"/>
                      <w:b w:val="0"/>
                      <w:bCs/>
                      <w:color w:val="auto"/>
                      <w:kern w:val="2"/>
                      <w:sz w:val="21"/>
                      <w:szCs w:val="21"/>
                      <w:highlight w:val="none"/>
                      <w:u w:val="single"/>
                      <w:lang w:val="en-US" w:eastAsia="zh-CN" w:bidi="ar-SA"/>
                    </w:rPr>
                  </w:pPr>
                  <w:r>
                    <w:rPr>
                      <w:rFonts w:hint="eastAsia" w:cs="Times New Roman"/>
                      <w:b w:val="0"/>
                      <w:bCs/>
                      <w:color w:val="auto"/>
                      <w:kern w:val="2"/>
                      <w:sz w:val="21"/>
                      <w:szCs w:val="21"/>
                      <w:highlight w:val="none"/>
                      <w:u w:val="single"/>
                      <w:lang w:val="en-US" w:eastAsia="zh-CN" w:bidi="ar-SA"/>
                    </w:rPr>
                    <w:t>0.0011</w:t>
                  </w:r>
                </w:p>
              </w:tc>
              <w:tc>
                <w:tcPr>
                  <w:tcW w:w="568" w:type="pct"/>
                  <w:shd w:val="clear" w:color="auto" w:fill="auto"/>
                  <w:noWrap w:val="0"/>
                  <w:vAlign w:val="center"/>
                </w:tcPr>
                <w:p w14:paraId="6C36B1E8">
                  <w:pPr>
                    <w:keepNext w:val="0"/>
                    <w:keepLines w:val="0"/>
                    <w:pageBreakBefore w:val="0"/>
                    <w:widowControl w:val="0"/>
                    <w:kinsoku/>
                    <w:wordWrap/>
                    <w:overflowPunct/>
                    <w:topLinePunct w:val="0"/>
                    <w:autoSpaceDE/>
                    <w:autoSpaceDN/>
                    <w:bidi w:val="0"/>
                    <w:snapToGrid/>
                    <w:spacing w:before="63" w:beforeLines="20" w:after="63" w:afterLines="20"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0.0</w:t>
                  </w:r>
                  <w:r>
                    <w:rPr>
                      <w:rFonts w:hint="eastAsia" w:cs="Times New Roman"/>
                      <w:b w:val="0"/>
                      <w:bCs w:val="0"/>
                      <w:color w:val="auto"/>
                      <w:kern w:val="2"/>
                      <w:sz w:val="21"/>
                      <w:szCs w:val="21"/>
                      <w:highlight w:val="none"/>
                      <w:u w:val="single"/>
                      <w:lang w:val="en-US" w:eastAsia="zh-CN" w:bidi="ar-SA"/>
                    </w:rPr>
                    <w:t>008</w:t>
                  </w:r>
                </w:p>
              </w:tc>
              <w:tc>
                <w:tcPr>
                  <w:tcW w:w="842" w:type="pct"/>
                  <w:shd w:val="clear" w:color="auto" w:fill="auto"/>
                  <w:noWrap w:val="0"/>
                  <w:vAlign w:val="center"/>
                </w:tcPr>
                <w:p w14:paraId="0EF384E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eastAsia="宋体" w:cs="Times New Roman"/>
                      <w:b w:val="0"/>
                      <w:bCs/>
                      <w:color w:val="auto"/>
                      <w:kern w:val="2"/>
                      <w:sz w:val="21"/>
                      <w:szCs w:val="21"/>
                      <w:highlight w:val="none"/>
                      <w:u w:val="single"/>
                      <w:lang w:val="en-US" w:eastAsia="zh-CN" w:bidi="ar-SA"/>
                    </w:rPr>
                  </w:pPr>
                  <w:r>
                    <w:rPr>
                      <w:rFonts w:hint="eastAsia" w:cs="Times New Roman"/>
                      <w:b w:val="0"/>
                      <w:bCs/>
                      <w:color w:val="auto"/>
                      <w:kern w:val="2"/>
                      <w:sz w:val="21"/>
                      <w:szCs w:val="21"/>
                      <w:highlight w:val="none"/>
                      <w:u w:val="single"/>
                      <w:lang w:val="en-US" w:eastAsia="zh-CN" w:bidi="ar-SA"/>
                    </w:rPr>
                    <w:t>0.0011</w:t>
                  </w:r>
                </w:p>
              </w:tc>
              <w:tc>
                <w:tcPr>
                  <w:tcW w:w="628" w:type="pct"/>
                  <w:shd w:val="clear" w:color="auto" w:fill="auto"/>
                  <w:noWrap w:val="0"/>
                  <w:vAlign w:val="center"/>
                </w:tcPr>
                <w:p w14:paraId="4A8361B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outlineLvl w:val="9"/>
                    <w:rPr>
                      <w:rFonts w:hint="default" w:ascii="Times New Roman" w:hAnsi="Times New Roman" w:eastAsia="宋体" w:cs="Times New Roman"/>
                      <w:b w:val="0"/>
                      <w:bCs/>
                      <w:color w:val="auto"/>
                      <w:kern w:val="2"/>
                      <w:sz w:val="21"/>
                      <w:szCs w:val="21"/>
                      <w:highlight w:val="none"/>
                      <w:u w:val="single"/>
                      <w:lang w:val="en-US" w:eastAsia="zh-CN" w:bidi="ar-SA"/>
                    </w:rPr>
                  </w:pPr>
                  <w:r>
                    <w:rPr>
                      <w:rFonts w:hint="eastAsia" w:ascii="Times New Roman" w:hAnsi="Times New Roman" w:eastAsia="宋体" w:cs="Times New Roman"/>
                      <w:b w:val="0"/>
                      <w:bCs/>
                      <w:color w:val="auto"/>
                      <w:kern w:val="2"/>
                      <w:sz w:val="21"/>
                      <w:szCs w:val="21"/>
                      <w:highlight w:val="none"/>
                      <w:u w:val="single"/>
                      <w:lang w:val="en-US" w:eastAsia="zh-CN" w:bidi="ar-SA"/>
                    </w:rPr>
                    <w:t>+</w:t>
                  </w:r>
                  <w:r>
                    <w:rPr>
                      <w:rFonts w:hint="eastAsia" w:cs="Times New Roman"/>
                      <w:b w:val="0"/>
                      <w:bCs/>
                      <w:color w:val="auto"/>
                      <w:kern w:val="2"/>
                      <w:sz w:val="21"/>
                      <w:szCs w:val="21"/>
                      <w:highlight w:val="none"/>
                      <w:u w:val="single"/>
                      <w:lang w:val="en-US" w:eastAsia="zh-CN" w:bidi="ar-SA"/>
                    </w:rPr>
                    <w:t>0.0003</w:t>
                  </w:r>
                </w:p>
              </w:tc>
            </w:tr>
            <w:tr w14:paraId="2B48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40" w:type="pct"/>
                  <w:vMerge w:val="restart"/>
                  <w:noWrap w:val="0"/>
                  <w:vAlign w:val="center"/>
                </w:tcPr>
                <w:p w14:paraId="3ED94125">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固体</w:t>
                  </w:r>
                  <w:r>
                    <w:rPr>
                      <w:rFonts w:hint="eastAsia" w:cs="Times New Roman"/>
                      <w:b w:val="0"/>
                      <w:bCs w:val="0"/>
                      <w:color w:val="auto"/>
                      <w:sz w:val="21"/>
                      <w:szCs w:val="21"/>
                      <w:highlight w:val="none"/>
                      <w:u w:val="single"/>
                      <w:vertAlign w:val="baseline"/>
                      <w:lang w:val="en-US" w:eastAsia="zh-CN"/>
                    </w:rPr>
                    <w:t xml:space="preserve"> </w:t>
                  </w:r>
                  <w:r>
                    <w:rPr>
                      <w:rFonts w:hint="default" w:ascii="Times New Roman" w:hAnsi="Times New Roman" w:eastAsia="宋体" w:cs="Times New Roman"/>
                      <w:b w:val="0"/>
                      <w:bCs w:val="0"/>
                      <w:color w:val="auto"/>
                      <w:sz w:val="21"/>
                      <w:szCs w:val="21"/>
                      <w:highlight w:val="none"/>
                      <w:u w:val="single"/>
                      <w:vertAlign w:val="baseline"/>
                      <w:lang w:val="en-US" w:eastAsia="zh-CN"/>
                    </w:rPr>
                    <w:t>废物</w:t>
                  </w:r>
                </w:p>
              </w:tc>
              <w:tc>
                <w:tcPr>
                  <w:tcW w:w="580" w:type="pct"/>
                  <w:shd w:val="clear" w:color="auto" w:fill="auto"/>
                  <w:noWrap w:val="0"/>
                  <w:vAlign w:val="center"/>
                </w:tcPr>
                <w:p w14:paraId="4BA6A7FF">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废边角料</w:t>
                  </w:r>
                </w:p>
              </w:tc>
              <w:tc>
                <w:tcPr>
                  <w:tcW w:w="572" w:type="pct"/>
                  <w:noWrap w:val="0"/>
                  <w:vAlign w:val="center"/>
                </w:tcPr>
                <w:p w14:paraId="26173D3F">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2</w:t>
                  </w:r>
                </w:p>
              </w:tc>
              <w:tc>
                <w:tcPr>
                  <w:tcW w:w="576" w:type="pct"/>
                  <w:noWrap w:val="0"/>
                  <w:vAlign w:val="center"/>
                </w:tcPr>
                <w:p w14:paraId="3F3A30C3">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790" w:type="pct"/>
                  <w:noWrap w:val="0"/>
                  <w:vAlign w:val="center"/>
                </w:tcPr>
                <w:p w14:paraId="660C9476">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4</w:t>
                  </w:r>
                </w:p>
              </w:tc>
              <w:tc>
                <w:tcPr>
                  <w:tcW w:w="568" w:type="pct"/>
                  <w:noWrap w:val="0"/>
                  <w:vAlign w:val="center"/>
                </w:tcPr>
                <w:p w14:paraId="1C8D6C12">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2</w:t>
                  </w:r>
                </w:p>
              </w:tc>
              <w:tc>
                <w:tcPr>
                  <w:tcW w:w="842" w:type="pct"/>
                  <w:noWrap w:val="0"/>
                  <w:vAlign w:val="center"/>
                </w:tcPr>
                <w:p w14:paraId="75306A23">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4</w:t>
                  </w:r>
                </w:p>
              </w:tc>
              <w:tc>
                <w:tcPr>
                  <w:tcW w:w="628" w:type="pct"/>
                  <w:shd w:val="clear" w:color="auto" w:fill="auto"/>
                  <w:noWrap w:val="0"/>
                  <w:vAlign w:val="center"/>
                </w:tcPr>
                <w:p w14:paraId="377428A9">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+2</w:t>
                  </w:r>
                </w:p>
              </w:tc>
            </w:tr>
            <w:tr w14:paraId="7C6C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440" w:type="pct"/>
                  <w:vMerge w:val="continue"/>
                  <w:noWrap w:val="0"/>
                  <w:vAlign w:val="center"/>
                </w:tcPr>
                <w:p w14:paraId="5AE9E870">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p>
              </w:tc>
              <w:tc>
                <w:tcPr>
                  <w:tcW w:w="580" w:type="pct"/>
                  <w:shd w:val="clear" w:color="auto" w:fill="auto"/>
                  <w:noWrap w:val="0"/>
                  <w:vAlign w:val="center"/>
                </w:tcPr>
                <w:p w14:paraId="08DE0AC5">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color w:val="auto"/>
                      <w:kern w:val="2"/>
                      <w:sz w:val="21"/>
                      <w:szCs w:val="21"/>
                      <w:highlight w:val="none"/>
                      <w:u w:val="single"/>
                      <w:vertAlign w:val="baseline"/>
                      <w:lang w:val="en-US" w:eastAsia="zh-CN" w:bidi="ar-SA"/>
                    </w:rPr>
                  </w:pPr>
                  <w:r>
                    <w:rPr>
                      <w:rFonts w:hint="eastAsia" w:cs="Times New Roman"/>
                      <w:b w:val="0"/>
                      <w:bCs/>
                      <w:color w:val="auto"/>
                      <w:kern w:val="2"/>
                      <w:sz w:val="21"/>
                      <w:szCs w:val="21"/>
                      <w:highlight w:val="none"/>
                      <w:u w:val="single"/>
                      <w:vertAlign w:val="baseline"/>
                      <w:lang w:val="en-US" w:eastAsia="zh-CN" w:bidi="ar-SA"/>
                    </w:rPr>
                    <w:t>废焊材</w:t>
                  </w:r>
                </w:p>
              </w:tc>
              <w:tc>
                <w:tcPr>
                  <w:tcW w:w="572" w:type="pct"/>
                  <w:noWrap w:val="0"/>
                  <w:vAlign w:val="center"/>
                </w:tcPr>
                <w:p w14:paraId="3C50A229">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0.04</w:t>
                  </w:r>
                </w:p>
              </w:tc>
              <w:tc>
                <w:tcPr>
                  <w:tcW w:w="576" w:type="pct"/>
                  <w:noWrap w:val="0"/>
                  <w:vAlign w:val="center"/>
                </w:tcPr>
                <w:p w14:paraId="7C95533A">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790" w:type="pct"/>
                  <w:noWrap w:val="0"/>
                  <w:vAlign w:val="center"/>
                </w:tcPr>
                <w:p w14:paraId="2C8B4DDD">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0.4</w:t>
                  </w:r>
                </w:p>
              </w:tc>
              <w:tc>
                <w:tcPr>
                  <w:tcW w:w="568" w:type="pct"/>
                  <w:noWrap w:val="0"/>
                  <w:vAlign w:val="center"/>
                </w:tcPr>
                <w:p w14:paraId="6EDEF0F3">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0.04</w:t>
                  </w:r>
                </w:p>
              </w:tc>
              <w:tc>
                <w:tcPr>
                  <w:tcW w:w="842" w:type="pct"/>
                  <w:noWrap w:val="0"/>
                  <w:vAlign w:val="center"/>
                </w:tcPr>
                <w:p w14:paraId="5A9C7054">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0.4</w:t>
                  </w:r>
                </w:p>
              </w:tc>
              <w:tc>
                <w:tcPr>
                  <w:tcW w:w="628" w:type="pct"/>
                  <w:shd w:val="clear" w:color="auto" w:fill="auto"/>
                  <w:noWrap w:val="0"/>
                  <w:vAlign w:val="center"/>
                </w:tcPr>
                <w:p w14:paraId="4AFD42A8">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+0.</w:t>
                  </w:r>
                  <w:r>
                    <w:rPr>
                      <w:rFonts w:hint="eastAsia" w:hAnsi="Times New Roman" w:cs="Times New Roman"/>
                      <w:b w:val="0"/>
                      <w:bCs w:val="0"/>
                      <w:color w:val="auto"/>
                      <w:kern w:val="2"/>
                      <w:sz w:val="21"/>
                      <w:szCs w:val="21"/>
                      <w:highlight w:val="none"/>
                      <w:u w:val="single"/>
                      <w:lang w:val="en-US" w:eastAsia="zh-CN" w:bidi="ar-SA"/>
                    </w:rPr>
                    <w:t>3</w:t>
                  </w:r>
                  <w:r>
                    <w:rPr>
                      <w:rFonts w:hint="eastAsia" w:ascii="Times New Roman" w:hAnsi="Times New Roman" w:eastAsia="宋体" w:cs="Times New Roman"/>
                      <w:b w:val="0"/>
                      <w:bCs w:val="0"/>
                      <w:color w:val="auto"/>
                      <w:kern w:val="2"/>
                      <w:sz w:val="21"/>
                      <w:szCs w:val="21"/>
                      <w:highlight w:val="none"/>
                      <w:u w:val="single"/>
                      <w:lang w:val="en-US" w:eastAsia="zh-CN" w:bidi="ar-SA"/>
                    </w:rPr>
                    <w:t>6</w:t>
                  </w:r>
                </w:p>
              </w:tc>
            </w:tr>
            <w:tr w14:paraId="41E5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40" w:type="pct"/>
                  <w:vMerge w:val="continue"/>
                  <w:noWrap w:val="0"/>
                  <w:vAlign w:val="center"/>
                </w:tcPr>
                <w:p w14:paraId="3D0F5DD0">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p>
              </w:tc>
              <w:tc>
                <w:tcPr>
                  <w:tcW w:w="580" w:type="pct"/>
                  <w:shd w:val="clear" w:color="auto" w:fill="auto"/>
                  <w:noWrap w:val="0"/>
                  <w:vAlign w:val="center"/>
                </w:tcPr>
                <w:p w14:paraId="6B97956D">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u w:val="single"/>
                      <w:vertAlign w:val="baseline"/>
                      <w:lang w:val="en-US" w:eastAsia="zh-CN" w:bidi="ar-SA"/>
                    </w:rPr>
                  </w:pPr>
                  <w:r>
                    <w:rPr>
                      <w:rFonts w:hint="default" w:ascii="Times New Roman" w:hAnsi="Times New Roman" w:cs="Times New Roman"/>
                      <w:b w:val="0"/>
                      <w:bCs w:val="0"/>
                      <w:color w:val="auto"/>
                      <w:kern w:val="2"/>
                      <w:sz w:val="21"/>
                      <w:szCs w:val="21"/>
                      <w:highlight w:val="none"/>
                      <w:u w:val="single"/>
                      <w:vertAlign w:val="baseline"/>
                      <w:lang w:val="en-US" w:eastAsia="zh-CN" w:bidi="ar-SA"/>
                    </w:rPr>
                    <w:t>集尘灰</w:t>
                  </w:r>
                </w:p>
              </w:tc>
              <w:tc>
                <w:tcPr>
                  <w:tcW w:w="572" w:type="pct"/>
                  <w:noWrap w:val="0"/>
                  <w:vAlign w:val="center"/>
                </w:tcPr>
                <w:p w14:paraId="5A42463B">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0.9875</w:t>
                  </w:r>
                </w:p>
              </w:tc>
              <w:tc>
                <w:tcPr>
                  <w:tcW w:w="576" w:type="pct"/>
                  <w:noWrap w:val="0"/>
                  <w:vAlign w:val="center"/>
                </w:tcPr>
                <w:p w14:paraId="1053AE1D">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790" w:type="pct"/>
                  <w:noWrap w:val="0"/>
                  <w:vAlign w:val="center"/>
                </w:tcPr>
                <w:p w14:paraId="155A3A9F">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sz w:val="21"/>
                      <w:szCs w:val="21"/>
                      <w:highlight w:val="none"/>
                      <w:u w:val="single"/>
                      <w:lang w:val="en-US" w:eastAsia="zh-CN"/>
                    </w:rPr>
                    <w:t>5.3561</w:t>
                  </w:r>
                </w:p>
              </w:tc>
              <w:tc>
                <w:tcPr>
                  <w:tcW w:w="568" w:type="pct"/>
                  <w:shd w:val="clear" w:color="auto" w:fill="auto"/>
                  <w:noWrap w:val="0"/>
                  <w:vAlign w:val="center"/>
                </w:tcPr>
                <w:p w14:paraId="076604DC">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0.9875</w:t>
                  </w:r>
                </w:p>
              </w:tc>
              <w:tc>
                <w:tcPr>
                  <w:tcW w:w="842" w:type="pct"/>
                  <w:shd w:val="clear" w:color="auto" w:fill="auto"/>
                  <w:noWrap w:val="0"/>
                  <w:vAlign w:val="center"/>
                </w:tcPr>
                <w:p w14:paraId="0B61B305">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sz w:val="21"/>
                      <w:szCs w:val="21"/>
                      <w:highlight w:val="none"/>
                      <w:u w:val="single"/>
                      <w:lang w:val="en-US" w:eastAsia="zh-CN"/>
                    </w:rPr>
                    <w:t>5.3561</w:t>
                  </w:r>
                </w:p>
              </w:tc>
              <w:tc>
                <w:tcPr>
                  <w:tcW w:w="628" w:type="pct"/>
                  <w:shd w:val="clear" w:color="auto" w:fill="auto"/>
                  <w:noWrap w:val="0"/>
                  <w:vAlign w:val="center"/>
                </w:tcPr>
                <w:p w14:paraId="6FB9D623">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+4.3686</w:t>
                  </w:r>
                </w:p>
              </w:tc>
            </w:tr>
            <w:tr w14:paraId="6364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40" w:type="pct"/>
                  <w:vMerge w:val="continue"/>
                  <w:noWrap w:val="0"/>
                  <w:vAlign w:val="center"/>
                </w:tcPr>
                <w:p w14:paraId="50F08AD2">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p>
              </w:tc>
              <w:tc>
                <w:tcPr>
                  <w:tcW w:w="580" w:type="pct"/>
                  <w:shd w:val="clear" w:color="auto" w:fill="auto"/>
                  <w:noWrap w:val="0"/>
                  <w:vAlign w:val="center"/>
                </w:tcPr>
                <w:p w14:paraId="237E2B76">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b w:val="0"/>
                      <w:bCs w:val="0"/>
                      <w:color w:val="auto"/>
                      <w:kern w:val="2"/>
                      <w:sz w:val="21"/>
                      <w:szCs w:val="21"/>
                      <w:highlight w:val="none"/>
                      <w:u w:val="single"/>
                      <w:vertAlign w:val="baseline"/>
                      <w:lang w:val="en-US" w:eastAsia="zh-CN" w:bidi="ar-SA"/>
                    </w:rPr>
                  </w:pPr>
                  <w:r>
                    <w:rPr>
                      <w:rFonts w:hint="default" w:ascii="Times New Roman" w:hAnsi="Times New Roman" w:cs="Times New Roman"/>
                      <w:b w:val="0"/>
                      <w:bCs w:val="0"/>
                      <w:color w:val="auto"/>
                      <w:kern w:val="2"/>
                      <w:sz w:val="21"/>
                      <w:szCs w:val="21"/>
                      <w:highlight w:val="none"/>
                      <w:u w:val="single"/>
                      <w:vertAlign w:val="baseline"/>
                      <w:lang w:val="en-US" w:eastAsia="zh-CN" w:bidi="ar-SA"/>
                    </w:rPr>
                    <w:t>除尘器废布袋</w:t>
                  </w:r>
                </w:p>
              </w:tc>
              <w:tc>
                <w:tcPr>
                  <w:tcW w:w="572" w:type="pct"/>
                  <w:noWrap w:val="0"/>
                  <w:vAlign w:val="center"/>
                </w:tcPr>
                <w:p w14:paraId="23D21B33">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sz w:val="21"/>
                      <w:szCs w:val="21"/>
                      <w:highlight w:val="none"/>
                      <w:u w:val="single"/>
                      <w:lang w:val="en-US" w:eastAsia="zh-CN"/>
                    </w:rPr>
                    <w:t>/</w:t>
                  </w:r>
                </w:p>
              </w:tc>
              <w:tc>
                <w:tcPr>
                  <w:tcW w:w="576" w:type="pct"/>
                  <w:noWrap w:val="0"/>
                  <w:vAlign w:val="center"/>
                </w:tcPr>
                <w:p w14:paraId="7308F92A">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790" w:type="pct"/>
                  <w:noWrap w:val="0"/>
                  <w:vAlign w:val="center"/>
                </w:tcPr>
                <w:p w14:paraId="262BA4AA">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hAnsi="Times New Roman" w:cs="Times New Roman"/>
                      <w:b w:val="0"/>
                      <w:bCs w:val="0"/>
                      <w:color w:val="auto"/>
                      <w:sz w:val="21"/>
                      <w:szCs w:val="21"/>
                      <w:highlight w:val="none"/>
                      <w:u w:val="single"/>
                      <w:lang w:val="en-US" w:eastAsia="zh-CN"/>
                    </w:rPr>
                    <w:t>2个/a</w:t>
                  </w:r>
                </w:p>
              </w:tc>
              <w:tc>
                <w:tcPr>
                  <w:tcW w:w="568" w:type="pct"/>
                  <w:shd w:val="clear" w:color="auto" w:fill="auto"/>
                  <w:noWrap w:val="0"/>
                  <w:vAlign w:val="center"/>
                </w:tcPr>
                <w:p w14:paraId="3CB154CF">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sz w:val="21"/>
                      <w:szCs w:val="21"/>
                      <w:highlight w:val="none"/>
                      <w:u w:val="single"/>
                      <w:lang w:val="en-US" w:eastAsia="zh-CN"/>
                    </w:rPr>
                    <w:t>/</w:t>
                  </w:r>
                </w:p>
              </w:tc>
              <w:tc>
                <w:tcPr>
                  <w:tcW w:w="842" w:type="pct"/>
                  <w:shd w:val="clear" w:color="auto" w:fill="auto"/>
                  <w:noWrap w:val="0"/>
                  <w:vAlign w:val="center"/>
                </w:tcPr>
                <w:p w14:paraId="7F319518">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hAnsi="Times New Roman" w:cs="Times New Roman"/>
                      <w:b w:val="0"/>
                      <w:bCs w:val="0"/>
                      <w:color w:val="auto"/>
                      <w:sz w:val="21"/>
                      <w:szCs w:val="21"/>
                      <w:highlight w:val="none"/>
                      <w:u w:val="single"/>
                      <w:lang w:val="en-US" w:eastAsia="zh-CN"/>
                    </w:rPr>
                    <w:t>2个/a</w:t>
                  </w:r>
                </w:p>
              </w:tc>
              <w:tc>
                <w:tcPr>
                  <w:tcW w:w="628" w:type="pct"/>
                  <w:shd w:val="clear" w:color="auto" w:fill="auto"/>
                  <w:noWrap w:val="0"/>
                  <w:vAlign w:val="center"/>
                </w:tcPr>
                <w:p w14:paraId="6DD9D188">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r>
                    <w:rPr>
                      <w:rFonts w:hint="default" w:hAnsi="Times New Roman" w:cs="Times New Roman"/>
                      <w:b w:val="0"/>
                      <w:bCs w:val="0"/>
                      <w:color w:val="auto"/>
                      <w:sz w:val="21"/>
                      <w:szCs w:val="21"/>
                      <w:highlight w:val="none"/>
                      <w:u w:val="single"/>
                      <w:lang w:val="en-US" w:eastAsia="zh-CN"/>
                    </w:rPr>
                    <w:t>2个/a</w:t>
                  </w:r>
                </w:p>
              </w:tc>
            </w:tr>
            <w:tr w14:paraId="39E0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440" w:type="pct"/>
                  <w:vMerge w:val="continue"/>
                  <w:noWrap w:val="0"/>
                  <w:vAlign w:val="center"/>
                </w:tcPr>
                <w:p w14:paraId="393935A3">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p>
              </w:tc>
              <w:tc>
                <w:tcPr>
                  <w:tcW w:w="580" w:type="pct"/>
                  <w:shd w:val="clear" w:color="auto" w:fill="auto"/>
                  <w:noWrap w:val="0"/>
                  <w:vAlign w:val="center"/>
                </w:tcPr>
                <w:p w14:paraId="7F740770">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废机油</w:t>
                  </w:r>
                </w:p>
              </w:tc>
              <w:tc>
                <w:tcPr>
                  <w:tcW w:w="572" w:type="pct"/>
                  <w:shd w:val="clear" w:color="auto" w:fill="auto"/>
                  <w:noWrap w:val="0"/>
                  <w:vAlign w:val="center"/>
                </w:tcPr>
                <w:p w14:paraId="5D0EE81B">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0.002</w:t>
                  </w:r>
                </w:p>
              </w:tc>
              <w:tc>
                <w:tcPr>
                  <w:tcW w:w="576" w:type="pct"/>
                  <w:shd w:val="clear" w:color="auto" w:fill="auto"/>
                  <w:noWrap w:val="0"/>
                  <w:vAlign w:val="center"/>
                </w:tcPr>
                <w:p w14:paraId="2F21D78B">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790" w:type="pct"/>
                  <w:shd w:val="clear" w:color="auto" w:fill="auto"/>
                  <w:noWrap w:val="0"/>
                  <w:vAlign w:val="center"/>
                </w:tcPr>
                <w:p w14:paraId="054438B3">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0.002</w:t>
                  </w:r>
                </w:p>
              </w:tc>
              <w:tc>
                <w:tcPr>
                  <w:tcW w:w="568" w:type="pct"/>
                  <w:shd w:val="clear" w:color="auto" w:fill="auto"/>
                  <w:noWrap w:val="0"/>
                  <w:vAlign w:val="center"/>
                </w:tcPr>
                <w:p w14:paraId="116FB0C1">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0.002</w:t>
                  </w:r>
                </w:p>
              </w:tc>
              <w:tc>
                <w:tcPr>
                  <w:tcW w:w="842" w:type="pct"/>
                  <w:shd w:val="clear" w:color="auto" w:fill="auto"/>
                  <w:noWrap w:val="0"/>
                  <w:vAlign w:val="center"/>
                </w:tcPr>
                <w:p w14:paraId="42FE1323">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0.002</w:t>
                  </w:r>
                </w:p>
              </w:tc>
              <w:tc>
                <w:tcPr>
                  <w:tcW w:w="628" w:type="pct"/>
                  <w:shd w:val="clear" w:color="auto" w:fill="auto"/>
                  <w:noWrap w:val="0"/>
                  <w:vAlign w:val="center"/>
                </w:tcPr>
                <w:p w14:paraId="57695EA3">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w:t>
                  </w:r>
                </w:p>
              </w:tc>
            </w:tr>
            <w:tr w14:paraId="4678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440" w:type="pct"/>
                  <w:vMerge w:val="continue"/>
                  <w:noWrap w:val="0"/>
                  <w:vAlign w:val="center"/>
                </w:tcPr>
                <w:p w14:paraId="755C253F">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p>
              </w:tc>
              <w:tc>
                <w:tcPr>
                  <w:tcW w:w="580" w:type="pct"/>
                  <w:shd w:val="clear" w:color="auto" w:fill="auto"/>
                  <w:noWrap w:val="0"/>
                  <w:vAlign w:val="center"/>
                </w:tcPr>
                <w:p w14:paraId="4B37B8B8">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cs="Times New Roman"/>
                      <w:b w:val="0"/>
                      <w:bCs w:val="0"/>
                      <w:color w:val="auto"/>
                      <w:kern w:val="2"/>
                      <w:sz w:val="21"/>
                      <w:szCs w:val="21"/>
                      <w:highlight w:val="none"/>
                      <w:u w:val="single"/>
                      <w:lang w:val="en-US" w:eastAsia="zh-CN" w:bidi="ar-SA"/>
                    </w:rPr>
                    <w:t>废防锈油</w:t>
                  </w:r>
                </w:p>
              </w:tc>
              <w:tc>
                <w:tcPr>
                  <w:tcW w:w="572" w:type="pct"/>
                  <w:shd w:val="clear" w:color="auto" w:fill="auto"/>
                  <w:noWrap w:val="0"/>
                  <w:vAlign w:val="center"/>
                </w:tcPr>
                <w:p w14:paraId="6CA7DF6F">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576" w:type="pct"/>
                  <w:shd w:val="clear" w:color="auto" w:fill="auto"/>
                  <w:noWrap w:val="0"/>
                  <w:vAlign w:val="center"/>
                </w:tcPr>
                <w:p w14:paraId="0D1B7272">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790" w:type="pct"/>
                  <w:shd w:val="clear" w:color="auto" w:fill="auto"/>
                  <w:noWrap w:val="0"/>
                  <w:vAlign w:val="center"/>
                </w:tcPr>
                <w:p w14:paraId="4FBA611F">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0.035</w:t>
                  </w:r>
                </w:p>
              </w:tc>
              <w:tc>
                <w:tcPr>
                  <w:tcW w:w="568" w:type="pct"/>
                  <w:shd w:val="clear" w:color="auto" w:fill="auto"/>
                  <w:noWrap w:val="0"/>
                  <w:vAlign w:val="center"/>
                </w:tcPr>
                <w:p w14:paraId="26A2323E">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842" w:type="pct"/>
                  <w:shd w:val="clear" w:color="auto" w:fill="auto"/>
                  <w:noWrap w:val="0"/>
                  <w:vAlign w:val="center"/>
                </w:tcPr>
                <w:p w14:paraId="354A5C2B">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0.035</w:t>
                  </w:r>
                </w:p>
              </w:tc>
              <w:tc>
                <w:tcPr>
                  <w:tcW w:w="628" w:type="pct"/>
                  <w:shd w:val="clear" w:color="auto" w:fill="auto"/>
                  <w:noWrap w:val="0"/>
                  <w:vAlign w:val="center"/>
                </w:tcPr>
                <w:p w14:paraId="1711AF0A">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+0.035</w:t>
                  </w:r>
                </w:p>
              </w:tc>
            </w:tr>
            <w:tr w14:paraId="3D11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440" w:type="pct"/>
                  <w:vMerge w:val="continue"/>
                  <w:noWrap w:val="0"/>
                  <w:vAlign w:val="center"/>
                </w:tcPr>
                <w:p w14:paraId="12E98282">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p>
              </w:tc>
              <w:tc>
                <w:tcPr>
                  <w:tcW w:w="580" w:type="pct"/>
                  <w:shd w:val="clear" w:color="auto" w:fill="auto"/>
                  <w:noWrap w:val="0"/>
                  <w:vAlign w:val="center"/>
                </w:tcPr>
                <w:p w14:paraId="44E874A1">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cs="Times New Roman"/>
                      <w:b w:val="0"/>
                      <w:bCs w:val="0"/>
                      <w:color w:val="auto"/>
                      <w:kern w:val="2"/>
                      <w:sz w:val="21"/>
                      <w:szCs w:val="21"/>
                      <w:highlight w:val="none"/>
                      <w:u w:val="single"/>
                      <w:vertAlign w:val="baseline"/>
                      <w:lang w:val="en-US" w:eastAsia="zh-CN" w:bidi="ar-SA"/>
                    </w:rPr>
                    <w:t>废</w:t>
                  </w:r>
                  <w:r>
                    <w:rPr>
                      <w:rFonts w:hint="eastAsia" w:cs="Times New Roman"/>
                      <w:b w:val="0"/>
                      <w:bCs w:val="0"/>
                      <w:color w:val="auto"/>
                      <w:kern w:val="2"/>
                      <w:sz w:val="21"/>
                      <w:szCs w:val="21"/>
                      <w:highlight w:val="none"/>
                      <w:u w:val="single"/>
                      <w:vertAlign w:val="baseline"/>
                      <w:lang w:val="en-US" w:eastAsia="zh-CN" w:bidi="ar-SA"/>
                    </w:rPr>
                    <w:t>切削</w:t>
                  </w:r>
                  <w:r>
                    <w:rPr>
                      <w:rFonts w:hint="default" w:ascii="Times New Roman" w:hAnsi="Times New Roman" w:cs="Times New Roman"/>
                      <w:b w:val="0"/>
                      <w:bCs w:val="0"/>
                      <w:color w:val="auto"/>
                      <w:kern w:val="2"/>
                      <w:sz w:val="21"/>
                      <w:szCs w:val="21"/>
                      <w:highlight w:val="none"/>
                      <w:u w:val="single"/>
                      <w:vertAlign w:val="baseline"/>
                      <w:lang w:val="en-US" w:eastAsia="zh-CN" w:bidi="ar-SA"/>
                    </w:rPr>
                    <w:t>液</w:t>
                  </w:r>
                </w:p>
              </w:tc>
              <w:tc>
                <w:tcPr>
                  <w:tcW w:w="572" w:type="pct"/>
                  <w:shd w:val="clear" w:color="auto" w:fill="auto"/>
                  <w:noWrap w:val="0"/>
                  <w:vAlign w:val="center"/>
                </w:tcPr>
                <w:p w14:paraId="0396F510">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0.15</w:t>
                  </w:r>
                </w:p>
              </w:tc>
              <w:tc>
                <w:tcPr>
                  <w:tcW w:w="576" w:type="pct"/>
                  <w:shd w:val="clear" w:color="auto" w:fill="auto"/>
                  <w:noWrap w:val="0"/>
                  <w:vAlign w:val="center"/>
                </w:tcPr>
                <w:p w14:paraId="02E59857">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790" w:type="pct"/>
                  <w:shd w:val="clear" w:color="auto" w:fill="auto"/>
                  <w:noWrap w:val="0"/>
                  <w:vAlign w:val="center"/>
                </w:tcPr>
                <w:p w14:paraId="0B0B9B94">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0.2</w:t>
                  </w:r>
                </w:p>
              </w:tc>
              <w:tc>
                <w:tcPr>
                  <w:tcW w:w="568" w:type="pct"/>
                  <w:shd w:val="clear" w:color="auto" w:fill="auto"/>
                  <w:noWrap w:val="0"/>
                  <w:vAlign w:val="center"/>
                </w:tcPr>
                <w:p w14:paraId="0014687C">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0.15</w:t>
                  </w:r>
                </w:p>
              </w:tc>
              <w:tc>
                <w:tcPr>
                  <w:tcW w:w="842" w:type="pct"/>
                  <w:shd w:val="clear" w:color="auto" w:fill="auto"/>
                  <w:noWrap w:val="0"/>
                  <w:vAlign w:val="center"/>
                </w:tcPr>
                <w:p w14:paraId="15D6EF67">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0.2</w:t>
                  </w:r>
                </w:p>
              </w:tc>
              <w:tc>
                <w:tcPr>
                  <w:tcW w:w="628" w:type="pct"/>
                  <w:shd w:val="clear" w:color="auto" w:fill="auto"/>
                  <w:noWrap w:val="0"/>
                  <w:vAlign w:val="center"/>
                </w:tcPr>
                <w:p w14:paraId="57EB1BA9">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+0.</w:t>
                  </w:r>
                  <w:r>
                    <w:rPr>
                      <w:rFonts w:hint="eastAsia" w:hAnsi="Times New Roman" w:cs="Times New Roman"/>
                      <w:b w:val="0"/>
                      <w:bCs w:val="0"/>
                      <w:color w:val="auto"/>
                      <w:kern w:val="2"/>
                      <w:sz w:val="21"/>
                      <w:szCs w:val="21"/>
                      <w:highlight w:val="none"/>
                      <w:u w:val="single"/>
                      <w:lang w:val="en-US" w:eastAsia="zh-CN" w:bidi="ar-SA"/>
                    </w:rPr>
                    <w:t>05</w:t>
                  </w:r>
                </w:p>
              </w:tc>
            </w:tr>
            <w:tr w14:paraId="3E83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40" w:type="pct"/>
                  <w:vMerge w:val="continue"/>
                  <w:noWrap w:val="0"/>
                  <w:vAlign w:val="center"/>
                </w:tcPr>
                <w:p w14:paraId="3366E688">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p>
              </w:tc>
              <w:tc>
                <w:tcPr>
                  <w:tcW w:w="580" w:type="pct"/>
                  <w:shd w:val="clear" w:color="auto" w:fill="auto"/>
                  <w:noWrap w:val="0"/>
                  <w:vAlign w:val="center"/>
                </w:tcPr>
                <w:p w14:paraId="7D3EA4CD">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cs="Times New Roman"/>
                      <w:b w:val="0"/>
                      <w:bCs w:val="0"/>
                      <w:color w:val="auto"/>
                      <w:kern w:val="2"/>
                      <w:sz w:val="21"/>
                      <w:szCs w:val="21"/>
                      <w:highlight w:val="none"/>
                      <w:u w:val="single"/>
                      <w:lang w:val="en-US" w:eastAsia="zh-CN" w:bidi="ar-SA"/>
                    </w:rPr>
                    <w:t>废包装桶</w:t>
                  </w:r>
                </w:p>
              </w:tc>
              <w:tc>
                <w:tcPr>
                  <w:tcW w:w="572" w:type="pct"/>
                  <w:shd w:val="clear" w:color="auto" w:fill="auto"/>
                  <w:noWrap w:val="0"/>
                  <w:vAlign w:val="center"/>
                </w:tcPr>
                <w:p w14:paraId="4162FF99">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0.011</w:t>
                  </w:r>
                </w:p>
              </w:tc>
              <w:tc>
                <w:tcPr>
                  <w:tcW w:w="576" w:type="pct"/>
                  <w:shd w:val="clear" w:color="auto" w:fill="auto"/>
                  <w:noWrap w:val="0"/>
                  <w:vAlign w:val="center"/>
                </w:tcPr>
                <w:p w14:paraId="64726A7D">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790" w:type="pct"/>
                  <w:noWrap w:val="0"/>
                  <w:vAlign w:val="center"/>
                </w:tcPr>
                <w:p w14:paraId="19AEA6B0">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sz w:val="21"/>
                      <w:szCs w:val="21"/>
                      <w:highlight w:val="none"/>
                      <w:u w:val="single"/>
                      <w:lang w:val="en-US" w:eastAsia="zh-CN"/>
                    </w:rPr>
                    <w:t>0.076</w:t>
                  </w:r>
                </w:p>
              </w:tc>
              <w:tc>
                <w:tcPr>
                  <w:tcW w:w="568" w:type="pct"/>
                  <w:shd w:val="clear" w:color="auto" w:fill="auto"/>
                  <w:noWrap w:val="0"/>
                  <w:vAlign w:val="center"/>
                </w:tcPr>
                <w:p w14:paraId="4581AE84">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0.011</w:t>
                  </w:r>
                </w:p>
              </w:tc>
              <w:tc>
                <w:tcPr>
                  <w:tcW w:w="842" w:type="pct"/>
                  <w:shd w:val="clear" w:color="auto" w:fill="auto"/>
                  <w:noWrap w:val="0"/>
                  <w:vAlign w:val="center"/>
                </w:tcPr>
                <w:p w14:paraId="674B6B54">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sz w:val="21"/>
                      <w:szCs w:val="21"/>
                      <w:highlight w:val="none"/>
                      <w:u w:val="single"/>
                      <w:lang w:val="en-US" w:eastAsia="zh-CN"/>
                    </w:rPr>
                    <w:t>0.076</w:t>
                  </w:r>
                </w:p>
              </w:tc>
              <w:tc>
                <w:tcPr>
                  <w:tcW w:w="628" w:type="pct"/>
                  <w:shd w:val="clear" w:color="auto" w:fill="auto"/>
                  <w:noWrap w:val="0"/>
                  <w:vAlign w:val="center"/>
                </w:tcPr>
                <w:p w14:paraId="52267C91">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+0.065</w:t>
                  </w:r>
                </w:p>
              </w:tc>
            </w:tr>
            <w:tr w14:paraId="47EA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40" w:type="pct"/>
                  <w:vMerge w:val="continue"/>
                  <w:noWrap w:val="0"/>
                  <w:vAlign w:val="center"/>
                </w:tcPr>
                <w:p w14:paraId="66D4BCEB">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p>
              </w:tc>
              <w:tc>
                <w:tcPr>
                  <w:tcW w:w="580" w:type="pct"/>
                  <w:shd w:val="clear" w:color="auto" w:fill="auto"/>
                  <w:noWrap w:val="0"/>
                  <w:vAlign w:val="center"/>
                </w:tcPr>
                <w:p w14:paraId="2FFFE17B">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single"/>
                      <w:vertAlign w:val="baseline"/>
                      <w:lang w:val="en-US" w:eastAsia="zh-CN" w:bidi="ar-SA"/>
                    </w:rPr>
                  </w:pPr>
                  <w:r>
                    <w:rPr>
                      <w:rFonts w:hint="default" w:ascii="Times New Roman" w:hAnsi="Times New Roman" w:cs="Times New Roman"/>
                      <w:b w:val="0"/>
                      <w:bCs w:val="0"/>
                      <w:color w:val="auto"/>
                      <w:kern w:val="2"/>
                      <w:sz w:val="21"/>
                      <w:szCs w:val="21"/>
                      <w:highlight w:val="none"/>
                      <w:u w:val="single"/>
                      <w:vertAlign w:val="baseline"/>
                      <w:lang w:val="en-US" w:eastAsia="zh-CN" w:bidi="ar-SA"/>
                    </w:rPr>
                    <w:t>废活性炭</w:t>
                  </w:r>
                </w:p>
              </w:tc>
              <w:tc>
                <w:tcPr>
                  <w:tcW w:w="572" w:type="pct"/>
                  <w:shd w:val="clear" w:color="auto" w:fill="auto"/>
                  <w:noWrap w:val="0"/>
                  <w:vAlign w:val="center"/>
                </w:tcPr>
                <w:p w14:paraId="7630B9F2">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576" w:type="pct"/>
                  <w:shd w:val="clear" w:color="auto" w:fill="auto"/>
                  <w:noWrap w:val="0"/>
                  <w:vAlign w:val="center"/>
                </w:tcPr>
                <w:p w14:paraId="46750768">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790" w:type="pct"/>
                  <w:noWrap w:val="0"/>
                  <w:vAlign w:val="center"/>
                </w:tcPr>
                <w:p w14:paraId="13317175">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1.3516</w:t>
                  </w:r>
                </w:p>
              </w:tc>
              <w:tc>
                <w:tcPr>
                  <w:tcW w:w="568" w:type="pct"/>
                  <w:shd w:val="clear" w:color="auto" w:fill="auto"/>
                  <w:noWrap w:val="0"/>
                  <w:vAlign w:val="center"/>
                </w:tcPr>
                <w:p w14:paraId="51A0C7F4">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w:t>
                  </w:r>
                </w:p>
              </w:tc>
              <w:tc>
                <w:tcPr>
                  <w:tcW w:w="842" w:type="pct"/>
                  <w:shd w:val="clear" w:color="auto" w:fill="auto"/>
                  <w:noWrap w:val="0"/>
                  <w:vAlign w:val="center"/>
                </w:tcPr>
                <w:p w14:paraId="4464C8C8">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1.3516</w:t>
                  </w:r>
                </w:p>
              </w:tc>
              <w:tc>
                <w:tcPr>
                  <w:tcW w:w="628" w:type="pct"/>
                  <w:shd w:val="clear" w:color="auto" w:fill="auto"/>
                  <w:noWrap w:val="0"/>
                  <w:vAlign w:val="center"/>
                </w:tcPr>
                <w:p w14:paraId="40A58922">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w:t>
                  </w:r>
                  <w:r>
                    <w:rPr>
                      <w:rFonts w:hint="eastAsia" w:hAnsi="Times New Roman" w:cs="Times New Roman"/>
                      <w:b w:val="0"/>
                      <w:bCs w:val="0"/>
                      <w:color w:val="auto"/>
                      <w:kern w:val="2"/>
                      <w:sz w:val="21"/>
                      <w:szCs w:val="21"/>
                      <w:highlight w:val="none"/>
                      <w:u w:val="single"/>
                      <w:lang w:val="en-US" w:eastAsia="zh-CN" w:bidi="ar-SA"/>
                    </w:rPr>
                    <w:t>1.3516</w:t>
                  </w:r>
                </w:p>
              </w:tc>
            </w:tr>
            <w:tr w14:paraId="15FB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440" w:type="pct"/>
                  <w:vMerge w:val="continue"/>
                  <w:noWrap w:val="0"/>
                  <w:vAlign w:val="center"/>
                </w:tcPr>
                <w:p w14:paraId="68CAD303">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p>
              </w:tc>
              <w:tc>
                <w:tcPr>
                  <w:tcW w:w="580" w:type="pct"/>
                  <w:shd w:val="clear" w:color="auto" w:fill="auto"/>
                  <w:noWrap w:val="0"/>
                  <w:vAlign w:val="center"/>
                </w:tcPr>
                <w:p w14:paraId="7D86BECC">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cs="Times New Roman"/>
                      <w:b w:val="0"/>
                      <w:bCs w:val="0"/>
                      <w:color w:val="auto"/>
                      <w:kern w:val="2"/>
                      <w:sz w:val="21"/>
                      <w:szCs w:val="21"/>
                      <w:highlight w:val="none"/>
                      <w:u w:val="single"/>
                      <w:vertAlign w:val="baseline"/>
                      <w:lang w:val="en-US" w:eastAsia="zh-CN" w:bidi="ar-SA"/>
                    </w:rPr>
                  </w:pPr>
                  <w:r>
                    <w:rPr>
                      <w:rFonts w:hint="eastAsia" w:cs="Times New Roman"/>
                      <w:b w:val="0"/>
                      <w:bCs w:val="0"/>
                      <w:color w:val="auto"/>
                      <w:kern w:val="2"/>
                      <w:sz w:val="21"/>
                      <w:szCs w:val="21"/>
                      <w:highlight w:val="none"/>
                      <w:u w:val="single"/>
                      <w:vertAlign w:val="baseline"/>
                      <w:lang w:val="en-US" w:eastAsia="zh-CN" w:bidi="ar-SA"/>
                    </w:rPr>
                    <w:t>废分子筛</w:t>
                  </w:r>
                </w:p>
              </w:tc>
              <w:tc>
                <w:tcPr>
                  <w:tcW w:w="572" w:type="pct"/>
                  <w:shd w:val="clear" w:color="auto" w:fill="auto"/>
                  <w:noWrap w:val="0"/>
                  <w:vAlign w:val="center"/>
                </w:tcPr>
                <w:p w14:paraId="6364EEE7">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576" w:type="pct"/>
                  <w:shd w:val="clear" w:color="auto" w:fill="auto"/>
                  <w:noWrap w:val="0"/>
                  <w:vAlign w:val="center"/>
                </w:tcPr>
                <w:p w14:paraId="20E39672">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790" w:type="pct"/>
                  <w:noWrap w:val="0"/>
                  <w:vAlign w:val="center"/>
                </w:tcPr>
                <w:p w14:paraId="287B7ECF">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0.3203</w:t>
                  </w:r>
                </w:p>
              </w:tc>
              <w:tc>
                <w:tcPr>
                  <w:tcW w:w="568" w:type="pct"/>
                  <w:shd w:val="clear" w:color="auto" w:fill="auto"/>
                  <w:noWrap w:val="0"/>
                  <w:vAlign w:val="center"/>
                </w:tcPr>
                <w:p w14:paraId="3E933EA9">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w:t>
                  </w:r>
                </w:p>
              </w:tc>
              <w:tc>
                <w:tcPr>
                  <w:tcW w:w="842" w:type="pct"/>
                  <w:shd w:val="clear" w:color="auto" w:fill="auto"/>
                  <w:noWrap w:val="0"/>
                  <w:vAlign w:val="center"/>
                </w:tcPr>
                <w:p w14:paraId="38CCE808">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0.3203</w:t>
                  </w:r>
                </w:p>
              </w:tc>
              <w:tc>
                <w:tcPr>
                  <w:tcW w:w="628" w:type="pct"/>
                  <w:shd w:val="clear" w:color="auto" w:fill="auto"/>
                  <w:noWrap w:val="0"/>
                  <w:vAlign w:val="center"/>
                </w:tcPr>
                <w:p w14:paraId="4A10A072">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eastAsia"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+0.3203</w:t>
                  </w:r>
                </w:p>
              </w:tc>
            </w:tr>
            <w:tr w14:paraId="5DFF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noWrap w:val="0"/>
                  <w:vAlign w:val="center"/>
                </w:tcPr>
                <w:p w14:paraId="62C2C71C">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职工</w:t>
                  </w:r>
                  <w:r>
                    <w:rPr>
                      <w:rFonts w:hint="eastAsia" w:cs="Times New Roman"/>
                      <w:b w:val="0"/>
                      <w:bCs w:val="0"/>
                      <w:color w:val="auto"/>
                      <w:sz w:val="21"/>
                      <w:szCs w:val="21"/>
                      <w:highlight w:val="none"/>
                      <w:u w:val="single"/>
                      <w:vertAlign w:val="baseline"/>
                      <w:lang w:val="en-US" w:eastAsia="zh-CN"/>
                    </w:rPr>
                    <w:t xml:space="preserve"> </w:t>
                  </w:r>
                  <w:r>
                    <w:rPr>
                      <w:rFonts w:hint="default" w:ascii="Times New Roman" w:hAnsi="Times New Roman" w:eastAsia="宋体" w:cs="Times New Roman"/>
                      <w:b w:val="0"/>
                      <w:bCs w:val="0"/>
                      <w:color w:val="auto"/>
                      <w:sz w:val="21"/>
                      <w:szCs w:val="21"/>
                      <w:highlight w:val="none"/>
                      <w:u w:val="single"/>
                      <w:vertAlign w:val="baseline"/>
                      <w:lang w:val="en-US" w:eastAsia="zh-CN"/>
                    </w:rPr>
                    <w:t>生活</w:t>
                  </w:r>
                </w:p>
              </w:tc>
              <w:tc>
                <w:tcPr>
                  <w:tcW w:w="580" w:type="pct"/>
                  <w:noWrap w:val="0"/>
                  <w:vAlign w:val="center"/>
                </w:tcPr>
                <w:p w14:paraId="5E73ACB6">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val="0"/>
                      <w:bCs/>
                      <w:color w:val="auto"/>
                      <w:kern w:val="2"/>
                      <w:sz w:val="21"/>
                      <w:szCs w:val="21"/>
                      <w:highlight w:val="none"/>
                      <w:u w:val="single"/>
                      <w:vertAlign w:val="baseline"/>
                      <w:lang w:val="en-US" w:eastAsia="zh-CN" w:bidi="ar-SA"/>
                    </w:rPr>
                  </w:pPr>
                  <w:r>
                    <w:rPr>
                      <w:rFonts w:hint="eastAsia" w:ascii="Times New Roman" w:hAnsi="Times New Roman" w:eastAsia="宋体" w:cs="Times New Roman"/>
                      <w:b w:val="0"/>
                      <w:bCs/>
                      <w:color w:val="auto"/>
                      <w:kern w:val="2"/>
                      <w:sz w:val="21"/>
                      <w:szCs w:val="21"/>
                      <w:highlight w:val="none"/>
                      <w:u w:val="single"/>
                      <w:vertAlign w:val="baseline"/>
                      <w:lang w:val="en-US" w:eastAsia="zh-CN" w:bidi="ar-SA"/>
                    </w:rPr>
                    <w:t>生活垃圾</w:t>
                  </w:r>
                </w:p>
              </w:tc>
              <w:tc>
                <w:tcPr>
                  <w:tcW w:w="572" w:type="pct"/>
                  <w:noWrap w:val="0"/>
                  <w:vAlign w:val="center"/>
                </w:tcPr>
                <w:p w14:paraId="241C38AB">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3</w:t>
                  </w:r>
                </w:p>
              </w:tc>
              <w:tc>
                <w:tcPr>
                  <w:tcW w:w="576" w:type="pct"/>
                  <w:noWrap w:val="0"/>
                  <w:vAlign w:val="center"/>
                </w:tcPr>
                <w:p w14:paraId="7F738DBD">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hAnsi="Times New Roman"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w:t>
                  </w:r>
                </w:p>
              </w:tc>
              <w:tc>
                <w:tcPr>
                  <w:tcW w:w="790" w:type="pct"/>
                  <w:noWrap w:val="0"/>
                  <w:vAlign w:val="center"/>
                </w:tcPr>
                <w:p w14:paraId="6F7BE6ED">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4.5</w:t>
                  </w:r>
                </w:p>
              </w:tc>
              <w:tc>
                <w:tcPr>
                  <w:tcW w:w="568" w:type="pct"/>
                  <w:shd w:val="clear" w:color="auto" w:fill="auto"/>
                  <w:noWrap w:val="0"/>
                  <w:vAlign w:val="center"/>
                </w:tcPr>
                <w:p w14:paraId="73C61914">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3</w:t>
                  </w:r>
                </w:p>
              </w:tc>
              <w:tc>
                <w:tcPr>
                  <w:tcW w:w="842" w:type="pct"/>
                  <w:shd w:val="clear" w:color="auto" w:fill="auto"/>
                  <w:noWrap w:val="0"/>
                  <w:vAlign w:val="center"/>
                </w:tcPr>
                <w:p w14:paraId="1CDEC599">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4.5</w:t>
                  </w:r>
                </w:p>
              </w:tc>
              <w:tc>
                <w:tcPr>
                  <w:tcW w:w="628" w:type="pct"/>
                  <w:shd w:val="clear" w:color="auto" w:fill="auto"/>
                  <w:noWrap w:val="0"/>
                  <w:vAlign w:val="center"/>
                </w:tcPr>
                <w:p w14:paraId="042996C5">
                  <w:pPr>
                    <w:pStyle w:val="56"/>
                    <w:keepNext w:val="0"/>
                    <w:keepLines/>
                    <w:pageBreakBefore w:val="0"/>
                    <w:widowControl w:val="0"/>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eastAsia="宋体" w:cs="Times New Roman"/>
                      <w:b w:val="0"/>
                      <w:bCs w:val="0"/>
                      <w:color w:val="auto"/>
                      <w:kern w:val="2"/>
                      <w:sz w:val="21"/>
                      <w:szCs w:val="21"/>
                      <w:highlight w:val="none"/>
                      <w:u w:val="single"/>
                      <w:lang w:val="en-US" w:eastAsia="zh-CN" w:bidi="ar-SA"/>
                    </w:rPr>
                    <w:t>+1.5</w:t>
                  </w:r>
                </w:p>
              </w:tc>
            </w:tr>
            <w:tr w14:paraId="07B9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noWrap w:val="0"/>
                  <w:vAlign w:val="center"/>
                </w:tcPr>
                <w:p w14:paraId="45117E59">
                  <w:pPr>
                    <w:pStyle w:val="56"/>
                    <w:keepNext w:val="0"/>
                    <w:keepLines/>
                    <w:pageBreakBefore w:val="0"/>
                    <w:widowControl w:val="0"/>
                    <w:kinsoku/>
                    <w:wordWrap/>
                    <w:overflowPunct/>
                    <w:topLinePunct w:val="0"/>
                    <w:autoSpaceDE/>
                    <w:autoSpaceDN/>
                    <w:bidi w:val="0"/>
                    <w:adjustRightInd/>
                    <w:snapToGrid/>
                    <w:spacing w:before="63" w:beforeLines="20" w:after="63" w:afterLines="20"/>
                    <w:jc w:val="both"/>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hAnsi="Times New Roman" w:cs="Times New Roman"/>
                      <w:b w:val="0"/>
                      <w:bCs w:val="0"/>
                      <w:color w:val="auto"/>
                      <w:kern w:val="2"/>
                      <w:sz w:val="21"/>
                      <w:szCs w:val="21"/>
                      <w:highlight w:val="none"/>
                      <w:u w:val="single"/>
                      <w:lang w:val="en-US" w:eastAsia="zh-CN" w:bidi="ar-SA"/>
                    </w:rPr>
                    <w:t>注：本项目为迁建项目，项目建成后，原有工程不再存在</w:t>
                  </w:r>
                </w:p>
              </w:tc>
            </w:tr>
          </w:tbl>
          <w:p w14:paraId="6CC3D48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leftChars="0"/>
              <w:textAlignment w:val="baseline"/>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8、环保投资估算</w:t>
            </w:r>
          </w:p>
          <w:p w14:paraId="57A9527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jc w:val="both"/>
              <w:textAlignment w:val="baseline"/>
              <w:rPr>
                <w:rFonts w:hint="default" w:ascii="Times New Roman" w:hAnsi="Times New Roman" w:eastAsia="宋体" w:cs="Times New Roman"/>
                <w:b w:val="0"/>
                <w:bCs w:val="0"/>
                <w:snapToGrid w:val="0"/>
                <w:color w:val="auto"/>
                <w:sz w:val="24"/>
                <w:szCs w:val="24"/>
                <w:highlight w:val="none"/>
                <w:u w:val="none"/>
                <w:vertAlign w:val="baseline"/>
                <w:lang w:val="en-US" w:eastAsia="zh-CN"/>
              </w:rPr>
            </w:pPr>
            <w:r>
              <w:rPr>
                <w:rFonts w:hint="default" w:ascii="Times New Roman" w:hAnsi="Times New Roman" w:eastAsia="宋体" w:cs="Times New Roman"/>
                <w:b w:val="0"/>
                <w:bCs w:val="0"/>
                <w:snapToGrid w:val="0"/>
                <w:color w:val="auto"/>
                <w:sz w:val="24"/>
                <w:szCs w:val="24"/>
                <w:highlight w:val="none"/>
                <w:u w:val="none"/>
                <w:vertAlign w:val="baseline"/>
                <w:lang w:val="en-US" w:eastAsia="zh-CN"/>
              </w:rPr>
              <w:t>项目总投资</w:t>
            </w:r>
            <w:r>
              <w:rPr>
                <w:rFonts w:hint="eastAsia" w:cs="Times New Roman"/>
                <w:color w:val="auto"/>
                <w:sz w:val="24"/>
                <w:szCs w:val="24"/>
                <w:highlight w:val="none"/>
                <w:lang w:val="en-US" w:eastAsia="zh-CN"/>
              </w:rPr>
              <w:t>14000</w:t>
            </w:r>
            <w:r>
              <w:rPr>
                <w:rFonts w:hint="default" w:ascii="Times New Roman" w:hAnsi="Times New Roman" w:eastAsia="宋体" w:cs="Times New Roman"/>
                <w:b w:val="0"/>
                <w:bCs w:val="0"/>
                <w:snapToGrid w:val="0"/>
                <w:color w:val="auto"/>
                <w:sz w:val="24"/>
                <w:szCs w:val="24"/>
                <w:highlight w:val="none"/>
                <w:u w:val="none"/>
                <w:vertAlign w:val="baseline"/>
                <w:lang w:val="en-US" w:eastAsia="zh-CN"/>
              </w:rPr>
              <w:t>万元，其中环保投资</w:t>
            </w:r>
            <w:r>
              <w:rPr>
                <w:rFonts w:hint="eastAsia" w:cs="Times New Roman"/>
                <w:b w:val="0"/>
                <w:bCs w:val="0"/>
                <w:snapToGrid w:val="0"/>
                <w:color w:val="auto"/>
                <w:sz w:val="24"/>
                <w:szCs w:val="24"/>
                <w:highlight w:val="none"/>
                <w:u w:val="none"/>
                <w:vertAlign w:val="baseline"/>
                <w:lang w:val="en-US" w:eastAsia="zh-CN"/>
              </w:rPr>
              <w:t>170</w:t>
            </w:r>
            <w:r>
              <w:rPr>
                <w:rFonts w:hint="default" w:ascii="Times New Roman" w:hAnsi="Times New Roman" w:eastAsia="宋体" w:cs="Times New Roman"/>
                <w:b w:val="0"/>
                <w:bCs w:val="0"/>
                <w:snapToGrid w:val="0"/>
                <w:color w:val="auto"/>
                <w:sz w:val="24"/>
                <w:szCs w:val="24"/>
                <w:highlight w:val="none"/>
                <w:u w:val="none"/>
                <w:vertAlign w:val="baseline"/>
                <w:lang w:val="en-US" w:eastAsia="zh-CN"/>
              </w:rPr>
              <w:t>万元，占总投资的</w:t>
            </w:r>
            <w:r>
              <w:rPr>
                <w:rFonts w:hint="eastAsia" w:cs="Times New Roman"/>
                <w:b w:val="0"/>
                <w:bCs w:val="0"/>
                <w:snapToGrid w:val="0"/>
                <w:color w:val="auto"/>
                <w:sz w:val="24"/>
                <w:szCs w:val="24"/>
                <w:highlight w:val="none"/>
                <w:u w:val="none"/>
                <w:vertAlign w:val="baseline"/>
                <w:lang w:val="en-US" w:eastAsia="zh-CN"/>
              </w:rPr>
              <w:t>1.21</w:t>
            </w:r>
            <w:r>
              <w:rPr>
                <w:rFonts w:hint="default" w:ascii="Times New Roman" w:hAnsi="Times New Roman" w:eastAsia="宋体" w:cs="Times New Roman"/>
                <w:b w:val="0"/>
                <w:bCs w:val="0"/>
                <w:snapToGrid w:val="0"/>
                <w:color w:val="auto"/>
                <w:sz w:val="24"/>
                <w:szCs w:val="24"/>
                <w:highlight w:val="none"/>
                <w:u w:val="none"/>
                <w:vertAlign w:val="baseline"/>
                <w:lang w:val="en-US" w:eastAsia="zh-CN"/>
              </w:rPr>
              <w:t>%。</w:t>
            </w:r>
          </w:p>
          <w:p w14:paraId="4BB8D18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 xml:space="preserve">   本项目环保投资估算</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530"/>
              <w:gridCol w:w="3654"/>
              <w:gridCol w:w="687"/>
              <w:gridCol w:w="1127"/>
            </w:tblGrid>
            <w:tr w14:paraId="46C7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tcBorders>
                    <w:tl2br w:val="nil"/>
                    <w:tr2bl w:val="nil"/>
                  </w:tcBorders>
                  <w:noWrap w:val="0"/>
                  <w:vAlign w:val="center"/>
                </w:tcPr>
                <w:p w14:paraId="4D53BDD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zh-CN" w:eastAsia="zh-CN"/>
                    </w:rPr>
                  </w:pPr>
                  <w:r>
                    <w:rPr>
                      <w:rFonts w:hint="default" w:ascii="Times New Roman" w:hAnsi="Times New Roman" w:eastAsia="宋体" w:cs="Times New Roman"/>
                      <w:b w:val="0"/>
                      <w:bCs w:val="0"/>
                      <w:snapToGrid w:val="0"/>
                      <w:color w:val="auto"/>
                      <w:sz w:val="21"/>
                      <w:szCs w:val="21"/>
                      <w:highlight w:val="none"/>
                      <w:u w:val="none"/>
                      <w:vertAlign w:val="baseline"/>
                      <w:lang w:val="zh-CN" w:eastAsia="zh-CN"/>
                    </w:rPr>
                    <w:t>类别</w:t>
                  </w:r>
                </w:p>
              </w:tc>
              <w:tc>
                <w:tcPr>
                  <w:tcW w:w="995" w:type="pct"/>
                  <w:tcBorders>
                    <w:tl2br w:val="nil"/>
                    <w:tr2bl w:val="nil"/>
                  </w:tcBorders>
                  <w:noWrap w:val="0"/>
                  <w:vAlign w:val="center"/>
                </w:tcPr>
                <w:p w14:paraId="6C2554A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cs="Times New Roman"/>
                      <w:b w:val="0"/>
                      <w:bCs w:val="0"/>
                      <w:snapToGrid w:val="0"/>
                      <w:color w:val="auto"/>
                      <w:sz w:val="21"/>
                      <w:szCs w:val="21"/>
                      <w:highlight w:val="none"/>
                      <w:u w:val="none"/>
                      <w:vertAlign w:val="baseline"/>
                      <w:lang w:val="en-US" w:eastAsia="zh-CN"/>
                    </w:rPr>
                    <w:t>污染源</w:t>
                  </w:r>
                </w:p>
              </w:tc>
              <w:tc>
                <w:tcPr>
                  <w:tcW w:w="2377" w:type="pct"/>
                  <w:tcBorders>
                    <w:tl2br w:val="nil"/>
                    <w:tr2bl w:val="nil"/>
                  </w:tcBorders>
                  <w:noWrap w:val="0"/>
                  <w:vAlign w:val="center"/>
                </w:tcPr>
                <w:p w14:paraId="680DB6C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cs="Times New Roman"/>
                      <w:b w:val="0"/>
                      <w:bCs w:val="0"/>
                      <w:snapToGrid w:val="0"/>
                      <w:color w:val="auto"/>
                      <w:sz w:val="21"/>
                      <w:szCs w:val="21"/>
                      <w:highlight w:val="none"/>
                      <w:u w:val="none"/>
                      <w:vertAlign w:val="baseline"/>
                      <w:lang w:val="en-US" w:eastAsia="zh-CN"/>
                    </w:rPr>
                    <w:t>环保措施</w:t>
                  </w:r>
                </w:p>
              </w:tc>
              <w:tc>
                <w:tcPr>
                  <w:tcW w:w="445" w:type="pct"/>
                  <w:tcBorders>
                    <w:tl2br w:val="nil"/>
                    <w:tr2bl w:val="nil"/>
                  </w:tcBorders>
                  <w:noWrap w:val="0"/>
                  <w:vAlign w:val="center"/>
                </w:tcPr>
                <w:p w14:paraId="3D55825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zh-CN" w:eastAsia="zh-CN"/>
                    </w:rPr>
                  </w:pPr>
                  <w:r>
                    <w:rPr>
                      <w:rFonts w:hint="default" w:ascii="Times New Roman" w:hAnsi="Times New Roman" w:eastAsia="宋体" w:cs="Times New Roman"/>
                      <w:b w:val="0"/>
                      <w:bCs w:val="0"/>
                      <w:snapToGrid w:val="0"/>
                      <w:color w:val="auto"/>
                      <w:sz w:val="21"/>
                      <w:szCs w:val="21"/>
                      <w:highlight w:val="none"/>
                      <w:u w:val="none"/>
                      <w:vertAlign w:val="baseline"/>
                      <w:lang w:val="zh-CN" w:eastAsia="zh-CN"/>
                    </w:rPr>
                    <w:t>数量</w:t>
                  </w:r>
                </w:p>
              </w:tc>
              <w:tc>
                <w:tcPr>
                  <w:tcW w:w="733" w:type="pct"/>
                  <w:tcBorders>
                    <w:tl2br w:val="nil"/>
                    <w:tr2bl w:val="nil"/>
                  </w:tcBorders>
                  <w:noWrap w:val="0"/>
                  <w:vAlign w:val="center"/>
                </w:tcPr>
                <w:p w14:paraId="62094C7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zh-CN" w:eastAsia="zh-CN"/>
                    </w:rPr>
                    <w:t>投资</w:t>
                  </w:r>
                  <w:r>
                    <w:rPr>
                      <w:rFonts w:hint="eastAsia" w:ascii="Times New Roman" w:hAnsi="Times New Roman" w:cs="Times New Roman"/>
                      <w:b w:val="0"/>
                      <w:bCs w:val="0"/>
                      <w:snapToGrid w:val="0"/>
                      <w:color w:val="auto"/>
                      <w:sz w:val="21"/>
                      <w:szCs w:val="21"/>
                      <w:highlight w:val="none"/>
                      <w:u w:val="none"/>
                      <w:vertAlign w:val="baseline"/>
                      <w:lang w:val="en-US" w:eastAsia="zh-CN"/>
                    </w:rPr>
                    <w:t>/</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万元</w:t>
                  </w:r>
                </w:p>
              </w:tc>
            </w:tr>
            <w:tr w14:paraId="2F29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47" w:type="pct"/>
                  <w:vMerge w:val="restart"/>
                  <w:tcBorders>
                    <w:tl2br w:val="nil"/>
                    <w:tr2bl w:val="nil"/>
                  </w:tcBorders>
                  <w:noWrap w:val="0"/>
                  <w:vAlign w:val="center"/>
                </w:tcPr>
                <w:p w14:paraId="2A3A775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cs="Times New Roman"/>
                      <w:b w:val="0"/>
                      <w:bCs w:val="0"/>
                      <w:snapToGrid w:val="0"/>
                      <w:color w:val="auto"/>
                      <w:sz w:val="21"/>
                      <w:szCs w:val="21"/>
                      <w:highlight w:val="none"/>
                      <w:u w:val="none"/>
                      <w:vertAlign w:val="baseline"/>
                      <w:lang w:val="en-US" w:eastAsia="zh-CN"/>
                    </w:rPr>
                    <w:t>废气</w:t>
                  </w:r>
                </w:p>
              </w:tc>
              <w:tc>
                <w:tcPr>
                  <w:tcW w:w="995" w:type="pct"/>
                  <w:tcBorders>
                    <w:tl2br w:val="nil"/>
                    <w:tr2bl w:val="nil"/>
                  </w:tcBorders>
                  <w:noWrap w:val="0"/>
                  <w:vAlign w:val="center"/>
                </w:tcPr>
                <w:p w14:paraId="15C9458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切割、焊接工序废气</w:t>
                  </w:r>
                </w:p>
              </w:tc>
              <w:tc>
                <w:tcPr>
                  <w:tcW w:w="2377" w:type="pct"/>
                  <w:tcBorders>
                    <w:tl2br w:val="nil"/>
                    <w:tr2bl w:val="nil"/>
                  </w:tcBorders>
                  <w:noWrap w:val="0"/>
                  <w:vAlign w:val="center"/>
                </w:tcPr>
                <w:p w14:paraId="7366267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软帘+</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集气罩+</w:t>
                  </w:r>
                  <w:r>
                    <w:rPr>
                      <w:rFonts w:hint="eastAsia" w:cs="Times New Roman"/>
                      <w:b w:val="0"/>
                      <w:bCs w:val="0"/>
                      <w:snapToGrid w:val="0"/>
                      <w:color w:val="auto"/>
                      <w:sz w:val="21"/>
                      <w:szCs w:val="21"/>
                      <w:highlight w:val="none"/>
                      <w:u w:val="none"/>
                      <w:vertAlign w:val="baseline"/>
                      <w:lang w:val="en-US" w:eastAsia="zh-CN"/>
                    </w:rPr>
                    <w:t>袋式除尘</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器+15m排气筒排放（DA001）</w:t>
                  </w:r>
                </w:p>
              </w:tc>
              <w:tc>
                <w:tcPr>
                  <w:tcW w:w="445" w:type="pct"/>
                  <w:tcBorders>
                    <w:tl2br w:val="nil"/>
                    <w:tr2bl w:val="nil"/>
                  </w:tcBorders>
                  <w:noWrap w:val="0"/>
                  <w:vAlign w:val="center"/>
                </w:tcPr>
                <w:p w14:paraId="6BEF14D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1</w:t>
                  </w:r>
                </w:p>
              </w:tc>
              <w:tc>
                <w:tcPr>
                  <w:tcW w:w="733" w:type="pct"/>
                  <w:tcBorders>
                    <w:tl2br w:val="nil"/>
                    <w:tr2bl w:val="nil"/>
                  </w:tcBorders>
                  <w:noWrap w:val="0"/>
                  <w:vAlign w:val="center"/>
                </w:tcPr>
                <w:p w14:paraId="2A63C63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50</w:t>
                  </w:r>
                </w:p>
              </w:tc>
            </w:tr>
            <w:tr w14:paraId="2795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47" w:type="pct"/>
                  <w:vMerge w:val="continue"/>
                  <w:tcBorders>
                    <w:tl2br w:val="nil"/>
                    <w:tr2bl w:val="nil"/>
                  </w:tcBorders>
                  <w:noWrap w:val="0"/>
                  <w:vAlign w:val="center"/>
                </w:tcPr>
                <w:p w14:paraId="2C84CAC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eastAsia" w:ascii="Times New Roman" w:hAnsi="Times New Roman" w:cs="Times New Roman"/>
                      <w:b w:val="0"/>
                      <w:bCs w:val="0"/>
                      <w:snapToGrid w:val="0"/>
                      <w:color w:val="auto"/>
                      <w:sz w:val="21"/>
                      <w:szCs w:val="21"/>
                      <w:highlight w:val="none"/>
                      <w:u w:val="none"/>
                      <w:vertAlign w:val="baseline"/>
                      <w:lang w:val="en-US" w:eastAsia="zh-CN"/>
                    </w:rPr>
                  </w:pPr>
                </w:p>
              </w:tc>
              <w:tc>
                <w:tcPr>
                  <w:tcW w:w="995" w:type="pct"/>
                  <w:tcBorders>
                    <w:tl2br w:val="nil"/>
                    <w:tr2bl w:val="nil"/>
                  </w:tcBorders>
                  <w:noWrap w:val="0"/>
                  <w:vAlign w:val="center"/>
                </w:tcPr>
                <w:p w14:paraId="33F6E88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防锈处理</w:t>
                  </w:r>
                  <w:r>
                    <w:rPr>
                      <w:rFonts w:hint="eastAsia" w:cs="Times New Roman"/>
                      <w:b w:val="0"/>
                      <w:bCs w:val="0"/>
                      <w:snapToGrid w:val="0"/>
                      <w:color w:val="auto"/>
                      <w:sz w:val="21"/>
                      <w:szCs w:val="21"/>
                      <w:highlight w:val="none"/>
                      <w:u w:val="none"/>
                      <w:vertAlign w:val="baseline"/>
                      <w:lang w:val="en-US" w:eastAsia="zh-CN"/>
                    </w:rPr>
                    <w:t>工序废气</w:t>
                  </w:r>
                </w:p>
              </w:tc>
              <w:tc>
                <w:tcPr>
                  <w:tcW w:w="2377" w:type="pct"/>
                  <w:tcBorders>
                    <w:tl2br w:val="nil"/>
                    <w:tr2bl w:val="nil"/>
                  </w:tcBorders>
                  <w:noWrap w:val="0"/>
                  <w:vAlign w:val="center"/>
                </w:tcPr>
                <w:p w14:paraId="1952466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软帘+</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集气罩+</w:t>
                  </w:r>
                  <w:r>
                    <w:rPr>
                      <w:rFonts w:hint="eastAsia" w:cs="Times New Roman"/>
                      <w:b w:val="0"/>
                      <w:bCs w:val="0"/>
                      <w:snapToGrid w:val="0"/>
                      <w:color w:val="auto"/>
                      <w:sz w:val="21"/>
                      <w:szCs w:val="21"/>
                      <w:highlight w:val="none"/>
                      <w:u w:val="none"/>
                      <w:vertAlign w:val="baseline"/>
                      <w:lang w:val="en-US" w:eastAsia="zh-CN"/>
                    </w:rPr>
                    <w:t>活性炭+分子筛吸附</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+15m排气筒排放（DA002）</w:t>
                  </w:r>
                </w:p>
              </w:tc>
              <w:tc>
                <w:tcPr>
                  <w:tcW w:w="445" w:type="pct"/>
                  <w:tcBorders>
                    <w:tl2br w:val="nil"/>
                    <w:tr2bl w:val="nil"/>
                  </w:tcBorders>
                  <w:noWrap w:val="0"/>
                  <w:vAlign w:val="center"/>
                </w:tcPr>
                <w:p w14:paraId="4EC9B00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1</w:t>
                  </w:r>
                </w:p>
              </w:tc>
              <w:tc>
                <w:tcPr>
                  <w:tcW w:w="733" w:type="pct"/>
                  <w:tcBorders>
                    <w:tl2br w:val="nil"/>
                    <w:tr2bl w:val="nil"/>
                  </w:tcBorders>
                  <w:noWrap w:val="0"/>
                  <w:vAlign w:val="center"/>
                </w:tcPr>
                <w:p w14:paraId="7AC8ADA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80</w:t>
                  </w:r>
                </w:p>
              </w:tc>
            </w:tr>
            <w:tr w14:paraId="5F53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47" w:type="pct"/>
                  <w:tcBorders>
                    <w:tl2br w:val="nil"/>
                    <w:tr2bl w:val="nil"/>
                  </w:tcBorders>
                  <w:noWrap w:val="0"/>
                  <w:vAlign w:val="center"/>
                </w:tcPr>
                <w:p w14:paraId="732DF03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cs="Times New Roman"/>
                      <w:b w:val="0"/>
                      <w:bCs w:val="0"/>
                      <w:snapToGrid w:val="0"/>
                      <w:color w:val="auto"/>
                      <w:sz w:val="21"/>
                      <w:szCs w:val="21"/>
                      <w:highlight w:val="none"/>
                      <w:u w:val="none"/>
                      <w:vertAlign w:val="baseline"/>
                      <w:lang w:val="en-US" w:eastAsia="zh-CN"/>
                    </w:rPr>
                  </w:pPr>
                  <w:r>
                    <w:rPr>
                      <w:rFonts w:hint="eastAsia" w:ascii="Times New Roman" w:hAnsi="Times New Roman" w:cs="Times New Roman"/>
                      <w:b w:val="0"/>
                      <w:bCs w:val="0"/>
                      <w:snapToGrid w:val="0"/>
                      <w:color w:val="auto"/>
                      <w:sz w:val="21"/>
                      <w:szCs w:val="21"/>
                      <w:highlight w:val="none"/>
                      <w:u w:val="none"/>
                      <w:vertAlign w:val="baseline"/>
                      <w:lang w:val="en-US" w:eastAsia="zh-CN"/>
                    </w:rPr>
                    <w:t>废水</w:t>
                  </w:r>
                </w:p>
              </w:tc>
              <w:tc>
                <w:tcPr>
                  <w:tcW w:w="995" w:type="pct"/>
                  <w:tcBorders>
                    <w:tl2br w:val="nil"/>
                    <w:tr2bl w:val="nil"/>
                  </w:tcBorders>
                  <w:noWrap w:val="0"/>
                  <w:vAlign w:val="center"/>
                </w:tcPr>
                <w:p w14:paraId="76EF53F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生活污水</w:t>
                  </w:r>
                </w:p>
              </w:tc>
              <w:tc>
                <w:tcPr>
                  <w:tcW w:w="2377" w:type="pct"/>
                  <w:tcBorders>
                    <w:tl2br w:val="nil"/>
                    <w:tr2bl w:val="nil"/>
                  </w:tcBorders>
                  <w:noWrap w:val="0"/>
                  <w:vAlign w:val="center"/>
                </w:tcPr>
                <w:p w14:paraId="3BEDA5E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化粪池</w:t>
                  </w:r>
                </w:p>
              </w:tc>
              <w:tc>
                <w:tcPr>
                  <w:tcW w:w="445" w:type="pct"/>
                  <w:tcBorders>
                    <w:tl2br w:val="nil"/>
                    <w:tr2bl w:val="nil"/>
                  </w:tcBorders>
                  <w:noWrap w:val="0"/>
                  <w:vAlign w:val="center"/>
                </w:tcPr>
                <w:p w14:paraId="60DAC5A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1</w:t>
                  </w:r>
                </w:p>
              </w:tc>
              <w:tc>
                <w:tcPr>
                  <w:tcW w:w="733" w:type="pct"/>
                  <w:tcBorders>
                    <w:tl2br w:val="nil"/>
                    <w:tr2bl w:val="nil"/>
                  </w:tcBorders>
                  <w:noWrap w:val="0"/>
                  <w:vAlign w:val="center"/>
                </w:tcPr>
                <w:p w14:paraId="3BE8DA8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63" w:beforeLines="20" w:after="63" w:afterLines="20" w:line="240" w:lineRule="auto"/>
                    <w:jc w:val="center"/>
                    <w:textAlignment w:val="baseline"/>
                    <w:rPr>
                      <w:rFonts w:hint="default" w:ascii="Times New Roman" w:hAnsi="Times New Roman"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5</w:t>
                  </w:r>
                </w:p>
              </w:tc>
            </w:tr>
            <w:tr w14:paraId="134B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tcBorders>
                    <w:tl2br w:val="nil"/>
                    <w:tr2bl w:val="nil"/>
                  </w:tcBorders>
                  <w:shd w:val="clear" w:color="auto" w:fill="auto"/>
                  <w:noWrap w:val="0"/>
                  <w:vAlign w:val="center"/>
                </w:tcPr>
                <w:p w14:paraId="1446B44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w:t>
                  </w:r>
                </w:p>
              </w:tc>
              <w:tc>
                <w:tcPr>
                  <w:tcW w:w="995" w:type="pct"/>
                  <w:tcBorders>
                    <w:tl2br w:val="nil"/>
                    <w:tr2bl w:val="nil"/>
                  </w:tcBorders>
                  <w:shd w:val="clear" w:color="auto" w:fill="auto"/>
                  <w:noWrap w:val="0"/>
                  <w:vAlign w:val="center"/>
                </w:tcPr>
                <w:p w14:paraId="2B5CA00F">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设备噪声</w:t>
                  </w:r>
                </w:p>
              </w:tc>
              <w:tc>
                <w:tcPr>
                  <w:tcW w:w="2377" w:type="pct"/>
                  <w:tcBorders>
                    <w:tl2br w:val="nil"/>
                    <w:tr2bl w:val="nil"/>
                  </w:tcBorders>
                  <w:shd w:val="clear" w:color="auto" w:fill="auto"/>
                  <w:noWrap w:val="0"/>
                  <w:vAlign w:val="center"/>
                </w:tcPr>
                <w:p w14:paraId="5DBF2708">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highlight w:val="none"/>
                      <w:lang w:eastAsia="zh-CN"/>
                    </w:rPr>
                    <w:t>合理布局、</w:t>
                  </w:r>
                  <w:r>
                    <w:rPr>
                      <w:rFonts w:hint="default" w:ascii="Times New Roman" w:hAnsi="Times New Roman" w:eastAsia="宋体" w:cs="Times New Roman"/>
                      <w:color w:val="auto"/>
                      <w:sz w:val="21"/>
                      <w:highlight w:val="none"/>
                    </w:rPr>
                    <w:t>选用</w:t>
                  </w:r>
                  <w:r>
                    <w:rPr>
                      <w:rFonts w:hint="default" w:ascii="Times New Roman" w:hAnsi="Times New Roman" w:eastAsia="宋体" w:cs="Times New Roman"/>
                      <w:color w:val="auto"/>
                      <w:sz w:val="21"/>
                      <w:szCs w:val="21"/>
                      <w:highlight w:val="none"/>
                    </w:rPr>
                    <w:t>低噪声设备，基础减振、厂房隔声</w:t>
                  </w:r>
                  <w:r>
                    <w:rPr>
                      <w:rFonts w:hint="default" w:ascii="Times New Roman" w:hAnsi="Times New Roman" w:eastAsia="宋体" w:cs="Times New Roman"/>
                      <w:color w:val="auto"/>
                      <w:sz w:val="21"/>
                      <w:szCs w:val="21"/>
                      <w:highlight w:val="none"/>
                      <w:lang w:eastAsia="zh-CN"/>
                    </w:rPr>
                    <w:t>等</w:t>
                  </w:r>
                </w:p>
              </w:tc>
              <w:tc>
                <w:tcPr>
                  <w:tcW w:w="445" w:type="pct"/>
                  <w:tcBorders>
                    <w:tl2br w:val="nil"/>
                    <w:tr2bl w:val="nil"/>
                  </w:tcBorders>
                  <w:shd w:val="clear" w:color="auto" w:fill="auto"/>
                  <w:noWrap w:val="0"/>
                  <w:vAlign w:val="center"/>
                </w:tcPr>
                <w:p w14:paraId="7379067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733" w:type="pct"/>
                  <w:tcBorders>
                    <w:tl2br w:val="nil"/>
                    <w:tr2bl w:val="nil"/>
                  </w:tcBorders>
                  <w:shd w:val="clear" w:color="auto" w:fill="auto"/>
                  <w:noWrap w:val="0"/>
                  <w:vAlign w:val="center"/>
                </w:tcPr>
                <w:p w14:paraId="24DA42E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p>
              </w:tc>
            </w:tr>
            <w:tr w14:paraId="7BD2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restart"/>
                  <w:tcBorders>
                    <w:tl2br w:val="nil"/>
                    <w:tr2bl w:val="nil"/>
                  </w:tcBorders>
                  <w:shd w:val="clear" w:color="auto" w:fill="auto"/>
                  <w:noWrap w:val="0"/>
                  <w:vAlign w:val="center"/>
                </w:tcPr>
                <w:p w14:paraId="7B18E28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995" w:type="pct"/>
                  <w:tcBorders>
                    <w:tl2br w:val="nil"/>
                    <w:tr2bl w:val="nil"/>
                  </w:tcBorders>
                  <w:shd w:val="clear" w:color="auto" w:fill="auto"/>
                  <w:noWrap w:val="0"/>
                  <w:vAlign w:val="center"/>
                </w:tcPr>
                <w:p w14:paraId="05E068DB">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一般固废</w:t>
                  </w:r>
                </w:p>
              </w:tc>
              <w:tc>
                <w:tcPr>
                  <w:tcW w:w="2377" w:type="pct"/>
                  <w:tcBorders>
                    <w:tl2br w:val="nil"/>
                    <w:tr2bl w:val="nil"/>
                  </w:tcBorders>
                  <w:shd w:val="clear" w:color="auto" w:fill="auto"/>
                  <w:noWrap w:val="0"/>
                  <w:vAlign w:val="center"/>
                </w:tcPr>
                <w:p w14:paraId="5A95CFF2">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一般固废暂存</w:t>
                  </w:r>
                  <w:r>
                    <w:rPr>
                      <w:rFonts w:hint="eastAsia" w:ascii="Times New Roman" w:hAnsi="Times New Roman" w:cs="Times New Roman"/>
                      <w:color w:val="auto"/>
                      <w:kern w:val="2"/>
                      <w:sz w:val="21"/>
                      <w:szCs w:val="21"/>
                      <w:highlight w:val="none"/>
                      <w:lang w:val="en-US" w:eastAsia="zh-CN" w:bidi="ar-SA"/>
                    </w:rPr>
                    <w:t>间</w:t>
                  </w:r>
                </w:p>
              </w:tc>
              <w:tc>
                <w:tcPr>
                  <w:tcW w:w="445" w:type="pct"/>
                  <w:tcBorders>
                    <w:tl2br w:val="nil"/>
                    <w:tr2bl w:val="nil"/>
                  </w:tcBorders>
                  <w:shd w:val="clear" w:color="auto" w:fill="auto"/>
                  <w:noWrap w:val="0"/>
                  <w:vAlign w:val="center"/>
                </w:tcPr>
                <w:p w14:paraId="1479FF9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733" w:type="pct"/>
                  <w:tcBorders>
                    <w:tl2br w:val="nil"/>
                    <w:tr2bl w:val="nil"/>
                  </w:tcBorders>
                  <w:shd w:val="clear" w:color="auto" w:fill="auto"/>
                  <w:noWrap w:val="0"/>
                  <w:vAlign w:val="center"/>
                </w:tcPr>
                <w:p w14:paraId="087EF67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r>
            <w:tr w14:paraId="2840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tcBorders>
                    <w:tl2br w:val="nil"/>
                    <w:tr2bl w:val="nil"/>
                  </w:tcBorders>
                  <w:shd w:val="clear" w:color="auto" w:fill="auto"/>
                  <w:noWrap w:val="0"/>
                  <w:vAlign w:val="center"/>
                </w:tcPr>
                <w:p w14:paraId="6FEC217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95" w:type="pct"/>
                  <w:tcBorders>
                    <w:tl2br w:val="nil"/>
                    <w:tr2bl w:val="nil"/>
                  </w:tcBorders>
                  <w:shd w:val="clear" w:color="auto" w:fill="auto"/>
                  <w:noWrap w:val="0"/>
                  <w:vAlign w:val="center"/>
                </w:tcPr>
                <w:p w14:paraId="6CA6D1E5">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危险废物</w:t>
                  </w:r>
                </w:p>
              </w:tc>
              <w:tc>
                <w:tcPr>
                  <w:tcW w:w="2377" w:type="pct"/>
                  <w:tcBorders>
                    <w:tl2br w:val="nil"/>
                    <w:tr2bl w:val="nil"/>
                  </w:tcBorders>
                  <w:shd w:val="clear" w:color="auto" w:fill="auto"/>
                  <w:noWrap w:val="0"/>
                  <w:vAlign w:val="center"/>
                </w:tcPr>
                <w:p w14:paraId="5754E794">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1"/>
                      <w:highlight w:val="none"/>
                      <w:lang w:val="en-US" w:eastAsia="zh-CN" w:bidi="ar-SA"/>
                    </w:rPr>
                    <w:t>20</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cs="Times New Roman"/>
                      <w:color w:val="auto"/>
                      <w:kern w:val="2"/>
                      <w:sz w:val="21"/>
                      <w:szCs w:val="21"/>
                      <w:highlight w:val="none"/>
                      <w:lang w:val="en-US" w:eastAsia="zh-CN" w:bidi="ar-SA"/>
                    </w:rPr>
                    <w:t>危废</w:t>
                  </w:r>
                  <w:r>
                    <w:rPr>
                      <w:rFonts w:hint="default" w:ascii="Times New Roman" w:hAnsi="Times New Roman" w:eastAsia="宋体" w:cs="Times New Roman"/>
                      <w:color w:val="auto"/>
                      <w:kern w:val="2"/>
                      <w:sz w:val="21"/>
                      <w:szCs w:val="21"/>
                      <w:highlight w:val="none"/>
                      <w:lang w:val="en-US" w:eastAsia="zh-CN" w:bidi="ar-SA"/>
                    </w:rPr>
                    <w:t>暂存</w:t>
                  </w:r>
                  <w:r>
                    <w:rPr>
                      <w:rFonts w:hint="eastAsia" w:ascii="Times New Roman" w:hAnsi="Times New Roman" w:cs="Times New Roman"/>
                      <w:color w:val="auto"/>
                      <w:kern w:val="2"/>
                      <w:sz w:val="21"/>
                      <w:szCs w:val="21"/>
                      <w:highlight w:val="none"/>
                      <w:lang w:val="en-US" w:eastAsia="zh-CN" w:bidi="ar-SA"/>
                    </w:rPr>
                    <w:t>间</w:t>
                  </w:r>
                </w:p>
              </w:tc>
              <w:tc>
                <w:tcPr>
                  <w:tcW w:w="445" w:type="pct"/>
                  <w:tcBorders>
                    <w:tl2br w:val="nil"/>
                    <w:tr2bl w:val="nil"/>
                  </w:tcBorders>
                  <w:shd w:val="clear" w:color="auto" w:fill="auto"/>
                  <w:noWrap w:val="0"/>
                  <w:vAlign w:val="center"/>
                </w:tcPr>
                <w:p w14:paraId="293C869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733" w:type="pct"/>
                  <w:tcBorders>
                    <w:tl2br w:val="nil"/>
                    <w:tr2bl w:val="nil"/>
                  </w:tcBorders>
                  <w:shd w:val="clear" w:color="auto" w:fill="auto"/>
                  <w:noWrap w:val="0"/>
                  <w:vAlign w:val="center"/>
                </w:tcPr>
                <w:p w14:paraId="57E2326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r>
            <w:tr w14:paraId="6CA3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6" w:type="pct"/>
                  <w:gridSpan w:val="4"/>
                  <w:tcBorders>
                    <w:tl2br w:val="nil"/>
                    <w:tr2bl w:val="nil"/>
                  </w:tcBorders>
                  <w:shd w:val="clear" w:color="auto" w:fill="auto"/>
                  <w:noWrap w:val="0"/>
                  <w:vAlign w:val="center"/>
                </w:tcPr>
                <w:p w14:paraId="1D4C617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合计</w:t>
                  </w:r>
                </w:p>
              </w:tc>
              <w:tc>
                <w:tcPr>
                  <w:tcW w:w="733" w:type="pct"/>
                  <w:tcBorders>
                    <w:tl2br w:val="nil"/>
                    <w:tr2bl w:val="nil"/>
                  </w:tcBorders>
                  <w:shd w:val="clear" w:color="auto" w:fill="auto"/>
                  <w:noWrap w:val="0"/>
                  <w:vAlign w:val="center"/>
                </w:tcPr>
                <w:p w14:paraId="48AE6B69">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170</w:t>
                  </w:r>
                </w:p>
              </w:tc>
            </w:tr>
          </w:tbl>
          <w:p w14:paraId="32CFE68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leftChars="0"/>
              <w:textAlignment w:val="baseline"/>
              <w:rPr>
                <w:rFonts w:hint="eastAsia"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9、</w:t>
            </w:r>
            <w:r>
              <w:rPr>
                <w:rFonts w:hint="eastAsia" w:ascii="Times New Roman" w:hAnsi="Times New Roman" w:eastAsia="宋体" w:cs="Times New Roman"/>
                <w:b/>
                <w:bCs/>
                <w:color w:val="auto"/>
                <w:sz w:val="24"/>
                <w:szCs w:val="22"/>
                <w:highlight w:val="none"/>
                <w:lang w:val="en-US" w:eastAsia="zh-CN"/>
              </w:rPr>
              <w:t>环境监测计划与竣工环保验收</w:t>
            </w:r>
          </w:p>
          <w:p w14:paraId="1EB310C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jc w:val="both"/>
              <w:textAlignment w:val="baseline"/>
              <w:rPr>
                <w:rFonts w:hint="default" w:ascii="Times New Roman" w:hAnsi="Times New Roman" w:eastAsia="宋体" w:cs="Times New Roman"/>
                <w:b/>
                <w:bCs/>
                <w:snapToGrid w:val="0"/>
                <w:color w:val="auto"/>
                <w:sz w:val="24"/>
                <w:szCs w:val="24"/>
                <w:highlight w:val="none"/>
                <w:u w:val="none"/>
                <w:vertAlign w:val="baseline"/>
                <w:lang w:val="en-US" w:eastAsia="zh-CN"/>
              </w:rPr>
            </w:pPr>
            <w:r>
              <w:rPr>
                <w:rFonts w:hint="eastAsia" w:ascii="Times New Roman" w:hAnsi="Times New Roman" w:eastAsia="宋体" w:cs="Times New Roman"/>
                <w:b/>
                <w:bCs/>
                <w:snapToGrid w:val="0"/>
                <w:color w:val="auto"/>
                <w:sz w:val="24"/>
                <w:szCs w:val="24"/>
                <w:highlight w:val="none"/>
                <w:u w:val="none"/>
                <w:vertAlign w:val="baseline"/>
                <w:lang w:val="en-US" w:eastAsia="zh-CN"/>
              </w:rPr>
              <w:t>9</w:t>
            </w:r>
            <w:r>
              <w:rPr>
                <w:rFonts w:hint="default" w:ascii="Times New Roman" w:hAnsi="Times New Roman" w:eastAsia="宋体" w:cs="Times New Roman"/>
                <w:b/>
                <w:bCs/>
                <w:snapToGrid w:val="0"/>
                <w:color w:val="auto"/>
                <w:sz w:val="24"/>
                <w:szCs w:val="24"/>
                <w:highlight w:val="none"/>
                <w:u w:val="none"/>
                <w:vertAlign w:val="baseline"/>
                <w:lang w:val="en-US" w:eastAsia="zh-CN"/>
              </w:rPr>
              <w:t>.1</w:t>
            </w:r>
            <w:r>
              <w:rPr>
                <w:rFonts w:hint="eastAsia" w:ascii="Times New Roman" w:hAnsi="Times New Roman" w:eastAsia="宋体" w:cs="Times New Roman"/>
                <w:b/>
                <w:bCs/>
                <w:snapToGrid w:val="0"/>
                <w:color w:val="auto"/>
                <w:sz w:val="24"/>
                <w:szCs w:val="24"/>
                <w:highlight w:val="none"/>
                <w:u w:val="none"/>
                <w:vertAlign w:val="baseline"/>
                <w:lang w:val="en-US" w:eastAsia="zh-CN"/>
              </w:rPr>
              <w:t xml:space="preserve"> </w:t>
            </w:r>
            <w:r>
              <w:rPr>
                <w:rFonts w:hint="default" w:ascii="Times New Roman" w:hAnsi="Times New Roman" w:eastAsia="宋体" w:cs="Times New Roman"/>
                <w:b/>
                <w:bCs/>
                <w:snapToGrid w:val="0"/>
                <w:color w:val="auto"/>
                <w:sz w:val="24"/>
                <w:szCs w:val="24"/>
                <w:highlight w:val="none"/>
                <w:u w:val="none"/>
                <w:vertAlign w:val="baseline"/>
                <w:lang w:val="en-US" w:eastAsia="zh-CN"/>
              </w:rPr>
              <w:t>环境管理</w:t>
            </w:r>
          </w:p>
          <w:p w14:paraId="67DBE2B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jc w:val="both"/>
              <w:textAlignment w:val="baseline"/>
              <w:rPr>
                <w:rFonts w:hint="default" w:ascii="Times New Roman" w:hAnsi="Times New Roman" w:eastAsia="宋体" w:cs="Times New Roman"/>
                <w:b w:val="0"/>
                <w:bCs w:val="0"/>
                <w:snapToGrid w:val="0"/>
                <w:color w:val="auto"/>
                <w:sz w:val="24"/>
                <w:szCs w:val="24"/>
                <w:highlight w:val="none"/>
                <w:u w:val="none"/>
                <w:vertAlign w:val="baseline"/>
                <w:lang w:val="en-US" w:eastAsia="zh-CN"/>
              </w:rPr>
            </w:pPr>
            <w:r>
              <w:rPr>
                <w:rFonts w:hint="default" w:ascii="Times New Roman" w:hAnsi="Times New Roman" w:eastAsia="宋体" w:cs="Times New Roman"/>
                <w:b w:val="0"/>
                <w:bCs w:val="0"/>
                <w:snapToGrid w:val="0"/>
                <w:color w:val="auto"/>
                <w:sz w:val="24"/>
                <w:szCs w:val="24"/>
                <w:highlight w:val="none"/>
                <w:u w:val="none"/>
                <w:vertAlign w:val="baseline"/>
                <w:lang w:val="en-US" w:eastAsia="zh-CN"/>
              </w:rPr>
              <w:t>环境管理机构负主要职责：</w:t>
            </w:r>
          </w:p>
          <w:p w14:paraId="779E01D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jc w:val="both"/>
              <w:textAlignment w:val="baseline"/>
              <w:rPr>
                <w:rFonts w:hint="default" w:ascii="Times New Roman" w:hAnsi="Times New Roman" w:eastAsia="宋体" w:cs="Times New Roman"/>
                <w:b w:val="0"/>
                <w:bCs w:val="0"/>
                <w:snapToGrid w:val="0"/>
                <w:color w:val="auto"/>
                <w:sz w:val="24"/>
                <w:szCs w:val="24"/>
                <w:highlight w:val="none"/>
                <w:u w:val="none"/>
                <w:vertAlign w:val="baseline"/>
                <w:lang w:val="en-US" w:eastAsia="zh-CN"/>
              </w:rPr>
            </w:pPr>
            <w:r>
              <w:rPr>
                <w:rFonts w:hint="default" w:ascii="Times New Roman" w:hAnsi="Times New Roman" w:eastAsia="宋体" w:cs="Times New Roman"/>
                <w:b w:val="0"/>
                <w:bCs w:val="0"/>
                <w:snapToGrid w:val="0"/>
                <w:color w:val="auto"/>
                <w:sz w:val="24"/>
                <w:szCs w:val="24"/>
                <w:highlight w:val="none"/>
                <w:u w:val="none"/>
                <w:vertAlign w:val="baseline"/>
                <w:lang w:val="en-US" w:eastAsia="zh-CN"/>
              </w:rPr>
              <w:t>（1）编制、提出该项目营运期的长远环境保护规划；</w:t>
            </w:r>
          </w:p>
          <w:p w14:paraId="7266F76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jc w:val="both"/>
              <w:textAlignment w:val="baseline"/>
              <w:rPr>
                <w:rFonts w:hint="default" w:ascii="Times New Roman" w:hAnsi="Times New Roman" w:eastAsia="宋体" w:cs="Times New Roman"/>
                <w:b w:val="0"/>
                <w:bCs w:val="0"/>
                <w:snapToGrid w:val="0"/>
                <w:color w:val="auto"/>
                <w:sz w:val="24"/>
                <w:szCs w:val="24"/>
                <w:highlight w:val="none"/>
                <w:u w:val="none"/>
                <w:vertAlign w:val="baseline"/>
                <w:lang w:val="en-US" w:eastAsia="zh-CN"/>
              </w:rPr>
            </w:pPr>
            <w:r>
              <w:rPr>
                <w:rFonts w:hint="default" w:ascii="Times New Roman" w:hAnsi="Times New Roman" w:eastAsia="宋体" w:cs="Times New Roman"/>
                <w:b w:val="0"/>
                <w:bCs w:val="0"/>
                <w:snapToGrid w:val="0"/>
                <w:color w:val="auto"/>
                <w:sz w:val="24"/>
                <w:szCs w:val="24"/>
                <w:highlight w:val="none"/>
                <w:u w:val="none"/>
                <w:vertAlign w:val="baseline"/>
                <w:lang w:val="en-US" w:eastAsia="zh-CN"/>
              </w:rPr>
              <w:t>（2）贯彻落实国家和地方的环境保护法律、法规、政策和标准，直接接受环保主管部门的监督、领导，配合环境保护主管部门做好环保工作；</w:t>
            </w:r>
          </w:p>
          <w:p w14:paraId="2619EF5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jc w:val="both"/>
              <w:textAlignment w:val="baseline"/>
              <w:rPr>
                <w:rFonts w:hint="default" w:ascii="Times New Roman" w:hAnsi="Times New Roman" w:eastAsia="宋体" w:cs="Times New Roman"/>
                <w:b w:val="0"/>
                <w:bCs w:val="0"/>
                <w:snapToGrid w:val="0"/>
                <w:color w:val="auto"/>
                <w:sz w:val="24"/>
                <w:szCs w:val="24"/>
                <w:highlight w:val="none"/>
                <w:u w:val="none"/>
                <w:vertAlign w:val="baseline"/>
                <w:lang w:val="en-US" w:eastAsia="zh-CN"/>
              </w:rPr>
            </w:pPr>
            <w:r>
              <w:rPr>
                <w:rFonts w:hint="default" w:ascii="Times New Roman" w:hAnsi="Times New Roman" w:eastAsia="宋体" w:cs="Times New Roman"/>
                <w:b w:val="0"/>
                <w:bCs w:val="0"/>
                <w:snapToGrid w:val="0"/>
                <w:color w:val="auto"/>
                <w:sz w:val="24"/>
                <w:szCs w:val="24"/>
                <w:highlight w:val="none"/>
                <w:u w:val="none"/>
                <w:vertAlign w:val="baseline"/>
                <w:lang w:val="en-US" w:eastAsia="zh-CN"/>
              </w:rPr>
              <w:t>（3）落实项目的“三同时”制度；</w:t>
            </w:r>
          </w:p>
          <w:p w14:paraId="7996983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jc w:val="both"/>
              <w:textAlignment w:val="baseline"/>
              <w:rPr>
                <w:rFonts w:hint="default" w:ascii="Times New Roman" w:hAnsi="Times New Roman" w:eastAsia="宋体" w:cs="Times New Roman"/>
                <w:b w:val="0"/>
                <w:bCs w:val="0"/>
                <w:snapToGrid w:val="0"/>
                <w:color w:val="auto"/>
                <w:sz w:val="24"/>
                <w:szCs w:val="24"/>
                <w:highlight w:val="none"/>
                <w:u w:val="none"/>
                <w:vertAlign w:val="baseline"/>
                <w:lang w:val="en-US" w:eastAsia="zh-CN"/>
              </w:rPr>
            </w:pPr>
            <w:r>
              <w:rPr>
                <w:rFonts w:hint="default" w:ascii="Times New Roman" w:hAnsi="Times New Roman" w:eastAsia="宋体" w:cs="Times New Roman"/>
                <w:b w:val="0"/>
                <w:bCs w:val="0"/>
                <w:snapToGrid w:val="0"/>
                <w:color w:val="auto"/>
                <w:sz w:val="24"/>
                <w:szCs w:val="24"/>
                <w:highlight w:val="none"/>
                <w:u w:val="none"/>
                <w:vertAlign w:val="baseline"/>
                <w:lang w:val="en-US" w:eastAsia="zh-CN"/>
              </w:rPr>
              <w:t>（4）监督项目各排污口污染物排放达标情况，确保污染物排放达到国家排放标准。</w:t>
            </w:r>
          </w:p>
          <w:p w14:paraId="146C04E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jc w:val="both"/>
              <w:textAlignment w:val="baseline"/>
              <w:rPr>
                <w:rFonts w:hint="default" w:ascii="Times New Roman" w:hAnsi="Times New Roman" w:eastAsia="宋体" w:cs="Times New Roman"/>
                <w:b/>
                <w:bCs/>
                <w:snapToGrid w:val="0"/>
                <w:color w:val="auto"/>
                <w:sz w:val="24"/>
                <w:szCs w:val="24"/>
                <w:highlight w:val="none"/>
                <w:u w:val="none"/>
                <w:vertAlign w:val="baseline"/>
                <w:lang w:val="en-US" w:eastAsia="zh-CN"/>
              </w:rPr>
            </w:pPr>
            <w:r>
              <w:rPr>
                <w:rFonts w:hint="eastAsia" w:ascii="Times New Roman" w:hAnsi="Times New Roman" w:eastAsia="宋体" w:cs="Times New Roman"/>
                <w:b/>
                <w:bCs/>
                <w:snapToGrid w:val="0"/>
                <w:color w:val="auto"/>
                <w:sz w:val="24"/>
                <w:szCs w:val="24"/>
                <w:highlight w:val="none"/>
                <w:u w:val="none"/>
                <w:vertAlign w:val="baseline"/>
                <w:lang w:val="en-US" w:eastAsia="zh-CN"/>
              </w:rPr>
              <w:t>9.</w:t>
            </w:r>
            <w:r>
              <w:rPr>
                <w:rFonts w:hint="default" w:ascii="Times New Roman" w:hAnsi="Times New Roman" w:eastAsia="宋体" w:cs="Times New Roman"/>
                <w:b/>
                <w:bCs/>
                <w:snapToGrid w:val="0"/>
                <w:color w:val="auto"/>
                <w:sz w:val="24"/>
                <w:szCs w:val="24"/>
                <w:highlight w:val="none"/>
                <w:u w:val="none"/>
                <w:vertAlign w:val="baseline"/>
                <w:lang w:val="en-US" w:eastAsia="zh-CN"/>
              </w:rPr>
              <w:t>2</w:t>
            </w:r>
            <w:r>
              <w:rPr>
                <w:rFonts w:hint="eastAsia" w:ascii="Times New Roman" w:hAnsi="Times New Roman" w:eastAsia="宋体" w:cs="Times New Roman"/>
                <w:b/>
                <w:bCs/>
                <w:snapToGrid w:val="0"/>
                <w:color w:val="auto"/>
                <w:sz w:val="24"/>
                <w:szCs w:val="24"/>
                <w:highlight w:val="none"/>
                <w:u w:val="none"/>
                <w:vertAlign w:val="baseline"/>
                <w:lang w:val="en-US" w:eastAsia="zh-CN"/>
              </w:rPr>
              <w:t xml:space="preserve"> </w:t>
            </w:r>
            <w:r>
              <w:rPr>
                <w:rFonts w:hint="default" w:ascii="Times New Roman" w:hAnsi="Times New Roman" w:eastAsia="宋体" w:cs="Times New Roman"/>
                <w:b/>
                <w:bCs/>
                <w:snapToGrid w:val="0"/>
                <w:color w:val="auto"/>
                <w:sz w:val="24"/>
                <w:szCs w:val="24"/>
                <w:highlight w:val="none"/>
                <w:u w:val="none"/>
                <w:vertAlign w:val="baseline"/>
                <w:lang w:val="en-US" w:eastAsia="zh-CN"/>
              </w:rPr>
              <w:t>环境监测计划</w:t>
            </w:r>
          </w:p>
          <w:p w14:paraId="3D207D8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ind w:firstLine="480" w:firstLineChars="200"/>
              <w:jc w:val="both"/>
              <w:textAlignment w:val="baseline"/>
              <w:rPr>
                <w:rFonts w:hint="default" w:ascii="Times New Roman" w:hAnsi="Times New Roman" w:eastAsia="宋体" w:cs="Times New Roman"/>
                <w:b w:val="0"/>
                <w:bCs w:val="0"/>
                <w:snapToGrid w:val="0"/>
                <w:color w:val="auto"/>
                <w:sz w:val="24"/>
                <w:szCs w:val="24"/>
                <w:highlight w:val="none"/>
                <w:u w:val="single"/>
                <w:vertAlign w:val="baseline"/>
                <w:lang w:val="en-US" w:eastAsia="zh-CN"/>
              </w:rPr>
            </w:pPr>
            <w:r>
              <w:rPr>
                <w:rFonts w:hint="default" w:ascii="Times New Roman" w:hAnsi="Times New Roman" w:eastAsia="宋体" w:cs="Times New Roman"/>
                <w:b w:val="0"/>
                <w:bCs w:val="0"/>
                <w:snapToGrid w:val="0"/>
                <w:color w:val="auto"/>
                <w:sz w:val="24"/>
                <w:szCs w:val="24"/>
                <w:highlight w:val="none"/>
                <w:u w:val="single"/>
                <w:vertAlign w:val="baseline"/>
                <w:lang w:val="en-US" w:eastAsia="zh-CN"/>
              </w:rPr>
              <w:t>根据《排污单位自行监测技术指南总则》（HJ819-2017）、《排污许可证申请与核发技术规范 铁路、船舶、航空航天和其他运输设备制造业》（HJ1124-2020）</w:t>
            </w:r>
            <w:r>
              <w:rPr>
                <w:rFonts w:hint="eastAsia" w:ascii="Times New Roman" w:hAnsi="Times New Roman" w:eastAsia="宋体" w:cs="Times New Roman"/>
                <w:b w:val="0"/>
                <w:bCs w:val="0"/>
                <w:snapToGrid w:val="0"/>
                <w:color w:val="auto"/>
                <w:sz w:val="24"/>
                <w:szCs w:val="24"/>
                <w:highlight w:val="none"/>
                <w:u w:val="single"/>
                <w:vertAlign w:val="baseline"/>
                <w:lang w:val="en-US" w:eastAsia="zh-CN"/>
              </w:rPr>
              <w:t>及《排污许可证申请与核发技术规范 工业噪声》（HJ 1301-2023）</w:t>
            </w:r>
            <w:r>
              <w:rPr>
                <w:rFonts w:hint="default" w:ascii="Times New Roman" w:hAnsi="Times New Roman" w:eastAsia="宋体" w:cs="Times New Roman"/>
                <w:b w:val="0"/>
                <w:bCs w:val="0"/>
                <w:snapToGrid w:val="0"/>
                <w:color w:val="auto"/>
                <w:sz w:val="24"/>
                <w:szCs w:val="24"/>
                <w:highlight w:val="none"/>
                <w:u w:val="single"/>
                <w:vertAlign w:val="baseline"/>
                <w:lang w:val="en-US" w:eastAsia="zh-CN"/>
              </w:rPr>
              <w:t>，本项目监测计划详见</w:t>
            </w:r>
            <w:r>
              <w:rPr>
                <w:rFonts w:hint="eastAsia" w:ascii="Times New Roman" w:hAnsi="Times New Roman" w:eastAsia="宋体" w:cs="Times New Roman"/>
                <w:b w:val="0"/>
                <w:bCs w:val="0"/>
                <w:snapToGrid w:val="0"/>
                <w:color w:val="auto"/>
                <w:sz w:val="24"/>
                <w:szCs w:val="24"/>
                <w:highlight w:val="none"/>
                <w:u w:val="single"/>
                <w:vertAlign w:val="baseline"/>
                <w:lang w:val="en-US" w:eastAsia="zh-CN"/>
              </w:rPr>
              <w:t>下表。</w:t>
            </w:r>
          </w:p>
          <w:p w14:paraId="66B9CCD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jc w:val="center"/>
              <w:textAlignment w:val="baseline"/>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表4-21   </w:t>
            </w:r>
            <w:r>
              <w:rPr>
                <w:rFonts w:hint="default" w:ascii="Times New Roman" w:hAnsi="Times New Roman" w:eastAsia="宋体" w:cs="Times New Roman"/>
                <w:color w:val="auto"/>
                <w:sz w:val="21"/>
                <w:szCs w:val="21"/>
                <w:highlight w:val="none"/>
                <w:u w:val="single"/>
                <w:lang w:val="zh-CN" w:eastAsia="zh-CN"/>
              </w:rPr>
              <w:t>本项目检测计划一览表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856"/>
              <w:gridCol w:w="845"/>
              <w:gridCol w:w="1158"/>
              <w:gridCol w:w="2375"/>
              <w:gridCol w:w="1731"/>
            </w:tblGrid>
            <w:tr w14:paraId="7DD7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6" w:type="pct"/>
                  <w:noWrap w:val="0"/>
                  <w:vAlign w:val="center"/>
                </w:tcPr>
                <w:p w14:paraId="1F6A7AD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监测内容</w:t>
                  </w:r>
                </w:p>
              </w:tc>
              <w:tc>
                <w:tcPr>
                  <w:tcW w:w="557" w:type="pct"/>
                  <w:noWrap w:val="0"/>
                  <w:vAlign w:val="center"/>
                </w:tcPr>
                <w:p w14:paraId="0F836CC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监测点位</w:t>
                  </w:r>
                </w:p>
              </w:tc>
              <w:tc>
                <w:tcPr>
                  <w:tcW w:w="550" w:type="pct"/>
                  <w:noWrap w:val="0"/>
                  <w:vAlign w:val="center"/>
                </w:tcPr>
                <w:p w14:paraId="6669F35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监测因子</w:t>
                  </w:r>
                </w:p>
              </w:tc>
              <w:tc>
                <w:tcPr>
                  <w:tcW w:w="754" w:type="pct"/>
                  <w:noWrap w:val="0"/>
                  <w:vAlign w:val="center"/>
                </w:tcPr>
                <w:p w14:paraId="4483FED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监测频次</w:t>
                  </w:r>
                </w:p>
              </w:tc>
              <w:tc>
                <w:tcPr>
                  <w:tcW w:w="1545" w:type="pct"/>
                  <w:noWrap w:val="0"/>
                  <w:vAlign w:val="center"/>
                </w:tcPr>
                <w:p w14:paraId="0717E0D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排放标准</w:t>
                  </w:r>
                </w:p>
              </w:tc>
              <w:tc>
                <w:tcPr>
                  <w:tcW w:w="1126" w:type="pct"/>
                  <w:noWrap w:val="0"/>
                  <w:vAlign w:val="center"/>
                </w:tcPr>
                <w:p w14:paraId="750E1AD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本项目标准限值</w:t>
                  </w:r>
                </w:p>
              </w:tc>
            </w:tr>
            <w:tr w14:paraId="7C80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6" w:type="pct"/>
                  <w:vMerge w:val="restart"/>
                  <w:noWrap w:val="0"/>
                  <w:vAlign w:val="center"/>
                </w:tcPr>
                <w:p w14:paraId="4CB8ACC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eastAsia" w:ascii="Times New Roman" w:hAnsi="Times New Roman" w:eastAsia="宋体" w:cs="Times New Roman"/>
                      <w:b w:val="0"/>
                      <w:bCs w:val="0"/>
                      <w:snapToGrid w:val="0"/>
                      <w:color w:val="auto"/>
                      <w:sz w:val="21"/>
                      <w:szCs w:val="21"/>
                      <w:highlight w:val="none"/>
                      <w:u w:val="single"/>
                      <w:vertAlign w:val="baseline"/>
                      <w:lang w:val="en-US" w:eastAsia="zh-CN"/>
                    </w:rPr>
                    <w:t>废气</w:t>
                  </w:r>
                </w:p>
              </w:tc>
              <w:tc>
                <w:tcPr>
                  <w:tcW w:w="557" w:type="pct"/>
                  <w:noWrap w:val="0"/>
                  <w:vAlign w:val="center"/>
                </w:tcPr>
                <w:p w14:paraId="21B09BC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DA001</w:t>
                  </w:r>
                </w:p>
              </w:tc>
              <w:tc>
                <w:tcPr>
                  <w:tcW w:w="550" w:type="pct"/>
                  <w:noWrap w:val="0"/>
                  <w:vAlign w:val="center"/>
                </w:tcPr>
                <w:p w14:paraId="4AE3921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颗粒物</w:t>
                  </w:r>
                </w:p>
              </w:tc>
              <w:tc>
                <w:tcPr>
                  <w:tcW w:w="754" w:type="pct"/>
                  <w:noWrap w:val="0"/>
                  <w:vAlign w:val="center"/>
                </w:tcPr>
                <w:p w14:paraId="0C482A9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1次/年，1天/次</w:t>
                  </w:r>
                </w:p>
              </w:tc>
              <w:tc>
                <w:tcPr>
                  <w:tcW w:w="1545" w:type="pct"/>
                  <w:vMerge w:val="restart"/>
                  <w:noWrap w:val="0"/>
                  <w:vAlign w:val="center"/>
                </w:tcPr>
                <w:p w14:paraId="16C84E8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《大气污染物综合排放标准》（GB 16297-1996）表2及《河南省重污染天气通用行业应急减排措施制定技术指南（2024年修订稿）》引领性指标、《关于全省开展工业企业挥发性有机物专项治理工作中排放建议值的通知》（豫环攻坚办〔2017〕162号）</w:t>
                  </w:r>
                </w:p>
              </w:tc>
              <w:tc>
                <w:tcPr>
                  <w:tcW w:w="1126" w:type="pct"/>
                  <w:noWrap w:val="0"/>
                  <w:vAlign w:val="center"/>
                </w:tcPr>
                <w:p w14:paraId="4949FB2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cs="Times New Roman"/>
                      <w:b w:val="0"/>
                      <w:bCs w:val="0"/>
                      <w:snapToGrid w:val="0"/>
                      <w:color w:val="auto"/>
                      <w:sz w:val="21"/>
                      <w:szCs w:val="21"/>
                      <w:highlight w:val="none"/>
                      <w:u w:val="single"/>
                      <w:vertAlign w:val="baseline"/>
                      <w:lang w:val="en-US" w:eastAsia="zh-CN"/>
                    </w:rPr>
                  </w:pPr>
                  <w:r>
                    <w:rPr>
                      <w:rFonts w:hint="default" w:ascii="Times New Roman" w:hAnsi="Times New Roman" w:cs="Times New Roman"/>
                      <w:color w:val="auto"/>
                      <w:kern w:val="2"/>
                      <w:sz w:val="21"/>
                      <w:szCs w:val="21"/>
                      <w:highlight w:val="none"/>
                      <w:u w:val="single"/>
                      <w:lang w:val="en-US" w:eastAsia="zh-CN" w:bidi="ar-SA"/>
                    </w:rPr>
                    <w:t>10</w:t>
                  </w:r>
                  <w:r>
                    <w:rPr>
                      <w:rFonts w:hint="default" w:ascii="Times New Roman" w:hAnsi="Times New Roman" w:eastAsia="宋体" w:cs="Times New Roman"/>
                      <w:color w:val="auto"/>
                      <w:sz w:val="21"/>
                      <w:szCs w:val="21"/>
                      <w:highlight w:val="none"/>
                      <w:u w:val="single"/>
                      <w:lang w:val="en-US" w:eastAsia="zh-CN" w:bidi="ar-SA"/>
                    </w:rPr>
                    <w:t>mg/m</w:t>
                  </w:r>
                  <w:r>
                    <w:rPr>
                      <w:rFonts w:hint="default" w:ascii="Times New Roman" w:hAnsi="Times New Roman" w:eastAsia="宋体" w:cs="Times New Roman"/>
                      <w:color w:val="auto"/>
                      <w:sz w:val="21"/>
                      <w:szCs w:val="21"/>
                      <w:highlight w:val="none"/>
                      <w:u w:val="single"/>
                      <w:vertAlign w:val="superscript"/>
                      <w:lang w:val="en-US" w:eastAsia="zh-CN" w:bidi="ar-SA"/>
                    </w:rPr>
                    <w:t>3</w:t>
                  </w:r>
                  <w:r>
                    <w:rPr>
                      <w:rFonts w:hint="eastAsia" w:cs="Times New Roman"/>
                      <w:color w:val="auto"/>
                      <w:kern w:val="2"/>
                      <w:sz w:val="21"/>
                      <w:szCs w:val="21"/>
                      <w:highlight w:val="none"/>
                      <w:u w:val="single"/>
                      <w:lang w:val="en-US" w:eastAsia="zh-CN" w:bidi="ar-SA"/>
                    </w:rPr>
                    <w:t>、</w:t>
                  </w:r>
                  <w:r>
                    <w:rPr>
                      <w:rFonts w:hint="default" w:ascii="Times New Roman" w:hAnsi="Times New Roman" w:cs="Times New Roman"/>
                      <w:color w:val="auto"/>
                      <w:kern w:val="2"/>
                      <w:sz w:val="21"/>
                      <w:szCs w:val="21"/>
                      <w:highlight w:val="none"/>
                      <w:u w:val="single"/>
                      <w:lang w:val="en-US" w:eastAsia="zh-CN" w:bidi="ar-SA"/>
                    </w:rPr>
                    <w:t>1.75kg/h-15m</w:t>
                  </w:r>
                  <w:r>
                    <w:rPr>
                      <w:rFonts w:hint="default" w:ascii="Times New Roman" w:hAnsi="Times New Roman" w:cs="Times New Roman"/>
                      <w:color w:val="auto"/>
                      <w:kern w:val="2"/>
                      <w:sz w:val="21"/>
                      <w:szCs w:val="21"/>
                      <w:highlight w:val="none"/>
                      <w:u w:val="single"/>
                      <w:vertAlign w:val="superscript"/>
                      <w:lang w:val="en-US" w:eastAsia="zh-CN" w:bidi="ar-SA"/>
                    </w:rPr>
                    <w:t>①</w:t>
                  </w:r>
                </w:p>
              </w:tc>
            </w:tr>
            <w:tr w14:paraId="1DDC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66" w:type="pct"/>
                  <w:vMerge w:val="continue"/>
                  <w:noWrap w:val="0"/>
                  <w:vAlign w:val="center"/>
                </w:tcPr>
                <w:p w14:paraId="5524E69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p>
              </w:tc>
              <w:tc>
                <w:tcPr>
                  <w:tcW w:w="557" w:type="pct"/>
                  <w:noWrap w:val="0"/>
                  <w:vAlign w:val="center"/>
                </w:tcPr>
                <w:p w14:paraId="6537A0F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DA002</w:t>
                  </w:r>
                </w:p>
              </w:tc>
              <w:tc>
                <w:tcPr>
                  <w:tcW w:w="550" w:type="pct"/>
                  <w:noWrap w:val="0"/>
                  <w:vAlign w:val="center"/>
                </w:tcPr>
                <w:p w14:paraId="635CC76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eastAsia" w:ascii="Times New Roman" w:hAnsi="Times New Roman" w:eastAsia="宋体" w:cs="Times New Roman"/>
                      <w:b w:val="0"/>
                      <w:bCs w:val="0"/>
                      <w:snapToGrid w:val="0"/>
                      <w:color w:val="auto"/>
                      <w:sz w:val="21"/>
                      <w:szCs w:val="21"/>
                      <w:highlight w:val="none"/>
                      <w:u w:val="single"/>
                      <w:vertAlign w:val="baseline"/>
                      <w:lang w:val="en-US" w:eastAsia="zh-CN"/>
                    </w:rPr>
                    <w:t>非甲烷总烃</w:t>
                  </w:r>
                </w:p>
              </w:tc>
              <w:tc>
                <w:tcPr>
                  <w:tcW w:w="754" w:type="pct"/>
                  <w:noWrap w:val="0"/>
                  <w:vAlign w:val="center"/>
                </w:tcPr>
                <w:p w14:paraId="2CFF833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1次/年，1天/次</w:t>
                  </w:r>
                </w:p>
              </w:tc>
              <w:tc>
                <w:tcPr>
                  <w:tcW w:w="1545" w:type="pct"/>
                  <w:vMerge w:val="continue"/>
                  <w:noWrap w:val="0"/>
                  <w:vAlign w:val="center"/>
                </w:tcPr>
                <w:p w14:paraId="1335A76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p>
              </w:tc>
              <w:tc>
                <w:tcPr>
                  <w:tcW w:w="1126" w:type="pct"/>
                  <w:noWrap w:val="0"/>
                  <w:vAlign w:val="center"/>
                </w:tcPr>
                <w:p w14:paraId="182078F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cs="Times New Roman"/>
                      <w:color w:val="auto"/>
                      <w:kern w:val="2"/>
                      <w:sz w:val="21"/>
                      <w:szCs w:val="21"/>
                      <w:highlight w:val="none"/>
                      <w:u w:val="single"/>
                      <w:lang w:val="en-US" w:eastAsia="zh-CN" w:bidi="ar-SA"/>
                    </w:rPr>
                    <w:t>30</w:t>
                  </w:r>
                  <w:r>
                    <w:rPr>
                      <w:rFonts w:hint="default" w:ascii="Times New Roman" w:hAnsi="Times New Roman" w:eastAsia="宋体" w:cs="Times New Roman"/>
                      <w:color w:val="auto"/>
                      <w:sz w:val="21"/>
                      <w:szCs w:val="21"/>
                      <w:highlight w:val="none"/>
                      <w:u w:val="single"/>
                      <w:lang w:val="en-US" w:eastAsia="zh-CN" w:bidi="ar-SA"/>
                    </w:rPr>
                    <w:t>mg/m</w:t>
                  </w:r>
                  <w:r>
                    <w:rPr>
                      <w:rFonts w:hint="default" w:ascii="Times New Roman" w:hAnsi="Times New Roman" w:eastAsia="宋体" w:cs="Times New Roman"/>
                      <w:color w:val="auto"/>
                      <w:sz w:val="21"/>
                      <w:szCs w:val="21"/>
                      <w:highlight w:val="none"/>
                      <w:u w:val="single"/>
                      <w:vertAlign w:val="superscript"/>
                      <w:lang w:val="en-US" w:eastAsia="zh-CN" w:bidi="ar-SA"/>
                    </w:rPr>
                    <w:t>3</w:t>
                  </w:r>
                  <w:r>
                    <w:rPr>
                      <w:rFonts w:hint="eastAsia" w:cs="Times New Roman"/>
                      <w:color w:val="auto"/>
                      <w:kern w:val="2"/>
                      <w:sz w:val="21"/>
                      <w:szCs w:val="21"/>
                      <w:highlight w:val="none"/>
                      <w:u w:val="single"/>
                      <w:lang w:val="en-US" w:eastAsia="zh-CN" w:bidi="ar-SA"/>
                    </w:rPr>
                    <w:t>、</w:t>
                  </w:r>
                  <w:r>
                    <w:rPr>
                      <w:rFonts w:hint="default" w:ascii="Times New Roman" w:hAnsi="Times New Roman" w:cs="Times New Roman"/>
                      <w:color w:val="auto"/>
                      <w:kern w:val="2"/>
                      <w:sz w:val="21"/>
                      <w:szCs w:val="21"/>
                      <w:highlight w:val="none"/>
                      <w:u w:val="single"/>
                      <w:lang w:val="en-US" w:eastAsia="zh-CN" w:bidi="ar-SA"/>
                    </w:rPr>
                    <w:t>5kg/h-15m</w:t>
                  </w:r>
                  <w:r>
                    <w:rPr>
                      <w:rFonts w:hint="default" w:ascii="Times New Roman" w:hAnsi="Times New Roman" w:cs="Times New Roman"/>
                      <w:color w:val="auto"/>
                      <w:kern w:val="2"/>
                      <w:sz w:val="21"/>
                      <w:szCs w:val="21"/>
                      <w:highlight w:val="none"/>
                      <w:u w:val="single"/>
                      <w:vertAlign w:val="superscript"/>
                      <w:lang w:val="en-US" w:eastAsia="zh-CN" w:bidi="ar-SA"/>
                    </w:rPr>
                    <w:t>①</w:t>
                  </w:r>
                  <w:r>
                    <w:rPr>
                      <w:rFonts w:hint="default" w:ascii="Times New Roman" w:hAnsi="Times New Roman" w:cs="Times New Roman"/>
                      <w:color w:val="auto"/>
                      <w:sz w:val="21"/>
                      <w:szCs w:val="21"/>
                      <w:highlight w:val="none"/>
                      <w:u w:val="single"/>
                      <w:vertAlign w:val="baseline"/>
                      <w:lang w:val="en-US" w:eastAsia="zh-CN" w:bidi="ar-SA"/>
                    </w:rPr>
                    <w:t>，建议去除效率70%</w:t>
                  </w:r>
                </w:p>
              </w:tc>
            </w:tr>
            <w:tr w14:paraId="2B5C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6" w:type="pct"/>
                  <w:vMerge w:val="continue"/>
                  <w:noWrap w:val="0"/>
                  <w:vAlign w:val="center"/>
                </w:tcPr>
                <w:p w14:paraId="3B1F663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p>
              </w:tc>
              <w:tc>
                <w:tcPr>
                  <w:tcW w:w="557" w:type="pct"/>
                  <w:vMerge w:val="restart"/>
                  <w:noWrap w:val="0"/>
                  <w:vAlign w:val="center"/>
                </w:tcPr>
                <w:p w14:paraId="396A0362">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无组织排放厂界监控点</w:t>
                  </w:r>
                </w:p>
              </w:tc>
              <w:tc>
                <w:tcPr>
                  <w:tcW w:w="550" w:type="pct"/>
                  <w:noWrap w:val="0"/>
                  <w:vAlign w:val="center"/>
                </w:tcPr>
                <w:p w14:paraId="10310B7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颗粒物</w:t>
                  </w:r>
                </w:p>
              </w:tc>
              <w:tc>
                <w:tcPr>
                  <w:tcW w:w="754" w:type="pct"/>
                  <w:noWrap w:val="0"/>
                  <w:vAlign w:val="center"/>
                </w:tcPr>
                <w:p w14:paraId="363580B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1次/年，1天/次</w:t>
                  </w:r>
                </w:p>
              </w:tc>
              <w:tc>
                <w:tcPr>
                  <w:tcW w:w="1545" w:type="pct"/>
                  <w:vMerge w:val="continue"/>
                  <w:noWrap w:val="0"/>
                  <w:vAlign w:val="center"/>
                </w:tcPr>
                <w:p w14:paraId="416B0AA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p>
              </w:tc>
              <w:tc>
                <w:tcPr>
                  <w:tcW w:w="1126" w:type="pct"/>
                  <w:noWrap w:val="0"/>
                  <w:vAlign w:val="center"/>
                </w:tcPr>
                <w:p w14:paraId="37E01A7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lang w:val="en-US" w:eastAsia="zh-CN"/>
                    </w:rPr>
                    <w:t>1.0</w:t>
                  </w:r>
                  <w:r>
                    <w:rPr>
                      <w:rFonts w:hint="default" w:ascii="Times New Roman" w:hAnsi="Times New Roman" w:eastAsia="宋体" w:cs="Times New Roman"/>
                      <w:color w:val="auto"/>
                      <w:sz w:val="21"/>
                      <w:szCs w:val="21"/>
                      <w:highlight w:val="none"/>
                      <w:u w:val="single"/>
                      <w:lang w:val="en-US" w:eastAsia="zh-CN" w:bidi="ar-SA"/>
                    </w:rPr>
                    <w:t>mg/m</w:t>
                  </w:r>
                  <w:r>
                    <w:rPr>
                      <w:rFonts w:hint="default" w:ascii="Times New Roman" w:hAnsi="Times New Roman" w:eastAsia="宋体" w:cs="Times New Roman"/>
                      <w:color w:val="auto"/>
                      <w:sz w:val="21"/>
                      <w:szCs w:val="21"/>
                      <w:highlight w:val="none"/>
                      <w:u w:val="single"/>
                      <w:vertAlign w:val="superscript"/>
                      <w:lang w:val="en-US" w:eastAsia="zh-CN" w:bidi="ar-SA"/>
                    </w:rPr>
                    <w:t>3</w:t>
                  </w:r>
                </w:p>
              </w:tc>
            </w:tr>
            <w:tr w14:paraId="3FEE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466" w:type="pct"/>
                  <w:vMerge w:val="continue"/>
                  <w:noWrap w:val="0"/>
                  <w:vAlign w:val="center"/>
                </w:tcPr>
                <w:p w14:paraId="3F2D2B1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p>
              </w:tc>
              <w:tc>
                <w:tcPr>
                  <w:tcW w:w="557" w:type="pct"/>
                  <w:vMerge w:val="continue"/>
                  <w:noWrap w:val="0"/>
                  <w:vAlign w:val="center"/>
                </w:tcPr>
                <w:p w14:paraId="3FBE5C7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p>
              </w:tc>
              <w:tc>
                <w:tcPr>
                  <w:tcW w:w="550" w:type="pct"/>
                  <w:noWrap w:val="0"/>
                  <w:vAlign w:val="center"/>
                </w:tcPr>
                <w:p w14:paraId="03438D9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非甲烷总烃</w:t>
                  </w:r>
                </w:p>
              </w:tc>
              <w:tc>
                <w:tcPr>
                  <w:tcW w:w="754" w:type="pct"/>
                  <w:noWrap w:val="0"/>
                  <w:vAlign w:val="center"/>
                </w:tcPr>
                <w:p w14:paraId="7FD92F9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1次/年，1天/次</w:t>
                  </w:r>
                </w:p>
              </w:tc>
              <w:tc>
                <w:tcPr>
                  <w:tcW w:w="1545" w:type="pct"/>
                  <w:vMerge w:val="continue"/>
                  <w:noWrap w:val="0"/>
                  <w:vAlign w:val="center"/>
                </w:tcPr>
                <w:p w14:paraId="73AFA0E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p>
              </w:tc>
              <w:tc>
                <w:tcPr>
                  <w:tcW w:w="1126" w:type="pct"/>
                  <w:noWrap w:val="0"/>
                  <w:vAlign w:val="center"/>
                </w:tcPr>
                <w:p w14:paraId="6A286EF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cs="Times New Roman"/>
                      <w:color w:val="auto"/>
                      <w:sz w:val="21"/>
                      <w:szCs w:val="21"/>
                      <w:highlight w:val="none"/>
                      <w:u w:val="single"/>
                      <w:vertAlign w:val="baseline"/>
                      <w:lang w:val="en-US" w:eastAsia="zh-CN" w:bidi="ar-SA"/>
                    </w:rPr>
                    <w:t>2.0</w:t>
                  </w:r>
                  <w:r>
                    <w:rPr>
                      <w:rFonts w:hint="default" w:ascii="Times New Roman" w:hAnsi="Times New Roman" w:eastAsia="宋体" w:cs="Times New Roman"/>
                      <w:color w:val="auto"/>
                      <w:sz w:val="21"/>
                      <w:szCs w:val="21"/>
                      <w:highlight w:val="none"/>
                      <w:u w:val="single"/>
                      <w:lang w:val="en-US" w:eastAsia="zh-CN" w:bidi="ar-SA"/>
                    </w:rPr>
                    <w:t>mg/m</w:t>
                  </w:r>
                  <w:r>
                    <w:rPr>
                      <w:rFonts w:hint="default" w:ascii="Times New Roman" w:hAnsi="Times New Roman" w:eastAsia="宋体" w:cs="Times New Roman"/>
                      <w:color w:val="auto"/>
                      <w:sz w:val="21"/>
                      <w:szCs w:val="21"/>
                      <w:highlight w:val="none"/>
                      <w:u w:val="single"/>
                      <w:vertAlign w:val="superscript"/>
                      <w:lang w:val="en-US" w:eastAsia="zh-CN" w:bidi="ar-SA"/>
                    </w:rPr>
                    <w:t>3</w:t>
                  </w:r>
                </w:p>
              </w:tc>
            </w:tr>
            <w:tr w14:paraId="4CF0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66" w:type="pct"/>
                  <w:noWrap w:val="0"/>
                  <w:vAlign w:val="center"/>
                </w:tcPr>
                <w:p w14:paraId="2053290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ascii="Times New Roman" w:hAnsi="Times New Roman" w:eastAsia="宋体" w:cs="Times New Roman"/>
                      <w:b w:val="0"/>
                      <w:bCs w:val="0"/>
                      <w:snapToGrid w:val="0"/>
                      <w:color w:val="auto"/>
                      <w:sz w:val="21"/>
                      <w:szCs w:val="21"/>
                      <w:highlight w:val="none"/>
                      <w:u w:val="single"/>
                      <w:vertAlign w:val="baseline"/>
                      <w:lang w:val="en-US" w:eastAsia="zh-CN"/>
                    </w:rPr>
                  </w:pPr>
                  <w:r>
                    <w:rPr>
                      <w:rFonts w:hint="eastAsia" w:ascii="Times New Roman" w:hAnsi="Times New Roman" w:eastAsia="宋体" w:cs="Times New Roman"/>
                      <w:b w:val="0"/>
                      <w:bCs w:val="0"/>
                      <w:snapToGrid w:val="0"/>
                      <w:color w:val="auto"/>
                      <w:sz w:val="21"/>
                      <w:szCs w:val="21"/>
                      <w:highlight w:val="none"/>
                      <w:u w:val="single"/>
                      <w:vertAlign w:val="baseline"/>
                      <w:lang w:val="en-US" w:eastAsia="zh-CN"/>
                    </w:rPr>
                    <w:t>废水</w:t>
                  </w:r>
                </w:p>
              </w:tc>
              <w:tc>
                <w:tcPr>
                  <w:tcW w:w="3407" w:type="pct"/>
                  <w:gridSpan w:val="4"/>
                  <w:noWrap w:val="0"/>
                  <w:vAlign w:val="center"/>
                </w:tcPr>
                <w:p w14:paraId="71AF6BB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根据《排污许可证申请与核发技术规范 总则》（HJ942</w:t>
                  </w:r>
                  <w:r>
                    <w:rPr>
                      <w:rFonts w:hint="eastAsia" w:ascii="Times New Roman" w:hAnsi="Times New Roman" w:eastAsia="宋体" w:cs="Times New Roman"/>
                      <w:b w:val="0"/>
                      <w:bCs w:val="0"/>
                      <w:snapToGrid w:val="0"/>
                      <w:color w:val="auto"/>
                      <w:sz w:val="21"/>
                      <w:szCs w:val="21"/>
                      <w:highlight w:val="none"/>
                      <w:u w:val="single"/>
                      <w:vertAlign w:val="baseline"/>
                      <w:lang w:val="en-US" w:eastAsia="zh-CN"/>
                    </w:rPr>
                    <w:t>-</w:t>
                  </w: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2018）要求，针对单独排入城镇集中污水处理设施的生活污水仅说明排放去向，不再列举废水污染源监测计划。</w:t>
                  </w:r>
                </w:p>
              </w:tc>
              <w:tc>
                <w:tcPr>
                  <w:tcW w:w="1126" w:type="pct"/>
                  <w:noWrap w:val="0"/>
                  <w:vAlign w:val="center"/>
                </w:tcPr>
                <w:p w14:paraId="2C263AD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eastAsia" w:cs="Times New Roman"/>
                      <w:b w:val="0"/>
                      <w:bCs w:val="0"/>
                      <w:snapToGrid w:val="0"/>
                      <w:color w:val="auto"/>
                      <w:sz w:val="21"/>
                      <w:szCs w:val="21"/>
                      <w:highlight w:val="none"/>
                      <w:u w:val="single"/>
                      <w:vertAlign w:val="baseline"/>
                      <w:lang w:val="en-US" w:eastAsia="zh-CN"/>
                    </w:rPr>
                    <w:t>/</w:t>
                  </w:r>
                </w:p>
              </w:tc>
            </w:tr>
            <w:tr w14:paraId="32A7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6" w:type="pct"/>
                  <w:noWrap w:val="0"/>
                  <w:vAlign w:val="center"/>
                </w:tcPr>
                <w:p w14:paraId="3C03172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ascii="Times New Roman" w:hAnsi="Times New Roman" w:eastAsia="宋体" w:cs="Times New Roman"/>
                      <w:b w:val="0"/>
                      <w:bCs w:val="0"/>
                      <w:snapToGrid w:val="0"/>
                      <w:color w:val="auto"/>
                      <w:sz w:val="21"/>
                      <w:szCs w:val="21"/>
                      <w:highlight w:val="none"/>
                      <w:u w:val="single"/>
                      <w:vertAlign w:val="baseline"/>
                      <w:lang w:val="en-US" w:eastAsia="zh-CN"/>
                    </w:rPr>
                  </w:pPr>
                  <w:r>
                    <w:rPr>
                      <w:rFonts w:hint="eastAsia" w:ascii="Times New Roman" w:hAnsi="Times New Roman" w:eastAsia="宋体" w:cs="Times New Roman"/>
                      <w:b w:val="0"/>
                      <w:bCs w:val="0"/>
                      <w:snapToGrid w:val="0"/>
                      <w:color w:val="auto"/>
                      <w:sz w:val="21"/>
                      <w:szCs w:val="21"/>
                      <w:highlight w:val="none"/>
                      <w:u w:val="single"/>
                      <w:vertAlign w:val="baseline"/>
                      <w:lang w:val="en-US" w:eastAsia="zh-CN"/>
                    </w:rPr>
                    <w:t>噪声</w:t>
                  </w:r>
                </w:p>
              </w:tc>
              <w:tc>
                <w:tcPr>
                  <w:tcW w:w="557" w:type="pct"/>
                  <w:noWrap w:val="0"/>
                  <w:vAlign w:val="center"/>
                </w:tcPr>
                <w:p w14:paraId="68FED28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边界外1m</w:t>
                  </w:r>
                </w:p>
              </w:tc>
              <w:tc>
                <w:tcPr>
                  <w:tcW w:w="550" w:type="pct"/>
                  <w:noWrap w:val="0"/>
                  <w:vAlign w:val="center"/>
                </w:tcPr>
                <w:p w14:paraId="68C2DDE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等效连续A声级</w:t>
                  </w:r>
                </w:p>
              </w:tc>
              <w:tc>
                <w:tcPr>
                  <w:tcW w:w="754" w:type="pct"/>
                  <w:noWrap w:val="0"/>
                  <w:vAlign w:val="center"/>
                </w:tcPr>
                <w:p w14:paraId="381C6C5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1次/季度，1天/次</w:t>
                  </w:r>
                </w:p>
              </w:tc>
              <w:tc>
                <w:tcPr>
                  <w:tcW w:w="1545" w:type="pct"/>
                  <w:noWrap w:val="0"/>
                  <w:vAlign w:val="center"/>
                </w:tcPr>
                <w:p w14:paraId="79AF637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《工业企业厂界环境噪声排放标准》（GB12348-2008）的3类标准</w:t>
                  </w:r>
                </w:p>
              </w:tc>
              <w:tc>
                <w:tcPr>
                  <w:tcW w:w="1126" w:type="pct"/>
                  <w:noWrap w:val="0"/>
                  <w:vAlign w:val="center"/>
                </w:tcPr>
                <w:p w14:paraId="3F5AD05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cs="Times New Roman"/>
                      <w:b w:val="0"/>
                      <w:bCs w:val="0"/>
                      <w:snapToGrid w:val="0"/>
                      <w:color w:val="auto"/>
                      <w:sz w:val="21"/>
                      <w:szCs w:val="21"/>
                      <w:highlight w:val="none"/>
                      <w:u w:val="single"/>
                      <w:vertAlign w:val="baseline"/>
                      <w:lang w:val="en-US" w:eastAsia="zh-CN"/>
                    </w:rPr>
                  </w:pPr>
                  <w:r>
                    <w:rPr>
                      <w:rFonts w:hint="eastAsia" w:cs="Times New Roman"/>
                      <w:b w:val="0"/>
                      <w:bCs w:val="0"/>
                      <w:snapToGrid w:val="0"/>
                      <w:color w:val="auto"/>
                      <w:sz w:val="21"/>
                      <w:szCs w:val="21"/>
                      <w:highlight w:val="none"/>
                      <w:u w:val="single"/>
                      <w:vertAlign w:val="baseline"/>
                      <w:lang w:val="en-US" w:eastAsia="zh-CN"/>
                    </w:rPr>
                    <w:t>昼间65dB（A）、夜间55dB（A）</w:t>
                  </w:r>
                </w:p>
              </w:tc>
            </w:tr>
            <w:tr w14:paraId="4B97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6" w:type="pct"/>
                  <w:vMerge w:val="restart"/>
                  <w:noWrap w:val="0"/>
                  <w:vAlign w:val="center"/>
                </w:tcPr>
                <w:p w14:paraId="41A86F0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eastAsia" w:ascii="Times New Roman" w:hAnsi="Times New Roman" w:eastAsia="宋体" w:cs="Times New Roman"/>
                      <w:b w:val="0"/>
                      <w:bCs w:val="0"/>
                      <w:snapToGrid w:val="0"/>
                      <w:color w:val="auto"/>
                      <w:sz w:val="21"/>
                      <w:szCs w:val="21"/>
                      <w:highlight w:val="none"/>
                      <w:u w:val="single"/>
                      <w:vertAlign w:val="baseline"/>
                      <w:lang w:val="en-US" w:eastAsia="zh-CN"/>
                    </w:rPr>
                    <w:t>固体废物</w:t>
                  </w:r>
                </w:p>
              </w:tc>
              <w:tc>
                <w:tcPr>
                  <w:tcW w:w="557" w:type="pct"/>
                  <w:noWrap w:val="0"/>
                  <w:vAlign w:val="center"/>
                </w:tcPr>
                <w:p w14:paraId="09B74F8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eastAsia" w:ascii="Times New Roman" w:hAnsi="Times New Roman" w:eastAsia="宋体" w:cs="Times New Roman"/>
                      <w:b w:val="0"/>
                      <w:bCs w:val="0"/>
                      <w:snapToGrid w:val="0"/>
                      <w:color w:val="auto"/>
                      <w:sz w:val="21"/>
                      <w:szCs w:val="21"/>
                      <w:highlight w:val="none"/>
                      <w:u w:val="single"/>
                      <w:vertAlign w:val="baseline"/>
                      <w:lang w:val="en-US" w:eastAsia="zh-CN"/>
                    </w:rPr>
                    <w:t>一般固体废物</w:t>
                  </w:r>
                </w:p>
              </w:tc>
              <w:tc>
                <w:tcPr>
                  <w:tcW w:w="1304" w:type="pct"/>
                  <w:gridSpan w:val="2"/>
                  <w:noWrap w:val="0"/>
                  <w:vAlign w:val="center"/>
                </w:tcPr>
                <w:p w14:paraId="2E301EB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1×</w:t>
                  </w:r>
                  <w:r>
                    <w:rPr>
                      <w:rFonts w:hint="eastAsia" w:ascii="Times New Roman" w:hAnsi="Times New Roman" w:eastAsia="宋体" w:cs="Times New Roman"/>
                      <w:b w:val="0"/>
                      <w:bCs w:val="0"/>
                      <w:snapToGrid w:val="0"/>
                      <w:color w:val="auto"/>
                      <w:sz w:val="21"/>
                      <w:szCs w:val="21"/>
                      <w:highlight w:val="none"/>
                      <w:u w:val="single"/>
                      <w:vertAlign w:val="baseline"/>
                      <w:lang w:val="en-US" w:eastAsia="zh-CN"/>
                    </w:rPr>
                    <w:t>5</w:t>
                  </w: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0m</w:t>
                  </w:r>
                  <w:r>
                    <w:rPr>
                      <w:rFonts w:hint="default" w:ascii="Times New Roman" w:hAnsi="Times New Roman" w:eastAsia="宋体" w:cs="Times New Roman"/>
                      <w:b w:val="0"/>
                      <w:bCs w:val="0"/>
                      <w:snapToGrid w:val="0"/>
                      <w:color w:val="auto"/>
                      <w:sz w:val="21"/>
                      <w:szCs w:val="21"/>
                      <w:highlight w:val="none"/>
                      <w:u w:val="single"/>
                      <w:vertAlign w:val="superscript"/>
                      <w:lang w:val="en-US" w:eastAsia="zh-CN"/>
                    </w:rPr>
                    <w:t>2</w:t>
                  </w: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一般固废间</w:t>
                  </w:r>
                </w:p>
              </w:tc>
              <w:tc>
                <w:tcPr>
                  <w:tcW w:w="1545" w:type="pct"/>
                  <w:noWrap w:val="0"/>
                  <w:vAlign w:val="center"/>
                </w:tcPr>
                <w:p w14:paraId="1C0E4F7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《一般工业固体废物贮存和填埋污染控制标准》（GB18599-2020）</w:t>
                  </w:r>
                </w:p>
              </w:tc>
              <w:tc>
                <w:tcPr>
                  <w:tcW w:w="1126" w:type="pct"/>
                  <w:noWrap w:val="0"/>
                  <w:vAlign w:val="center"/>
                </w:tcPr>
                <w:p w14:paraId="55171EA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eastAsia" w:cs="Times New Roman"/>
                      <w:b w:val="0"/>
                      <w:bCs w:val="0"/>
                      <w:snapToGrid w:val="0"/>
                      <w:color w:val="auto"/>
                      <w:sz w:val="21"/>
                      <w:szCs w:val="21"/>
                      <w:highlight w:val="none"/>
                      <w:u w:val="single"/>
                      <w:vertAlign w:val="baseline"/>
                      <w:lang w:val="en-US" w:eastAsia="zh-CN"/>
                    </w:rPr>
                    <w:t>/</w:t>
                  </w:r>
                </w:p>
              </w:tc>
            </w:tr>
            <w:tr w14:paraId="54DE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6" w:type="pct"/>
                  <w:vMerge w:val="continue"/>
                  <w:noWrap w:val="0"/>
                  <w:vAlign w:val="center"/>
                </w:tcPr>
                <w:p w14:paraId="4909BEA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ascii="Times New Roman" w:hAnsi="Times New Roman" w:eastAsia="宋体" w:cs="Times New Roman"/>
                      <w:b w:val="0"/>
                      <w:bCs w:val="0"/>
                      <w:snapToGrid w:val="0"/>
                      <w:color w:val="auto"/>
                      <w:sz w:val="21"/>
                      <w:szCs w:val="21"/>
                      <w:highlight w:val="none"/>
                      <w:u w:val="single"/>
                      <w:vertAlign w:val="baseline"/>
                      <w:lang w:val="en-US" w:eastAsia="zh-CN"/>
                    </w:rPr>
                  </w:pPr>
                </w:p>
              </w:tc>
              <w:tc>
                <w:tcPr>
                  <w:tcW w:w="557" w:type="pct"/>
                  <w:noWrap w:val="0"/>
                  <w:vAlign w:val="center"/>
                </w:tcPr>
                <w:p w14:paraId="7FE6D66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ascii="Times New Roman" w:hAnsi="Times New Roman" w:eastAsia="宋体" w:cs="Times New Roman"/>
                      <w:b w:val="0"/>
                      <w:bCs w:val="0"/>
                      <w:snapToGrid w:val="0"/>
                      <w:color w:val="auto"/>
                      <w:sz w:val="21"/>
                      <w:szCs w:val="21"/>
                      <w:highlight w:val="none"/>
                      <w:u w:val="single"/>
                      <w:vertAlign w:val="baseline"/>
                      <w:lang w:val="en-US" w:eastAsia="zh-CN"/>
                    </w:rPr>
                  </w:pPr>
                  <w:r>
                    <w:rPr>
                      <w:rFonts w:hint="eastAsia" w:ascii="Times New Roman" w:hAnsi="Times New Roman" w:eastAsia="宋体" w:cs="Times New Roman"/>
                      <w:b w:val="0"/>
                      <w:bCs w:val="0"/>
                      <w:snapToGrid w:val="0"/>
                      <w:color w:val="auto"/>
                      <w:sz w:val="21"/>
                      <w:szCs w:val="21"/>
                      <w:highlight w:val="none"/>
                      <w:u w:val="single"/>
                      <w:vertAlign w:val="baseline"/>
                      <w:lang w:val="en-US" w:eastAsia="zh-CN"/>
                    </w:rPr>
                    <w:t>危险废物</w:t>
                  </w:r>
                </w:p>
              </w:tc>
              <w:tc>
                <w:tcPr>
                  <w:tcW w:w="1304" w:type="pct"/>
                  <w:gridSpan w:val="2"/>
                  <w:noWrap w:val="0"/>
                  <w:vAlign w:val="center"/>
                </w:tcPr>
                <w:p w14:paraId="59EB1972">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1×</w:t>
                  </w:r>
                  <w:r>
                    <w:rPr>
                      <w:rFonts w:hint="eastAsia" w:ascii="Times New Roman" w:hAnsi="Times New Roman" w:eastAsia="宋体" w:cs="Times New Roman"/>
                      <w:b w:val="0"/>
                      <w:bCs w:val="0"/>
                      <w:snapToGrid w:val="0"/>
                      <w:color w:val="auto"/>
                      <w:sz w:val="21"/>
                      <w:szCs w:val="21"/>
                      <w:highlight w:val="none"/>
                      <w:u w:val="single"/>
                      <w:vertAlign w:val="baseline"/>
                      <w:lang w:val="en-US" w:eastAsia="zh-CN"/>
                    </w:rPr>
                    <w:t>2</w:t>
                  </w: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0m</w:t>
                  </w:r>
                  <w:r>
                    <w:rPr>
                      <w:rFonts w:hint="default" w:ascii="Times New Roman" w:hAnsi="Times New Roman" w:eastAsia="宋体" w:cs="Times New Roman"/>
                      <w:b w:val="0"/>
                      <w:bCs w:val="0"/>
                      <w:snapToGrid w:val="0"/>
                      <w:color w:val="auto"/>
                      <w:sz w:val="21"/>
                      <w:szCs w:val="21"/>
                      <w:highlight w:val="none"/>
                      <w:u w:val="single"/>
                      <w:vertAlign w:val="superscript"/>
                      <w:lang w:val="en-US" w:eastAsia="zh-CN"/>
                    </w:rPr>
                    <w:t>2</w:t>
                  </w: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危废间</w:t>
                  </w:r>
                </w:p>
              </w:tc>
              <w:tc>
                <w:tcPr>
                  <w:tcW w:w="1545" w:type="pct"/>
                  <w:noWrap w:val="0"/>
                  <w:vAlign w:val="center"/>
                </w:tcPr>
                <w:p w14:paraId="54346C9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《危险废物贮存污染控制标准》（GB18597-2023）</w:t>
                  </w:r>
                </w:p>
              </w:tc>
              <w:tc>
                <w:tcPr>
                  <w:tcW w:w="1126" w:type="pct"/>
                  <w:noWrap w:val="0"/>
                  <w:vAlign w:val="center"/>
                </w:tcPr>
                <w:p w14:paraId="76540D8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single"/>
                      <w:vertAlign w:val="baseline"/>
                      <w:lang w:val="en-US" w:eastAsia="zh-CN"/>
                    </w:rPr>
                  </w:pPr>
                  <w:r>
                    <w:rPr>
                      <w:rFonts w:hint="eastAsia" w:cs="Times New Roman"/>
                      <w:b w:val="0"/>
                      <w:bCs w:val="0"/>
                      <w:snapToGrid w:val="0"/>
                      <w:color w:val="auto"/>
                      <w:sz w:val="21"/>
                      <w:szCs w:val="21"/>
                      <w:highlight w:val="none"/>
                      <w:u w:val="single"/>
                      <w:vertAlign w:val="baseline"/>
                      <w:lang w:val="en-US" w:eastAsia="zh-CN"/>
                    </w:rPr>
                    <w:t>/</w:t>
                  </w:r>
                </w:p>
              </w:tc>
            </w:tr>
            <w:tr w14:paraId="1710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6"/>
                  <w:noWrap w:val="0"/>
                  <w:vAlign w:val="center"/>
                </w:tcPr>
                <w:p w14:paraId="53D6081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both"/>
                    <w:textAlignment w:val="baseline"/>
                    <w:rPr>
                      <w:rFonts w:hint="eastAsia" w:cs="Times New Roman"/>
                      <w:b w:val="0"/>
                      <w:bCs w:val="0"/>
                      <w:snapToGrid w:val="0"/>
                      <w:color w:val="auto"/>
                      <w:sz w:val="21"/>
                      <w:szCs w:val="21"/>
                      <w:highlight w:val="none"/>
                      <w:u w:val="single"/>
                      <w:vertAlign w:val="baseline"/>
                      <w:lang w:val="en-US" w:eastAsia="zh-CN"/>
                    </w:rPr>
                  </w:pPr>
                  <w:r>
                    <w:rPr>
                      <w:rFonts w:hint="eastAsia" w:cs="Times New Roman"/>
                      <w:b w:val="0"/>
                      <w:bCs w:val="0"/>
                      <w:snapToGrid w:val="0"/>
                      <w:color w:val="auto"/>
                      <w:sz w:val="21"/>
                      <w:szCs w:val="21"/>
                      <w:highlight w:val="none"/>
                      <w:u w:val="single"/>
                      <w:vertAlign w:val="baseline"/>
                      <w:lang w:val="en-US" w:eastAsia="zh-CN"/>
                    </w:rPr>
                    <w:t>注：①排气筒未高出周围200m半径范围的建筑5m以上，故排放速率严格50%执行</w:t>
                  </w:r>
                </w:p>
              </w:tc>
            </w:tr>
          </w:tbl>
          <w:p w14:paraId="1A3A348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520" w:lineRule="exact"/>
              <w:jc w:val="both"/>
              <w:textAlignment w:val="baseline"/>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 xml:space="preserve">9.3 </w:t>
            </w:r>
            <w:r>
              <w:rPr>
                <w:rFonts w:hint="default" w:ascii="Times New Roman" w:hAnsi="Times New Roman" w:eastAsia="宋体" w:cs="Times New Roman"/>
                <w:b/>
                <w:bCs/>
                <w:color w:val="auto"/>
                <w:kern w:val="0"/>
                <w:sz w:val="24"/>
                <w:szCs w:val="24"/>
                <w:u w:val="none"/>
              </w:rPr>
              <w:t>环境保护</w:t>
            </w:r>
            <w:r>
              <w:rPr>
                <w:rFonts w:hint="eastAsia" w:cs="Times New Roman"/>
                <w:b/>
                <w:bCs/>
                <w:color w:val="auto"/>
                <w:sz w:val="24"/>
                <w:szCs w:val="22"/>
                <w:highlight w:val="none"/>
                <w:lang w:val="en-US" w:eastAsia="zh-CN"/>
              </w:rPr>
              <w:t>“</w:t>
            </w:r>
            <w:r>
              <w:rPr>
                <w:rFonts w:hint="default" w:ascii="Times New Roman" w:hAnsi="Times New Roman" w:eastAsia="宋体" w:cs="Times New Roman"/>
                <w:b/>
                <w:bCs/>
                <w:color w:val="auto"/>
                <w:sz w:val="24"/>
                <w:szCs w:val="22"/>
                <w:highlight w:val="none"/>
                <w:lang w:val="en-US" w:eastAsia="zh-CN"/>
              </w:rPr>
              <w:t>三同时</w:t>
            </w:r>
            <w:r>
              <w:rPr>
                <w:rFonts w:hint="eastAsia" w:cs="Times New Roman"/>
                <w:b/>
                <w:bCs/>
                <w:color w:val="auto"/>
                <w:sz w:val="24"/>
                <w:szCs w:val="22"/>
                <w:highlight w:val="none"/>
                <w:lang w:val="en-US" w:eastAsia="zh-CN"/>
              </w:rPr>
              <w:t>”</w:t>
            </w:r>
            <w:r>
              <w:rPr>
                <w:rFonts w:hint="default" w:ascii="Times New Roman" w:hAnsi="Times New Roman" w:eastAsia="宋体" w:cs="Times New Roman"/>
                <w:b/>
                <w:bCs/>
                <w:color w:val="auto"/>
                <w:sz w:val="24"/>
                <w:szCs w:val="22"/>
                <w:highlight w:val="none"/>
                <w:lang w:val="en-US" w:eastAsia="zh-CN"/>
              </w:rPr>
              <w:t>验收</w:t>
            </w:r>
            <w:r>
              <w:rPr>
                <w:rFonts w:hint="default" w:ascii="Times New Roman" w:hAnsi="Times New Roman" w:eastAsia="宋体" w:cs="Times New Roman"/>
                <w:b/>
                <w:bCs/>
                <w:color w:val="auto"/>
                <w:kern w:val="0"/>
                <w:sz w:val="24"/>
                <w:szCs w:val="24"/>
                <w:u w:val="none"/>
              </w:rPr>
              <w:t>一览表</w:t>
            </w:r>
          </w:p>
          <w:p w14:paraId="22EFECE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520" w:lineRule="exact"/>
              <w:ind w:leftChars="0"/>
              <w:jc w:val="center"/>
              <w:textAlignment w:val="baseline"/>
              <w:rPr>
                <w:rFonts w:hint="default" w:ascii="Times New Roman" w:hAnsi="Times New Roman" w:cs="Times New Roman"/>
                <w:b w:val="0"/>
                <w:bCs w:val="0"/>
                <w:snapToGrid w:val="0"/>
                <w:color w:val="auto"/>
                <w:kern w:val="2"/>
                <w:sz w:val="21"/>
                <w:szCs w:val="21"/>
                <w:highlight w:val="none"/>
                <w:u w:val="none"/>
                <w:vertAlign w:val="baseline"/>
                <w:lang w:val="en-US" w:eastAsia="zh-CN" w:bidi="ar-SA"/>
              </w:rPr>
            </w:pPr>
            <w:r>
              <w:rPr>
                <w:rFonts w:hint="default" w:ascii="Times New Roman" w:hAnsi="Times New Roman" w:cs="Times New Roman"/>
                <w:b w:val="0"/>
                <w:bCs w:val="0"/>
                <w:snapToGrid w:val="0"/>
                <w:color w:val="auto"/>
                <w:kern w:val="2"/>
                <w:sz w:val="21"/>
                <w:szCs w:val="21"/>
                <w:highlight w:val="none"/>
                <w:u w:val="none"/>
                <w:vertAlign w:val="baseline"/>
                <w:lang w:val="en-US" w:eastAsia="zh-CN" w:bidi="ar-SA"/>
              </w:rPr>
              <w:t>表4-</w:t>
            </w:r>
            <w:r>
              <w:rPr>
                <w:rFonts w:hint="eastAsia" w:ascii="Times New Roman" w:hAnsi="Times New Roman" w:cs="Times New Roman"/>
                <w:b w:val="0"/>
                <w:bCs w:val="0"/>
                <w:snapToGrid w:val="0"/>
                <w:color w:val="auto"/>
                <w:kern w:val="2"/>
                <w:sz w:val="21"/>
                <w:szCs w:val="21"/>
                <w:highlight w:val="none"/>
                <w:u w:val="none"/>
                <w:vertAlign w:val="baseline"/>
                <w:lang w:val="en-US" w:eastAsia="zh-CN" w:bidi="ar-SA"/>
              </w:rPr>
              <w:t>2</w:t>
            </w:r>
            <w:r>
              <w:rPr>
                <w:rFonts w:hint="eastAsia" w:cs="Times New Roman"/>
                <w:b w:val="0"/>
                <w:bCs w:val="0"/>
                <w:snapToGrid w:val="0"/>
                <w:color w:val="auto"/>
                <w:kern w:val="2"/>
                <w:sz w:val="21"/>
                <w:szCs w:val="21"/>
                <w:highlight w:val="none"/>
                <w:u w:val="none"/>
                <w:vertAlign w:val="baseline"/>
                <w:lang w:val="en-US" w:eastAsia="zh-CN" w:bidi="ar-SA"/>
              </w:rPr>
              <w:t>2</w:t>
            </w:r>
            <w:r>
              <w:rPr>
                <w:rFonts w:hint="default" w:ascii="Times New Roman" w:hAnsi="Times New Roman" w:cs="Times New Roman"/>
                <w:b w:val="0"/>
                <w:bCs w:val="0"/>
                <w:snapToGrid w:val="0"/>
                <w:color w:val="auto"/>
                <w:kern w:val="2"/>
                <w:sz w:val="21"/>
                <w:szCs w:val="21"/>
                <w:highlight w:val="none"/>
                <w:u w:val="none"/>
                <w:vertAlign w:val="baseline"/>
                <w:lang w:val="en-US" w:eastAsia="zh-CN" w:bidi="ar-SA"/>
              </w:rPr>
              <w:t xml:space="preserve">   </w:t>
            </w:r>
            <w:r>
              <w:rPr>
                <w:rFonts w:hint="eastAsia" w:ascii="Times New Roman" w:hAnsi="Times New Roman" w:cs="Times New Roman"/>
                <w:b w:val="0"/>
                <w:bCs w:val="0"/>
                <w:snapToGrid w:val="0"/>
                <w:color w:val="auto"/>
                <w:kern w:val="2"/>
                <w:sz w:val="21"/>
                <w:szCs w:val="21"/>
                <w:highlight w:val="none"/>
                <w:u w:val="none"/>
                <w:vertAlign w:val="baseline"/>
                <w:lang w:val="en-US" w:eastAsia="zh-CN" w:bidi="ar-SA"/>
              </w:rPr>
              <w:t>项目</w:t>
            </w:r>
            <w:r>
              <w:rPr>
                <w:rFonts w:hint="default" w:ascii="Times New Roman" w:hAnsi="Times New Roman" w:cs="Times New Roman"/>
                <w:b w:val="0"/>
                <w:bCs w:val="0"/>
                <w:snapToGrid w:val="0"/>
                <w:color w:val="auto"/>
                <w:kern w:val="2"/>
                <w:sz w:val="21"/>
                <w:szCs w:val="21"/>
                <w:highlight w:val="none"/>
                <w:u w:val="none"/>
                <w:vertAlign w:val="baseline"/>
                <w:lang w:val="en-US" w:eastAsia="zh-CN" w:bidi="ar-SA"/>
              </w:rPr>
              <w:t>环境保护</w:t>
            </w:r>
            <w:r>
              <w:rPr>
                <w:rFonts w:hint="eastAsia" w:cs="Times New Roman"/>
                <w:b w:val="0"/>
                <w:bCs w:val="0"/>
                <w:snapToGrid w:val="0"/>
                <w:color w:val="auto"/>
                <w:kern w:val="2"/>
                <w:sz w:val="21"/>
                <w:szCs w:val="21"/>
                <w:highlight w:val="none"/>
                <w:u w:val="none"/>
                <w:vertAlign w:val="baseline"/>
                <w:lang w:val="en-US" w:eastAsia="zh-CN" w:bidi="ar-SA"/>
              </w:rPr>
              <w:t>“</w:t>
            </w:r>
            <w:r>
              <w:rPr>
                <w:rFonts w:hint="default" w:ascii="Times New Roman" w:hAnsi="Times New Roman" w:cs="Times New Roman"/>
                <w:b w:val="0"/>
                <w:bCs w:val="0"/>
                <w:snapToGrid w:val="0"/>
                <w:color w:val="auto"/>
                <w:kern w:val="2"/>
                <w:sz w:val="21"/>
                <w:szCs w:val="21"/>
                <w:highlight w:val="none"/>
                <w:u w:val="none"/>
                <w:vertAlign w:val="baseline"/>
                <w:lang w:val="en-US" w:eastAsia="zh-CN" w:bidi="ar-SA"/>
              </w:rPr>
              <w:t>三同时</w:t>
            </w:r>
            <w:r>
              <w:rPr>
                <w:rFonts w:hint="eastAsia" w:cs="Times New Roman"/>
                <w:b w:val="0"/>
                <w:bCs w:val="0"/>
                <w:snapToGrid w:val="0"/>
                <w:color w:val="auto"/>
                <w:kern w:val="2"/>
                <w:sz w:val="21"/>
                <w:szCs w:val="21"/>
                <w:highlight w:val="none"/>
                <w:u w:val="none"/>
                <w:vertAlign w:val="baseline"/>
                <w:lang w:val="en-US" w:eastAsia="zh-CN" w:bidi="ar-SA"/>
              </w:rPr>
              <w:t>”</w:t>
            </w:r>
            <w:r>
              <w:rPr>
                <w:rFonts w:hint="default" w:ascii="Times New Roman" w:hAnsi="Times New Roman" w:cs="Times New Roman"/>
                <w:b w:val="0"/>
                <w:bCs w:val="0"/>
                <w:snapToGrid w:val="0"/>
                <w:color w:val="auto"/>
                <w:kern w:val="2"/>
                <w:sz w:val="21"/>
                <w:szCs w:val="21"/>
                <w:highlight w:val="none"/>
                <w:u w:val="none"/>
                <w:vertAlign w:val="baseline"/>
                <w:lang w:val="en-US" w:eastAsia="zh-CN" w:bidi="ar-SA"/>
              </w:rPr>
              <w:t>竣工验收一览表</w:t>
            </w:r>
          </w:p>
          <w:tbl>
            <w:tblPr>
              <w:tblStyle w:val="2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693"/>
              <w:gridCol w:w="1423"/>
              <w:gridCol w:w="1215"/>
              <w:gridCol w:w="2220"/>
              <w:gridCol w:w="1697"/>
            </w:tblGrid>
            <w:tr w14:paraId="2E83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1" w:type="pct"/>
                  <w:vAlign w:val="center"/>
                </w:tcPr>
                <w:p w14:paraId="14777B6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lang w:val="en-US" w:eastAsia="zh-CN" w:bidi="ar-SA"/>
                    </w:rPr>
                    <w:t>类别</w:t>
                  </w:r>
                </w:p>
              </w:tc>
              <w:tc>
                <w:tcPr>
                  <w:tcW w:w="451" w:type="pct"/>
                  <w:vAlign w:val="center"/>
                </w:tcPr>
                <w:p w14:paraId="7D13665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lang w:val="en-US" w:eastAsia="zh-CN" w:bidi="ar-SA"/>
                    </w:rPr>
                    <w:t>污染源</w:t>
                  </w:r>
                </w:p>
              </w:tc>
              <w:tc>
                <w:tcPr>
                  <w:tcW w:w="926" w:type="pct"/>
                  <w:vAlign w:val="center"/>
                </w:tcPr>
                <w:p w14:paraId="6977938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lang w:val="en-US" w:eastAsia="zh-CN" w:bidi="ar-SA"/>
                    </w:rPr>
                    <w:t>治理或处置措施</w:t>
                  </w:r>
                </w:p>
              </w:tc>
              <w:tc>
                <w:tcPr>
                  <w:tcW w:w="790" w:type="pct"/>
                  <w:vAlign w:val="center"/>
                </w:tcPr>
                <w:p w14:paraId="7CA31F8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lang w:val="en-US" w:eastAsia="zh-CN" w:bidi="ar-SA"/>
                    </w:rPr>
                    <w:t>监测因子</w:t>
                  </w:r>
                </w:p>
              </w:tc>
              <w:tc>
                <w:tcPr>
                  <w:tcW w:w="1445" w:type="pct"/>
                  <w:vAlign w:val="center"/>
                </w:tcPr>
                <w:p w14:paraId="4DA80A3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lang w:val="en-US" w:eastAsia="zh-CN" w:bidi="ar-SA"/>
                    </w:rPr>
                    <w:t>执行标准</w:t>
                  </w:r>
                </w:p>
              </w:tc>
              <w:tc>
                <w:tcPr>
                  <w:tcW w:w="1104" w:type="pct"/>
                  <w:vAlign w:val="center"/>
                </w:tcPr>
                <w:p w14:paraId="383AD45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color w:val="auto"/>
                      <w:sz w:val="21"/>
                      <w:szCs w:val="21"/>
                      <w:highlight w:val="none"/>
                      <w:u w:val="none"/>
                      <w:lang w:val="en-US" w:eastAsia="zh-CN" w:bidi="ar-SA"/>
                    </w:rPr>
                  </w:pPr>
                  <w:r>
                    <w:rPr>
                      <w:rFonts w:hint="default" w:ascii="Times New Roman" w:hAnsi="Times New Roman" w:eastAsia="宋体" w:cs="Times New Roman"/>
                      <w:b w:val="0"/>
                      <w:bCs w:val="0"/>
                      <w:snapToGrid w:val="0"/>
                      <w:color w:val="auto"/>
                      <w:sz w:val="21"/>
                      <w:szCs w:val="21"/>
                      <w:highlight w:val="none"/>
                      <w:u w:val="single"/>
                      <w:vertAlign w:val="baseline"/>
                      <w:lang w:val="en-US" w:eastAsia="zh-CN"/>
                    </w:rPr>
                    <w:t>本项目标准限值</w:t>
                  </w:r>
                </w:p>
              </w:tc>
            </w:tr>
            <w:tr w14:paraId="5773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81" w:type="pct"/>
                  <w:vMerge w:val="restart"/>
                  <w:vAlign w:val="center"/>
                </w:tcPr>
                <w:p w14:paraId="6BF0CE4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cs="Times New Roman"/>
                      <w:b w:val="0"/>
                      <w:bCs w:val="0"/>
                      <w:color w:val="auto"/>
                      <w:sz w:val="21"/>
                      <w:szCs w:val="21"/>
                      <w:highlight w:val="none"/>
                      <w:u w:val="none"/>
                      <w:lang w:val="en-US" w:eastAsia="zh-CN" w:bidi="ar-SA"/>
                    </w:rPr>
                    <w:t>废气</w:t>
                  </w:r>
                </w:p>
              </w:tc>
              <w:tc>
                <w:tcPr>
                  <w:tcW w:w="451" w:type="pct"/>
                  <w:vAlign w:val="center"/>
                </w:tcPr>
                <w:p w14:paraId="03F61C4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切割、焊接工序</w:t>
                  </w:r>
                </w:p>
              </w:tc>
              <w:tc>
                <w:tcPr>
                  <w:tcW w:w="926" w:type="pct"/>
                  <w:vAlign w:val="center"/>
                </w:tcPr>
                <w:p w14:paraId="4C2C7FC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集气装置</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w:t>
                  </w:r>
                  <w:r>
                    <w:rPr>
                      <w:rFonts w:hint="eastAsia" w:cs="Times New Roman"/>
                      <w:b w:val="0"/>
                      <w:bCs w:val="0"/>
                      <w:snapToGrid w:val="0"/>
                      <w:color w:val="auto"/>
                      <w:sz w:val="21"/>
                      <w:szCs w:val="21"/>
                      <w:highlight w:val="none"/>
                      <w:u w:val="none"/>
                      <w:vertAlign w:val="baseline"/>
                      <w:lang w:val="en-US" w:eastAsia="zh-CN"/>
                    </w:rPr>
                    <w:t>袋式除尘</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器+15m排气筒（DA001）</w:t>
                  </w:r>
                </w:p>
              </w:tc>
              <w:tc>
                <w:tcPr>
                  <w:tcW w:w="790" w:type="pct"/>
                  <w:vAlign w:val="center"/>
                </w:tcPr>
                <w:p w14:paraId="242EE5C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颗粒物</w:t>
                  </w:r>
                </w:p>
              </w:tc>
              <w:tc>
                <w:tcPr>
                  <w:tcW w:w="1445" w:type="pct"/>
                  <w:vMerge w:val="restart"/>
                  <w:vAlign w:val="center"/>
                </w:tcPr>
                <w:p w14:paraId="335EA80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《大气污染物综合排放标准》（GB16297-1996）、</w:t>
                  </w:r>
                  <w:r>
                    <w:rPr>
                      <w:rFonts w:hint="eastAsia" w:cs="Times New Roman"/>
                      <w:b w:val="0"/>
                      <w:bCs w:val="0"/>
                      <w:snapToGrid w:val="0"/>
                      <w:color w:val="auto"/>
                      <w:sz w:val="21"/>
                      <w:szCs w:val="21"/>
                      <w:highlight w:val="none"/>
                      <w:u w:val="none"/>
                      <w:vertAlign w:val="baseline"/>
                      <w:lang w:val="en-US" w:eastAsia="zh-CN"/>
                    </w:rPr>
                    <w:t>河南省重污染天气通用行业应急减排措施制定技术指南</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（2024年修订版）》通用企业绩效引领性指标及《关于全省开展工业企业挥发性有机物专项治理工作中排放建议值的通知》（豫环攻坚办〔2017〕162号）</w:t>
                  </w:r>
                </w:p>
              </w:tc>
              <w:tc>
                <w:tcPr>
                  <w:tcW w:w="1104" w:type="pct"/>
                  <w:vAlign w:val="center"/>
                </w:tcPr>
                <w:p w14:paraId="13B1863D">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cs="Times New Roman"/>
                      <w:color w:val="auto"/>
                      <w:kern w:val="2"/>
                      <w:sz w:val="21"/>
                      <w:szCs w:val="21"/>
                      <w:highlight w:val="none"/>
                      <w:u w:val="single"/>
                      <w:lang w:val="en-US" w:eastAsia="zh-CN" w:bidi="ar-SA"/>
                    </w:rPr>
                    <w:t>10</w:t>
                  </w:r>
                  <w:r>
                    <w:rPr>
                      <w:rFonts w:hint="default" w:ascii="Times New Roman" w:hAnsi="Times New Roman" w:eastAsia="宋体" w:cs="Times New Roman"/>
                      <w:color w:val="auto"/>
                      <w:sz w:val="21"/>
                      <w:szCs w:val="21"/>
                      <w:highlight w:val="none"/>
                      <w:u w:val="single"/>
                      <w:lang w:val="en-US" w:eastAsia="zh-CN" w:bidi="ar-SA"/>
                    </w:rPr>
                    <w:t>mg/m</w:t>
                  </w:r>
                  <w:r>
                    <w:rPr>
                      <w:rFonts w:hint="default" w:ascii="Times New Roman" w:hAnsi="Times New Roman" w:eastAsia="宋体" w:cs="Times New Roman"/>
                      <w:color w:val="auto"/>
                      <w:sz w:val="21"/>
                      <w:szCs w:val="21"/>
                      <w:highlight w:val="none"/>
                      <w:u w:val="single"/>
                      <w:vertAlign w:val="superscript"/>
                      <w:lang w:val="en-US" w:eastAsia="zh-CN" w:bidi="ar-SA"/>
                    </w:rPr>
                    <w:t>3</w:t>
                  </w:r>
                  <w:r>
                    <w:rPr>
                      <w:rFonts w:hint="eastAsia" w:cs="Times New Roman"/>
                      <w:color w:val="auto"/>
                      <w:kern w:val="2"/>
                      <w:sz w:val="21"/>
                      <w:szCs w:val="21"/>
                      <w:highlight w:val="none"/>
                      <w:u w:val="single"/>
                      <w:lang w:val="en-US" w:eastAsia="zh-CN" w:bidi="ar-SA"/>
                    </w:rPr>
                    <w:t>、</w:t>
                  </w:r>
                  <w:r>
                    <w:rPr>
                      <w:rFonts w:hint="default" w:ascii="Times New Roman" w:hAnsi="Times New Roman" w:cs="Times New Roman"/>
                      <w:color w:val="auto"/>
                      <w:kern w:val="2"/>
                      <w:sz w:val="21"/>
                      <w:szCs w:val="21"/>
                      <w:highlight w:val="none"/>
                      <w:u w:val="single"/>
                      <w:lang w:val="en-US" w:eastAsia="zh-CN" w:bidi="ar-SA"/>
                    </w:rPr>
                    <w:t>1.75kg/h-15m</w:t>
                  </w:r>
                  <w:r>
                    <w:rPr>
                      <w:rFonts w:hint="default" w:ascii="Times New Roman" w:hAnsi="Times New Roman" w:cs="Times New Roman"/>
                      <w:color w:val="auto"/>
                      <w:kern w:val="2"/>
                      <w:sz w:val="21"/>
                      <w:szCs w:val="21"/>
                      <w:highlight w:val="none"/>
                      <w:u w:val="single"/>
                      <w:vertAlign w:val="superscript"/>
                      <w:lang w:val="en-US" w:eastAsia="zh-CN" w:bidi="ar-SA"/>
                    </w:rPr>
                    <w:t>①</w:t>
                  </w:r>
                </w:p>
              </w:tc>
            </w:tr>
            <w:tr w14:paraId="1AF8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81" w:type="pct"/>
                  <w:vMerge w:val="continue"/>
                  <w:vAlign w:val="center"/>
                </w:tcPr>
                <w:p w14:paraId="117A0DA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ascii="Times New Roman" w:hAnsi="Times New Roman" w:cs="Times New Roman"/>
                      <w:b w:val="0"/>
                      <w:bCs w:val="0"/>
                      <w:color w:val="auto"/>
                      <w:sz w:val="21"/>
                      <w:szCs w:val="21"/>
                      <w:highlight w:val="none"/>
                      <w:u w:val="none"/>
                      <w:lang w:val="en-US" w:eastAsia="zh-CN" w:bidi="ar-SA"/>
                    </w:rPr>
                  </w:pPr>
                </w:p>
              </w:tc>
              <w:tc>
                <w:tcPr>
                  <w:tcW w:w="451" w:type="pct"/>
                  <w:vAlign w:val="center"/>
                </w:tcPr>
                <w:p w14:paraId="7112A71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防锈工序</w:t>
                  </w:r>
                </w:p>
              </w:tc>
              <w:tc>
                <w:tcPr>
                  <w:tcW w:w="926" w:type="pct"/>
                  <w:vAlign w:val="center"/>
                </w:tcPr>
                <w:p w14:paraId="2C0E8E1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负压收集</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w:t>
                  </w:r>
                  <w:r>
                    <w:rPr>
                      <w:rFonts w:hint="eastAsia"/>
                      <w:color w:val="auto"/>
                      <w:sz w:val="21"/>
                      <w:szCs w:val="21"/>
                      <w:highlight w:val="none"/>
                      <w:u w:val="none"/>
                      <w:lang w:val="en-US" w:eastAsia="zh-CN"/>
                    </w:rPr>
                    <w:t>活性炭+分子筛吸附</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+15m排气筒（DA00</w:t>
                  </w: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2</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w:t>
                  </w:r>
                </w:p>
              </w:tc>
              <w:tc>
                <w:tcPr>
                  <w:tcW w:w="790" w:type="pct"/>
                  <w:vAlign w:val="center"/>
                </w:tcPr>
                <w:p w14:paraId="386D1BC6">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非甲烷总烃</w:t>
                  </w:r>
                </w:p>
              </w:tc>
              <w:tc>
                <w:tcPr>
                  <w:tcW w:w="1445" w:type="pct"/>
                  <w:vMerge w:val="continue"/>
                  <w:vAlign w:val="center"/>
                </w:tcPr>
                <w:p w14:paraId="025B2F0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ascii="Times New Roman" w:hAnsi="Times New Roman" w:eastAsia="宋体" w:cs="Times New Roman"/>
                      <w:color w:val="auto"/>
                      <w:sz w:val="21"/>
                      <w:szCs w:val="21"/>
                      <w:highlight w:val="none"/>
                      <w:u w:val="none"/>
                      <w:vertAlign w:val="baseline"/>
                      <w:lang w:val="en-US" w:eastAsia="zh-CN" w:bidi="ar-SA"/>
                    </w:rPr>
                  </w:pPr>
                </w:p>
              </w:tc>
              <w:tc>
                <w:tcPr>
                  <w:tcW w:w="1104" w:type="pct"/>
                  <w:vAlign w:val="center"/>
                </w:tcPr>
                <w:p w14:paraId="448A49EA">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ascii="Times New Roman" w:hAnsi="Times New Roman" w:eastAsia="宋体" w:cs="Times New Roman"/>
                      <w:color w:val="auto"/>
                      <w:sz w:val="21"/>
                      <w:szCs w:val="21"/>
                      <w:highlight w:val="none"/>
                      <w:u w:val="none"/>
                      <w:vertAlign w:val="baseline"/>
                      <w:lang w:val="en-US" w:eastAsia="zh-CN" w:bidi="ar-SA"/>
                    </w:rPr>
                  </w:pPr>
                  <w:r>
                    <w:rPr>
                      <w:rFonts w:hint="default" w:ascii="Times New Roman" w:hAnsi="Times New Roman" w:cs="Times New Roman"/>
                      <w:color w:val="auto"/>
                      <w:kern w:val="2"/>
                      <w:sz w:val="21"/>
                      <w:szCs w:val="21"/>
                      <w:highlight w:val="none"/>
                      <w:u w:val="single"/>
                      <w:lang w:val="en-US" w:eastAsia="zh-CN" w:bidi="ar-SA"/>
                    </w:rPr>
                    <w:t>30</w:t>
                  </w:r>
                  <w:r>
                    <w:rPr>
                      <w:rFonts w:hint="default" w:ascii="Times New Roman" w:hAnsi="Times New Roman" w:eastAsia="宋体" w:cs="Times New Roman"/>
                      <w:color w:val="auto"/>
                      <w:sz w:val="21"/>
                      <w:szCs w:val="21"/>
                      <w:highlight w:val="none"/>
                      <w:u w:val="single"/>
                      <w:lang w:val="en-US" w:eastAsia="zh-CN" w:bidi="ar-SA"/>
                    </w:rPr>
                    <w:t>mg/m</w:t>
                  </w:r>
                  <w:r>
                    <w:rPr>
                      <w:rFonts w:hint="default" w:ascii="Times New Roman" w:hAnsi="Times New Roman" w:eastAsia="宋体" w:cs="Times New Roman"/>
                      <w:color w:val="auto"/>
                      <w:sz w:val="21"/>
                      <w:szCs w:val="21"/>
                      <w:highlight w:val="none"/>
                      <w:u w:val="single"/>
                      <w:vertAlign w:val="superscript"/>
                      <w:lang w:val="en-US" w:eastAsia="zh-CN" w:bidi="ar-SA"/>
                    </w:rPr>
                    <w:t>3</w:t>
                  </w:r>
                  <w:r>
                    <w:rPr>
                      <w:rFonts w:hint="eastAsia" w:cs="Times New Roman"/>
                      <w:color w:val="auto"/>
                      <w:kern w:val="2"/>
                      <w:sz w:val="21"/>
                      <w:szCs w:val="21"/>
                      <w:highlight w:val="none"/>
                      <w:u w:val="single"/>
                      <w:lang w:val="en-US" w:eastAsia="zh-CN" w:bidi="ar-SA"/>
                    </w:rPr>
                    <w:t>、</w:t>
                  </w:r>
                  <w:r>
                    <w:rPr>
                      <w:rFonts w:hint="default" w:ascii="Times New Roman" w:hAnsi="Times New Roman" w:cs="Times New Roman"/>
                      <w:color w:val="auto"/>
                      <w:kern w:val="2"/>
                      <w:sz w:val="21"/>
                      <w:szCs w:val="21"/>
                      <w:highlight w:val="none"/>
                      <w:u w:val="single"/>
                      <w:lang w:val="en-US" w:eastAsia="zh-CN" w:bidi="ar-SA"/>
                    </w:rPr>
                    <w:t>5kg/h-15m</w:t>
                  </w:r>
                  <w:r>
                    <w:rPr>
                      <w:rFonts w:hint="default" w:ascii="Times New Roman" w:hAnsi="Times New Roman" w:cs="Times New Roman"/>
                      <w:color w:val="auto"/>
                      <w:kern w:val="2"/>
                      <w:sz w:val="21"/>
                      <w:szCs w:val="21"/>
                      <w:highlight w:val="none"/>
                      <w:u w:val="single"/>
                      <w:vertAlign w:val="superscript"/>
                      <w:lang w:val="en-US" w:eastAsia="zh-CN" w:bidi="ar-SA"/>
                    </w:rPr>
                    <w:t>①</w:t>
                  </w:r>
                  <w:r>
                    <w:rPr>
                      <w:rFonts w:hint="default" w:ascii="Times New Roman" w:hAnsi="Times New Roman" w:cs="Times New Roman"/>
                      <w:color w:val="auto"/>
                      <w:sz w:val="21"/>
                      <w:szCs w:val="21"/>
                      <w:highlight w:val="none"/>
                      <w:u w:val="single"/>
                      <w:vertAlign w:val="baseline"/>
                      <w:lang w:val="en-US" w:eastAsia="zh-CN" w:bidi="ar-SA"/>
                    </w:rPr>
                    <w:t>，建议去除效率70%</w:t>
                  </w:r>
                </w:p>
              </w:tc>
            </w:tr>
            <w:tr w14:paraId="4477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continue"/>
                  <w:vAlign w:val="center"/>
                </w:tcPr>
                <w:p w14:paraId="4B6681F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p>
              </w:tc>
              <w:tc>
                <w:tcPr>
                  <w:tcW w:w="451" w:type="pct"/>
                  <w:vAlign w:val="center"/>
                </w:tcPr>
                <w:p w14:paraId="1E818B2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厂界</w:t>
                  </w:r>
                </w:p>
              </w:tc>
              <w:tc>
                <w:tcPr>
                  <w:tcW w:w="926" w:type="pct"/>
                  <w:vAlign w:val="center"/>
                </w:tcPr>
                <w:p w14:paraId="577A27B0">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车间密闭，定期清扫</w:t>
                  </w:r>
                </w:p>
              </w:tc>
              <w:tc>
                <w:tcPr>
                  <w:tcW w:w="790" w:type="pct"/>
                  <w:vAlign w:val="center"/>
                </w:tcPr>
                <w:p w14:paraId="179B6D0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颗粒物</w:t>
                  </w:r>
                  <w:r>
                    <w:rPr>
                      <w:rFonts w:hint="eastAsia" w:cs="Times New Roman"/>
                      <w:b w:val="0"/>
                      <w:bCs w:val="0"/>
                      <w:snapToGrid w:val="0"/>
                      <w:color w:val="auto"/>
                      <w:sz w:val="21"/>
                      <w:szCs w:val="21"/>
                      <w:highlight w:val="none"/>
                      <w:u w:val="none"/>
                      <w:vertAlign w:val="baseline"/>
                      <w:lang w:val="en-US" w:eastAsia="zh-CN"/>
                    </w:rPr>
                    <w:t>、非甲烷总烃</w:t>
                  </w:r>
                </w:p>
              </w:tc>
              <w:tc>
                <w:tcPr>
                  <w:tcW w:w="1445" w:type="pct"/>
                  <w:vMerge w:val="continue"/>
                  <w:vAlign w:val="center"/>
                </w:tcPr>
                <w:p w14:paraId="0A622FD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p>
              </w:tc>
              <w:tc>
                <w:tcPr>
                  <w:tcW w:w="1104" w:type="pct"/>
                  <w:vAlign w:val="center"/>
                </w:tcPr>
                <w:p w14:paraId="128EF27F">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color w:val="auto"/>
                      <w:sz w:val="21"/>
                      <w:szCs w:val="21"/>
                      <w:highlight w:val="none"/>
                      <w:u w:val="single"/>
                      <w:lang w:val="en-US" w:eastAsia="zh-CN"/>
                    </w:rPr>
                    <w:t>颗粒物：</w:t>
                  </w:r>
                  <w:r>
                    <w:rPr>
                      <w:rFonts w:hint="default" w:ascii="Times New Roman" w:hAnsi="Times New Roman" w:eastAsia="宋体" w:cs="Times New Roman"/>
                      <w:color w:val="auto"/>
                      <w:sz w:val="21"/>
                      <w:szCs w:val="21"/>
                      <w:highlight w:val="none"/>
                      <w:u w:val="single"/>
                      <w:lang w:val="en-US" w:eastAsia="zh-CN"/>
                    </w:rPr>
                    <w:t>1.0</w:t>
                  </w:r>
                  <w:r>
                    <w:rPr>
                      <w:rFonts w:hint="default" w:ascii="Times New Roman" w:hAnsi="Times New Roman" w:eastAsia="宋体" w:cs="Times New Roman"/>
                      <w:color w:val="auto"/>
                      <w:sz w:val="21"/>
                      <w:szCs w:val="21"/>
                      <w:highlight w:val="none"/>
                      <w:u w:val="single"/>
                      <w:lang w:val="en-US" w:eastAsia="zh-CN" w:bidi="ar-SA"/>
                    </w:rPr>
                    <w:t>mg/m</w:t>
                  </w:r>
                  <w:r>
                    <w:rPr>
                      <w:rFonts w:hint="default" w:ascii="Times New Roman" w:hAnsi="Times New Roman" w:eastAsia="宋体" w:cs="Times New Roman"/>
                      <w:color w:val="auto"/>
                      <w:sz w:val="21"/>
                      <w:szCs w:val="21"/>
                      <w:highlight w:val="none"/>
                      <w:u w:val="single"/>
                      <w:vertAlign w:val="superscript"/>
                      <w:lang w:val="en-US" w:eastAsia="zh-CN" w:bidi="ar-SA"/>
                    </w:rPr>
                    <w:t>3</w:t>
                  </w:r>
                  <w:r>
                    <w:rPr>
                      <w:rFonts w:hint="eastAsia" w:cs="Times New Roman"/>
                      <w:color w:val="auto"/>
                      <w:sz w:val="21"/>
                      <w:szCs w:val="21"/>
                      <w:highlight w:val="none"/>
                      <w:u w:val="single"/>
                      <w:vertAlign w:val="baseline"/>
                      <w:lang w:val="en-US" w:eastAsia="zh-CN" w:bidi="ar-SA"/>
                    </w:rPr>
                    <w:t>；非甲烷总烃：</w:t>
                  </w:r>
                  <w:r>
                    <w:rPr>
                      <w:rFonts w:hint="default" w:ascii="Times New Roman" w:hAnsi="Times New Roman" w:cs="Times New Roman"/>
                      <w:color w:val="auto"/>
                      <w:sz w:val="21"/>
                      <w:szCs w:val="21"/>
                      <w:highlight w:val="none"/>
                      <w:u w:val="single"/>
                      <w:vertAlign w:val="baseline"/>
                      <w:lang w:val="en-US" w:eastAsia="zh-CN" w:bidi="ar-SA"/>
                    </w:rPr>
                    <w:t>2.0</w:t>
                  </w:r>
                  <w:r>
                    <w:rPr>
                      <w:rFonts w:hint="default" w:ascii="Times New Roman" w:hAnsi="Times New Roman" w:eastAsia="宋体" w:cs="Times New Roman"/>
                      <w:color w:val="auto"/>
                      <w:sz w:val="21"/>
                      <w:szCs w:val="21"/>
                      <w:highlight w:val="none"/>
                      <w:u w:val="single"/>
                      <w:lang w:val="en-US" w:eastAsia="zh-CN" w:bidi="ar-SA"/>
                    </w:rPr>
                    <w:t>mg/m</w:t>
                  </w:r>
                  <w:r>
                    <w:rPr>
                      <w:rFonts w:hint="default" w:ascii="Times New Roman" w:hAnsi="Times New Roman" w:eastAsia="宋体" w:cs="Times New Roman"/>
                      <w:color w:val="auto"/>
                      <w:sz w:val="21"/>
                      <w:szCs w:val="21"/>
                      <w:highlight w:val="none"/>
                      <w:u w:val="single"/>
                      <w:vertAlign w:val="superscript"/>
                      <w:lang w:val="en-US" w:eastAsia="zh-CN" w:bidi="ar-SA"/>
                    </w:rPr>
                    <w:t>3</w:t>
                  </w:r>
                </w:p>
              </w:tc>
            </w:tr>
            <w:tr w14:paraId="2F39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27EB46F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废水</w:t>
                  </w:r>
                </w:p>
              </w:tc>
              <w:tc>
                <w:tcPr>
                  <w:tcW w:w="451" w:type="pct"/>
                  <w:vAlign w:val="center"/>
                </w:tcPr>
                <w:p w14:paraId="49C0B0A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生活污水</w:t>
                  </w:r>
                </w:p>
              </w:tc>
              <w:tc>
                <w:tcPr>
                  <w:tcW w:w="926" w:type="pct"/>
                  <w:vAlign w:val="center"/>
                </w:tcPr>
                <w:p w14:paraId="7EC3921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厂内化粪池（1座，5m</w:t>
                  </w:r>
                  <w:r>
                    <w:rPr>
                      <w:rFonts w:hint="eastAsia" w:cs="Times New Roman"/>
                      <w:b w:val="0"/>
                      <w:bCs w:val="0"/>
                      <w:snapToGrid w:val="0"/>
                      <w:color w:val="auto"/>
                      <w:sz w:val="21"/>
                      <w:szCs w:val="21"/>
                      <w:highlight w:val="none"/>
                      <w:u w:val="none"/>
                      <w:vertAlign w:val="superscript"/>
                      <w:lang w:val="en-US" w:eastAsia="zh-CN"/>
                    </w:rPr>
                    <w:t>3</w:t>
                  </w:r>
                  <w:r>
                    <w:rPr>
                      <w:rFonts w:hint="eastAsia" w:cs="Times New Roman"/>
                      <w:b w:val="0"/>
                      <w:bCs w:val="0"/>
                      <w:snapToGrid w:val="0"/>
                      <w:color w:val="auto"/>
                      <w:sz w:val="21"/>
                      <w:szCs w:val="21"/>
                      <w:highlight w:val="none"/>
                      <w:u w:val="none"/>
                      <w:vertAlign w:val="baseline"/>
                      <w:lang w:val="en-US" w:eastAsia="zh-CN"/>
                    </w:rPr>
                    <w:t>）</w:t>
                  </w:r>
                </w:p>
              </w:tc>
              <w:tc>
                <w:tcPr>
                  <w:tcW w:w="790" w:type="pct"/>
                  <w:vAlign w:val="center"/>
                </w:tcPr>
                <w:p w14:paraId="7E292AB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color w:val="auto"/>
                      <w:sz w:val="21"/>
                      <w:szCs w:val="21"/>
                      <w:highlight w:val="none"/>
                      <w:u w:val="none"/>
                      <w:lang w:val="en-US" w:eastAsia="zh-CN"/>
                    </w:rPr>
                    <w:t>pH、COD、BOD</w:t>
                  </w:r>
                  <w:r>
                    <w:rPr>
                      <w:rFonts w:hint="default" w:ascii="Times New Roman" w:hAnsi="Times New Roman" w:eastAsia="宋体" w:cs="Times New Roman"/>
                      <w:b w:val="0"/>
                      <w:bCs/>
                      <w:color w:val="auto"/>
                      <w:sz w:val="21"/>
                      <w:szCs w:val="21"/>
                      <w:highlight w:val="none"/>
                      <w:u w:val="none"/>
                      <w:vertAlign w:val="subscript"/>
                      <w:lang w:val="en-US" w:eastAsia="zh-CN"/>
                    </w:rPr>
                    <w:t>5</w:t>
                  </w:r>
                  <w:r>
                    <w:rPr>
                      <w:rFonts w:hint="default" w:ascii="Times New Roman" w:hAnsi="Times New Roman" w:eastAsia="宋体" w:cs="Times New Roman"/>
                      <w:b w:val="0"/>
                      <w:bCs/>
                      <w:color w:val="auto"/>
                      <w:sz w:val="21"/>
                      <w:szCs w:val="21"/>
                      <w:highlight w:val="none"/>
                      <w:u w:val="none"/>
                      <w:lang w:val="en-US" w:eastAsia="zh-CN"/>
                    </w:rPr>
                    <w:t>、氨氮、SS</w:t>
                  </w:r>
                </w:p>
              </w:tc>
              <w:tc>
                <w:tcPr>
                  <w:tcW w:w="1445" w:type="pct"/>
                  <w:vAlign w:val="center"/>
                </w:tcPr>
                <w:p w14:paraId="2388564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bidi="ar-SA"/>
                    </w:rPr>
                    <w:t>《污水综合排放标准》（GB8978-1996）三级标准及清丰中州水务有限公司第二污水处理厂</w:t>
                  </w:r>
                  <w:r>
                    <w:rPr>
                      <w:rFonts w:hint="default" w:ascii="Times New Roman" w:hAnsi="Times New Roman" w:eastAsia="宋体" w:cs="Times New Roman"/>
                      <w:strike w:val="0"/>
                      <w:dstrike w:val="0"/>
                      <w:color w:val="auto"/>
                      <w:sz w:val="21"/>
                      <w:szCs w:val="21"/>
                      <w:highlight w:val="none"/>
                      <w:u w:val="none"/>
                      <w:lang w:val="en-US" w:eastAsia="zh-CN"/>
                    </w:rPr>
                    <w:t>进水水质</w:t>
                  </w:r>
                </w:p>
              </w:tc>
              <w:tc>
                <w:tcPr>
                  <w:tcW w:w="1104" w:type="pct"/>
                  <w:vAlign w:val="center"/>
                </w:tcPr>
                <w:p w14:paraId="015F50A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color w:val="auto"/>
                      <w:sz w:val="21"/>
                      <w:szCs w:val="21"/>
                      <w:highlight w:val="none"/>
                      <w:u w:val="none"/>
                      <w:vertAlign w:val="baseline"/>
                      <w:lang w:val="en-US" w:eastAsia="zh-CN" w:bidi="ar-SA"/>
                    </w:rPr>
                  </w:pPr>
                  <w:r>
                    <w:rPr>
                      <w:rFonts w:hint="eastAsia" w:cs="Times New Roman"/>
                      <w:color w:val="auto"/>
                      <w:sz w:val="21"/>
                      <w:szCs w:val="21"/>
                      <w:highlight w:val="none"/>
                      <w:u w:val="none"/>
                      <w:vertAlign w:val="baseline"/>
                      <w:lang w:val="en-US" w:eastAsia="zh-CN" w:bidi="ar-SA"/>
                    </w:rPr>
                    <w:t>pH6-9（无量纲）、COD350mg/L、BOD</w:t>
                  </w:r>
                  <w:r>
                    <w:rPr>
                      <w:rFonts w:hint="eastAsia" w:cs="Times New Roman"/>
                      <w:color w:val="auto"/>
                      <w:sz w:val="21"/>
                      <w:szCs w:val="21"/>
                      <w:highlight w:val="none"/>
                      <w:u w:val="none"/>
                      <w:vertAlign w:val="subscript"/>
                      <w:lang w:val="en-US" w:eastAsia="zh-CN" w:bidi="ar-SA"/>
                    </w:rPr>
                    <w:t>5</w:t>
                  </w:r>
                  <w:r>
                    <w:rPr>
                      <w:rFonts w:hint="eastAsia" w:cs="Times New Roman"/>
                      <w:color w:val="auto"/>
                      <w:sz w:val="21"/>
                      <w:szCs w:val="21"/>
                      <w:highlight w:val="none"/>
                      <w:u w:val="none"/>
                      <w:vertAlign w:val="baseline"/>
                      <w:lang w:val="en-US" w:eastAsia="zh-CN" w:bidi="ar-SA"/>
                    </w:rPr>
                    <w:t>170mg/L、SS210mg/L、氨氮30mg/L</w:t>
                  </w:r>
                </w:p>
              </w:tc>
            </w:tr>
            <w:tr w14:paraId="3FED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3D30B47E">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噪声</w:t>
                  </w:r>
                </w:p>
              </w:tc>
              <w:tc>
                <w:tcPr>
                  <w:tcW w:w="451" w:type="pct"/>
                  <w:vAlign w:val="center"/>
                </w:tcPr>
                <w:p w14:paraId="40491A6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设备噪声</w:t>
                  </w:r>
                </w:p>
              </w:tc>
              <w:tc>
                <w:tcPr>
                  <w:tcW w:w="926" w:type="pct"/>
                  <w:vAlign w:val="center"/>
                </w:tcPr>
                <w:p w14:paraId="3414A759">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加强管理、安装减振垫、墙体隔离、距离衰减</w:t>
                  </w:r>
                </w:p>
              </w:tc>
              <w:tc>
                <w:tcPr>
                  <w:tcW w:w="790" w:type="pct"/>
                  <w:vAlign w:val="center"/>
                </w:tcPr>
                <w:p w14:paraId="48E6928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厂界等效连续A声级</w:t>
                  </w:r>
                </w:p>
              </w:tc>
              <w:tc>
                <w:tcPr>
                  <w:tcW w:w="1445" w:type="pct"/>
                  <w:vAlign w:val="center"/>
                </w:tcPr>
                <w:p w14:paraId="62AC1298">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lang w:val="en-US" w:eastAsia="zh-CN" w:bidi="ar-SA"/>
                    </w:rPr>
                    <w:t>《工业企业厂界环境噪声排放标准》（GB12348-2008）</w:t>
                  </w:r>
                  <w:r>
                    <w:rPr>
                      <w:rFonts w:hint="eastAsia" w:cs="Times New Roman"/>
                      <w:b w:val="0"/>
                      <w:bCs w:val="0"/>
                      <w:color w:val="auto"/>
                      <w:sz w:val="21"/>
                      <w:szCs w:val="21"/>
                      <w:highlight w:val="none"/>
                      <w:u w:val="none"/>
                      <w:lang w:val="en-US" w:eastAsia="zh-CN" w:bidi="ar-SA"/>
                    </w:rPr>
                    <w:t>3</w:t>
                  </w:r>
                  <w:r>
                    <w:rPr>
                      <w:rFonts w:hint="default" w:ascii="Times New Roman" w:hAnsi="Times New Roman" w:eastAsia="宋体" w:cs="Times New Roman"/>
                      <w:b w:val="0"/>
                      <w:bCs w:val="0"/>
                      <w:color w:val="auto"/>
                      <w:sz w:val="21"/>
                      <w:szCs w:val="21"/>
                      <w:highlight w:val="none"/>
                      <w:u w:val="none"/>
                      <w:lang w:val="en-US" w:eastAsia="zh-CN" w:bidi="ar-SA"/>
                    </w:rPr>
                    <w:t>类标准</w:t>
                  </w:r>
                </w:p>
              </w:tc>
              <w:tc>
                <w:tcPr>
                  <w:tcW w:w="1104" w:type="pct"/>
                  <w:vAlign w:val="center"/>
                </w:tcPr>
                <w:p w14:paraId="532E0FB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昼间65dB（A）、夜间55dB（A）</w:t>
                  </w:r>
                </w:p>
              </w:tc>
            </w:tr>
            <w:tr w14:paraId="3BCE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restart"/>
                  <w:vAlign w:val="center"/>
                </w:tcPr>
                <w:p w14:paraId="52F3142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固废</w:t>
                  </w:r>
                </w:p>
              </w:tc>
              <w:tc>
                <w:tcPr>
                  <w:tcW w:w="451" w:type="pct"/>
                  <w:vAlign w:val="center"/>
                </w:tcPr>
                <w:p w14:paraId="289661D2">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一般固废</w:t>
                  </w:r>
                </w:p>
              </w:tc>
              <w:tc>
                <w:tcPr>
                  <w:tcW w:w="926" w:type="pct"/>
                  <w:vAlign w:val="center"/>
                </w:tcPr>
                <w:p w14:paraId="699798C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临时固废存放间存放，定期</w:t>
                  </w: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处置</w:t>
                  </w:r>
                </w:p>
              </w:tc>
              <w:tc>
                <w:tcPr>
                  <w:tcW w:w="790" w:type="pct"/>
                  <w:shd w:val="clear" w:color="auto" w:fill="auto"/>
                  <w:vAlign w:val="center"/>
                </w:tcPr>
                <w:p w14:paraId="42636D63">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5</w:t>
                  </w:r>
                  <w:r>
                    <w:rPr>
                      <w:rFonts w:hint="default" w:ascii="Times New Roman" w:hAnsi="Times New Roman" w:eastAsia="宋体" w:cs="Times New Roman"/>
                      <w:color w:val="auto"/>
                      <w:kern w:val="2"/>
                      <w:sz w:val="21"/>
                      <w:szCs w:val="21"/>
                      <w:highlight w:val="none"/>
                      <w:u w:val="none"/>
                      <w:lang w:val="en-US" w:eastAsia="zh-CN" w:bidi="ar-SA"/>
                    </w:rPr>
                    <w:t>0m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一般固废暂存</w:t>
                  </w:r>
                  <w:r>
                    <w:rPr>
                      <w:rFonts w:hint="eastAsia" w:ascii="Times New Roman" w:hAnsi="Times New Roman" w:cs="Times New Roman"/>
                      <w:color w:val="auto"/>
                      <w:kern w:val="2"/>
                      <w:sz w:val="21"/>
                      <w:szCs w:val="21"/>
                      <w:highlight w:val="none"/>
                      <w:u w:val="none"/>
                      <w:lang w:val="en-US" w:eastAsia="zh-CN" w:bidi="ar-SA"/>
                    </w:rPr>
                    <w:t>间</w:t>
                  </w:r>
                </w:p>
              </w:tc>
              <w:tc>
                <w:tcPr>
                  <w:tcW w:w="1445" w:type="pct"/>
                  <w:vAlign w:val="center"/>
                </w:tcPr>
                <w:p w14:paraId="57AE2A3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《一般工业固体废物贮存和填埋污染控制标准》</w:t>
                  </w: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GB 18599-2020</w:t>
                  </w: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w:t>
                  </w:r>
                </w:p>
              </w:tc>
              <w:tc>
                <w:tcPr>
                  <w:tcW w:w="1104" w:type="pct"/>
                  <w:vAlign w:val="center"/>
                </w:tcPr>
                <w:p w14:paraId="4879A0B3">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w:t>
                  </w:r>
                </w:p>
              </w:tc>
            </w:tr>
            <w:tr w14:paraId="2DBB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continue"/>
                  <w:vAlign w:val="center"/>
                </w:tcPr>
                <w:p w14:paraId="140D1A41">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eastAsia" w:ascii="Times New Roman" w:hAnsi="Times New Roman" w:eastAsia="宋体" w:cs="Times New Roman"/>
                      <w:b w:val="0"/>
                      <w:bCs w:val="0"/>
                      <w:snapToGrid w:val="0"/>
                      <w:color w:val="auto"/>
                      <w:sz w:val="21"/>
                      <w:szCs w:val="21"/>
                      <w:highlight w:val="none"/>
                      <w:u w:val="none"/>
                      <w:vertAlign w:val="baseline"/>
                      <w:lang w:val="en-US" w:eastAsia="zh-CN"/>
                    </w:rPr>
                  </w:pPr>
                </w:p>
              </w:tc>
              <w:tc>
                <w:tcPr>
                  <w:tcW w:w="451" w:type="pct"/>
                  <w:vAlign w:val="center"/>
                </w:tcPr>
                <w:p w14:paraId="09FB7F2B">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危险废物</w:t>
                  </w:r>
                </w:p>
              </w:tc>
              <w:tc>
                <w:tcPr>
                  <w:tcW w:w="926" w:type="pct"/>
                  <w:vAlign w:val="center"/>
                </w:tcPr>
                <w:p w14:paraId="506A7F7C">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暂存于危废暂存间，定期交有资质单位处置</w:t>
                  </w:r>
                </w:p>
              </w:tc>
              <w:tc>
                <w:tcPr>
                  <w:tcW w:w="790" w:type="pct"/>
                  <w:shd w:val="clear" w:color="auto" w:fill="auto"/>
                  <w:vAlign w:val="center"/>
                </w:tcPr>
                <w:p w14:paraId="48D178DA">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u w:val="none"/>
                      <w:lang w:val="en-US" w:eastAsia="zh-CN" w:bidi="ar-SA"/>
                    </w:rPr>
                  </w:pPr>
                  <w:r>
                    <w:rPr>
                      <w:rFonts w:hint="eastAsia" w:cs="Times New Roman"/>
                      <w:color w:val="auto"/>
                      <w:kern w:val="2"/>
                      <w:sz w:val="21"/>
                      <w:szCs w:val="21"/>
                      <w:highlight w:val="none"/>
                      <w:u w:val="none"/>
                      <w:lang w:val="en-US" w:eastAsia="zh-CN" w:bidi="ar-SA"/>
                    </w:rPr>
                    <w:t>20</w:t>
                  </w:r>
                  <w:r>
                    <w:rPr>
                      <w:rFonts w:hint="default" w:ascii="Times New Roman" w:hAnsi="Times New Roman" w:eastAsia="宋体" w:cs="Times New Roman"/>
                      <w:color w:val="auto"/>
                      <w:kern w:val="2"/>
                      <w:sz w:val="21"/>
                      <w:szCs w:val="21"/>
                      <w:highlight w:val="none"/>
                      <w:u w:val="none"/>
                      <w:lang w:val="en-US" w:eastAsia="zh-CN" w:bidi="ar-SA"/>
                    </w:rPr>
                    <w:t>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r>
                    <w:rPr>
                      <w:rFonts w:hint="eastAsia" w:ascii="Times New Roman" w:hAnsi="Times New Roman" w:cs="Times New Roman"/>
                      <w:color w:val="auto"/>
                      <w:kern w:val="2"/>
                      <w:sz w:val="21"/>
                      <w:szCs w:val="21"/>
                      <w:highlight w:val="none"/>
                      <w:u w:val="none"/>
                      <w:lang w:val="en-US" w:eastAsia="zh-CN" w:bidi="ar-SA"/>
                    </w:rPr>
                    <w:t>危废</w:t>
                  </w:r>
                  <w:r>
                    <w:rPr>
                      <w:rFonts w:hint="default" w:ascii="Times New Roman" w:hAnsi="Times New Roman" w:eastAsia="宋体" w:cs="Times New Roman"/>
                      <w:color w:val="auto"/>
                      <w:kern w:val="2"/>
                      <w:sz w:val="21"/>
                      <w:szCs w:val="21"/>
                      <w:highlight w:val="none"/>
                      <w:u w:val="none"/>
                      <w:lang w:val="en-US" w:eastAsia="zh-CN" w:bidi="ar-SA"/>
                    </w:rPr>
                    <w:t>暂存</w:t>
                  </w:r>
                  <w:r>
                    <w:rPr>
                      <w:rFonts w:hint="eastAsia" w:ascii="Times New Roman" w:hAnsi="Times New Roman" w:cs="Times New Roman"/>
                      <w:color w:val="auto"/>
                      <w:kern w:val="2"/>
                      <w:sz w:val="21"/>
                      <w:szCs w:val="21"/>
                      <w:highlight w:val="none"/>
                      <w:u w:val="none"/>
                      <w:lang w:val="en-US" w:eastAsia="zh-CN" w:bidi="ar-SA"/>
                    </w:rPr>
                    <w:t>间</w:t>
                  </w:r>
                </w:p>
              </w:tc>
              <w:tc>
                <w:tcPr>
                  <w:tcW w:w="1445" w:type="pct"/>
                  <w:vAlign w:val="center"/>
                </w:tcPr>
                <w:p w14:paraId="56E217F7">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《危险废物贮存污染控制标准》（GB</w:t>
                  </w:r>
                  <w:r>
                    <w:rPr>
                      <w:rFonts w:hint="eastAsia" w:ascii="Times New Roman" w:hAnsi="Times New Roman" w:eastAsia="宋体" w:cs="Times New Roman"/>
                      <w:b w:val="0"/>
                      <w:bCs w:val="0"/>
                      <w:snapToGrid w:val="0"/>
                      <w:color w:val="auto"/>
                      <w:sz w:val="21"/>
                      <w:szCs w:val="21"/>
                      <w:highlight w:val="none"/>
                      <w:u w:val="none"/>
                      <w:vertAlign w:val="baseline"/>
                      <w:lang w:val="en-US" w:eastAsia="zh-CN"/>
                    </w:rPr>
                    <w:t xml:space="preserve"> </w:t>
                  </w: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18597-2023）</w:t>
                  </w:r>
                </w:p>
              </w:tc>
              <w:tc>
                <w:tcPr>
                  <w:tcW w:w="1104" w:type="pct"/>
                  <w:vAlign w:val="center"/>
                </w:tcPr>
                <w:p w14:paraId="1780CB04">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center"/>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eastAsia" w:cs="Times New Roman"/>
                      <w:b w:val="0"/>
                      <w:bCs w:val="0"/>
                      <w:snapToGrid w:val="0"/>
                      <w:color w:val="auto"/>
                      <w:sz w:val="21"/>
                      <w:szCs w:val="21"/>
                      <w:highlight w:val="none"/>
                      <w:u w:val="none"/>
                      <w:vertAlign w:val="baseline"/>
                      <w:lang w:val="en-US" w:eastAsia="zh-CN"/>
                    </w:rPr>
                    <w:t>/</w:t>
                  </w:r>
                </w:p>
              </w:tc>
            </w:tr>
            <w:tr w14:paraId="3AD3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023B1885">
                  <w:pPr>
                    <w:pStyle w:val="11"/>
                    <w:keepNext w:val="0"/>
                    <w:keepLines w:val="0"/>
                    <w:pageBreakBefore w:val="0"/>
                    <w:widowControl w:val="0"/>
                    <w:numPr>
                      <w:ilvl w:val="0"/>
                      <w:numId w:val="0"/>
                    </w:numPr>
                    <w:kinsoku/>
                    <w:wordWrap/>
                    <w:overflowPunct/>
                    <w:topLinePunct w:val="0"/>
                    <w:autoSpaceDE w:val="0"/>
                    <w:autoSpaceDN w:val="0"/>
                    <w:bidi w:val="0"/>
                    <w:adjustRightInd w:val="0"/>
                    <w:snapToGrid w:val="0"/>
                    <w:spacing w:before="48" w:beforeLines="15" w:after="48" w:afterLines="15" w:line="240" w:lineRule="auto"/>
                    <w:jc w:val="both"/>
                    <w:textAlignment w:val="baseline"/>
                    <w:rPr>
                      <w:rFonts w:hint="default" w:ascii="Times New Roman" w:hAnsi="Times New Roman" w:eastAsia="宋体" w:cs="Times New Roman"/>
                      <w:b w:val="0"/>
                      <w:bCs w:val="0"/>
                      <w:snapToGrid w:val="0"/>
                      <w:color w:val="auto"/>
                      <w:sz w:val="21"/>
                      <w:szCs w:val="21"/>
                      <w:highlight w:val="none"/>
                      <w:u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u w:val="none"/>
                      <w:vertAlign w:val="baseline"/>
                      <w:lang w:val="en-US" w:eastAsia="zh-CN"/>
                    </w:rPr>
                    <w:t>①排气筒未高出周围200m半径范围的建筑5m以上，故排放速率严格50%执行</w:t>
                  </w:r>
                </w:p>
              </w:tc>
            </w:tr>
          </w:tbl>
          <w:p w14:paraId="095F0785">
            <w:pPr>
              <w:pStyle w:val="35"/>
              <w:ind w:left="0" w:leftChars="0" w:firstLine="0" w:firstLineChars="0"/>
              <w:rPr>
                <w:rFonts w:hint="default"/>
                <w:color w:val="auto"/>
                <w:vertAlign w:val="baseline"/>
              </w:rPr>
            </w:pPr>
          </w:p>
        </w:tc>
      </w:tr>
    </w:tbl>
    <w:p w14:paraId="67A6800F">
      <w:pPr>
        <w:pStyle w:val="35"/>
        <w:rPr>
          <w:rFonts w:hint="default"/>
          <w:color w:val="auto"/>
        </w:rPr>
        <w:sectPr>
          <w:pgSz w:w="11907" w:h="16840"/>
          <w:pgMar w:top="1440" w:right="1800" w:bottom="1440" w:left="1800" w:header="851" w:footer="851" w:gutter="0"/>
          <w:pgNumType w:fmt="decimal"/>
          <w:cols w:space="720" w:num="1"/>
          <w:docGrid w:linePitch="312" w:charSpace="0"/>
        </w:sectPr>
      </w:pPr>
    </w:p>
    <w:p w14:paraId="3E9279F7">
      <w:pPr>
        <w:pStyle w:val="25"/>
        <w:keepNext w:val="0"/>
        <w:keepLines w:val="0"/>
        <w:pageBreakBefore w:val="0"/>
        <w:widowControl/>
        <w:kinsoku/>
        <w:wordWrap/>
        <w:overflowPunct/>
        <w:topLinePunct w:val="0"/>
        <w:autoSpaceDE/>
        <w:autoSpaceDN/>
        <w:bidi w:val="0"/>
        <w:adjustRightInd/>
        <w:snapToGrid/>
        <w:spacing w:before="95" w:beforeLines="30" w:beforeAutospacing="0" w:after="95" w:afterLines="3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55" w:name="_Toc27965"/>
      <w:bookmarkStart w:id="56" w:name="_Toc491"/>
      <w:bookmarkStart w:id="57" w:name="_Toc5411"/>
      <w:r>
        <w:rPr>
          <w:rFonts w:hint="default" w:ascii="Times New Roman" w:hAnsi="Times New Roman" w:eastAsia="宋体" w:cs="Times New Roman"/>
          <w:snapToGrid w:val="0"/>
          <w:color w:val="auto"/>
          <w:sz w:val="30"/>
          <w:szCs w:val="30"/>
          <w:highlight w:val="none"/>
        </w:rPr>
        <w:t>五、</w:t>
      </w:r>
      <w:bookmarkStart w:id="58" w:name="_Hlk54167917"/>
      <w:r>
        <w:rPr>
          <w:rFonts w:hint="default" w:ascii="Times New Roman" w:hAnsi="Times New Roman" w:eastAsia="宋体" w:cs="Times New Roman"/>
          <w:snapToGrid w:val="0"/>
          <w:color w:val="auto"/>
          <w:sz w:val="30"/>
          <w:szCs w:val="30"/>
          <w:highlight w:val="none"/>
        </w:rPr>
        <w:t>环境保护措施监督检查清单</w:t>
      </w:r>
      <w:bookmarkEnd w:id="55"/>
      <w:bookmarkEnd w:id="56"/>
      <w:bookmarkEnd w:id="57"/>
      <w:bookmarkEnd w:id="58"/>
    </w:p>
    <w:tbl>
      <w:tblPr>
        <w:tblStyle w:val="28"/>
        <w:tblW w:w="52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734"/>
        <w:gridCol w:w="1438"/>
        <w:gridCol w:w="1755"/>
        <w:gridCol w:w="2684"/>
      </w:tblGrid>
      <w:tr w14:paraId="0C21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pct"/>
            <w:tcBorders>
              <w:tl2br w:val="single" w:color="auto" w:sz="4" w:space="0"/>
            </w:tcBorders>
            <w:noWrap w:val="0"/>
            <w:vAlign w:val="top"/>
          </w:tcPr>
          <w:p w14:paraId="7BB273CB">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480" w:firstLineChars="200"/>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内容</w:t>
            </w:r>
          </w:p>
          <w:p w14:paraId="0232057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要素</w:t>
            </w:r>
          </w:p>
        </w:tc>
        <w:tc>
          <w:tcPr>
            <w:tcW w:w="976" w:type="pct"/>
            <w:noWrap w:val="0"/>
            <w:vAlign w:val="center"/>
          </w:tcPr>
          <w:p w14:paraId="429E586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排放口</w:t>
            </w:r>
            <w:r>
              <w:rPr>
                <w:rFonts w:hint="default"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编号、名称</w:t>
            </w:r>
            <w:r>
              <w:rPr>
                <w:rFonts w:hint="default"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/污染源</w:t>
            </w:r>
          </w:p>
        </w:tc>
        <w:tc>
          <w:tcPr>
            <w:tcW w:w="809" w:type="pct"/>
            <w:noWrap w:val="0"/>
            <w:vAlign w:val="center"/>
          </w:tcPr>
          <w:p w14:paraId="40C8FA8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污染物项目</w:t>
            </w:r>
          </w:p>
        </w:tc>
        <w:tc>
          <w:tcPr>
            <w:tcW w:w="988" w:type="pct"/>
            <w:noWrap w:val="0"/>
            <w:vAlign w:val="center"/>
          </w:tcPr>
          <w:p w14:paraId="6C305D9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环境保护措施</w:t>
            </w:r>
          </w:p>
        </w:tc>
        <w:tc>
          <w:tcPr>
            <w:tcW w:w="1511" w:type="pct"/>
            <w:noWrap w:val="0"/>
            <w:vAlign w:val="center"/>
          </w:tcPr>
          <w:p w14:paraId="56A0016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执行标准</w:t>
            </w:r>
          </w:p>
        </w:tc>
      </w:tr>
      <w:tr w14:paraId="0D79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13" w:type="pct"/>
            <w:vMerge w:val="restart"/>
            <w:noWrap w:val="0"/>
            <w:vAlign w:val="center"/>
          </w:tcPr>
          <w:p w14:paraId="0290B42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大气环境</w:t>
            </w:r>
          </w:p>
        </w:tc>
        <w:tc>
          <w:tcPr>
            <w:tcW w:w="976" w:type="pct"/>
            <w:noWrap w:val="0"/>
            <w:vAlign w:val="center"/>
          </w:tcPr>
          <w:p w14:paraId="7ADDE23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DA001</w:t>
            </w:r>
            <w:r>
              <w:rPr>
                <w:rFonts w:hint="default" w:ascii="Times New Roman" w:hAnsi="Times New Roman" w:eastAsia="宋体" w:cs="Times New Roman"/>
                <w:b w:val="0"/>
                <w:bCs w:val="0"/>
                <w:color w:val="auto"/>
                <w:sz w:val="24"/>
                <w:szCs w:val="24"/>
                <w:highlight w:val="none"/>
                <w:u w:val="none"/>
                <w:lang w:val="en-US" w:eastAsia="zh-CN"/>
              </w:rPr>
              <w:t>废气排放口</w:t>
            </w:r>
          </w:p>
        </w:tc>
        <w:tc>
          <w:tcPr>
            <w:tcW w:w="809" w:type="pct"/>
            <w:noWrap w:val="0"/>
            <w:vAlign w:val="center"/>
          </w:tcPr>
          <w:p w14:paraId="2E51B4F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颗粒物</w:t>
            </w:r>
          </w:p>
        </w:tc>
        <w:tc>
          <w:tcPr>
            <w:tcW w:w="988" w:type="pct"/>
            <w:noWrap w:val="0"/>
            <w:vAlign w:val="center"/>
          </w:tcPr>
          <w:p w14:paraId="4231FDB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集气装置</w:t>
            </w:r>
            <w:r>
              <w:rPr>
                <w:rFonts w:hint="default" w:ascii="Times New Roman" w:hAnsi="Times New Roman" w:eastAsia="宋体" w:cs="Times New Roman"/>
                <w:b w:val="0"/>
                <w:bCs w:val="0"/>
                <w:color w:val="auto"/>
                <w:sz w:val="24"/>
                <w:szCs w:val="24"/>
                <w:highlight w:val="none"/>
                <w:u w:val="none"/>
                <w:lang w:val="en-US" w:eastAsia="zh-CN"/>
              </w:rPr>
              <w:t>+</w:t>
            </w:r>
            <w:r>
              <w:rPr>
                <w:rFonts w:hint="eastAsia" w:cs="Times New Roman"/>
                <w:b w:val="0"/>
                <w:bCs w:val="0"/>
                <w:color w:val="auto"/>
                <w:sz w:val="24"/>
                <w:szCs w:val="24"/>
                <w:highlight w:val="none"/>
                <w:u w:val="none"/>
                <w:lang w:val="en-US" w:eastAsia="zh-CN"/>
              </w:rPr>
              <w:t>袋式除尘</w:t>
            </w:r>
            <w:r>
              <w:rPr>
                <w:rFonts w:hint="default" w:ascii="Times New Roman" w:hAnsi="Times New Roman" w:eastAsia="宋体" w:cs="Times New Roman"/>
                <w:b w:val="0"/>
                <w:bCs w:val="0"/>
                <w:color w:val="auto"/>
                <w:sz w:val="24"/>
                <w:szCs w:val="24"/>
                <w:highlight w:val="none"/>
                <w:u w:val="none"/>
                <w:lang w:val="en-US" w:eastAsia="zh-CN"/>
              </w:rPr>
              <w:t>器+15m排气筒（DA001）</w:t>
            </w:r>
          </w:p>
        </w:tc>
        <w:tc>
          <w:tcPr>
            <w:tcW w:w="1511" w:type="pct"/>
            <w:vMerge w:val="restart"/>
            <w:noWrap w:val="0"/>
            <w:vAlign w:val="center"/>
          </w:tcPr>
          <w:p w14:paraId="5E01046B">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《大气污染物综合排放标准》（GB16297-1996）</w:t>
            </w:r>
            <w:r>
              <w:rPr>
                <w:rFonts w:hint="eastAsia" w:cs="Times New Roman"/>
                <w:b w:val="0"/>
                <w:bCs w:val="0"/>
                <w:color w:val="auto"/>
                <w:sz w:val="24"/>
                <w:szCs w:val="24"/>
                <w:highlight w:val="none"/>
                <w:u w:val="none"/>
                <w:lang w:val="en-US" w:eastAsia="zh-CN"/>
              </w:rPr>
              <w:t>、河南省重污染天气通用行业应急减排措施制定技术指南（2024年修订版）》通用企业绩效引领性指标及《关于全省开展工业企业挥发性有机物专项治理工作中排放建议值的通知》（豫环攻坚办〔2017〕162号）</w:t>
            </w:r>
          </w:p>
        </w:tc>
      </w:tr>
      <w:tr w14:paraId="3A4B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713" w:type="pct"/>
            <w:vMerge w:val="continue"/>
            <w:noWrap w:val="0"/>
            <w:vAlign w:val="center"/>
          </w:tcPr>
          <w:p w14:paraId="5DFB9977">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p>
        </w:tc>
        <w:tc>
          <w:tcPr>
            <w:tcW w:w="976" w:type="pct"/>
            <w:noWrap w:val="0"/>
            <w:vAlign w:val="center"/>
          </w:tcPr>
          <w:p w14:paraId="54E3EB4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DA002</w:t>
            </w:r>
            <w:r>
              <w:rPr>
                <w:rFonts w:hint="default" w:ascii="Times New Roman" w:hAnsi="Times New Roman" w:eastAsia="宋体" w:cs="Times New Roman"/>
                <w:b w:val="0"/>
                <w:bCs w:val="0"/>
                <w:color w:val="auto"/>
                <w:sz w:val="24"/>
                <w:szCs w:val="24"/>
                <w:highlight w:val="none"/>
                <w:u w:val="none"/>
                <w:lang w:val="en-US" w:eastAsia="zh-CN"/>
              </w:rPr>
              <w:t>废气排放口</w:t>
            </w:r>
          </w:p>
        </w:tc>
        <w:tc>
          <w:tcPr>
            <w:tcW w:w="809" w:type="pct"/>
            <w:noWrap w:val="0"/>
            <w:vAlign w:val="center"/>
          </w:tcPr>
          <w:p w14:paraId="3478E4E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eastAsia"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非甲烷总烃</w:t>
            </w:r>
          </w:p>
        </w:tc>
        <w:tc>
          <w:tcPr>
            <w:tcW w:w="988" w:type="pct"/>
            <w:noWrap w:val="0"/>
            <w:vAlign w:val="center"/>
          </w:tcPr>
          <w:p w14:paraId="6A7A85C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eastAsia" w:ascii="Times New Roman" w:hAnsi="Times New Roman" w:eastAsia="宋体"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负压收集</w:t>
            </w:r>
            <w:r>
              <w:rPr>
                <w:rFonts w:hint="eastAsia" w:ascii="Times New Roman" w:hAnsi="Times New Roman" w:eastAsia="宋体" w:cs="Times New Roman"/>
                <w:b w:val="0"/>
                <w:bCs w:val="0"/>
                <w:color w:val="auto"/>
                <w:sz w:val="24"/>
                <w:szCs w:val="24"/>
                <w:highlight w:val="none"/>
                <w:u w:val="none"/>
                <w:lang w:val="en-US" w:eastAsia="zh-CN"/>
              </w:rPr>
              <w:t>+</w:t>
            </w:r>
            <w:r>
              <w:rPr>
                <w:rFonts w:hint="eastAsia" w:cs="Times New Roman"/>
                <w:b w:val="0"/>
                <w:bCs w:val="0"/>
                <w:color w:val="auto"/>
                <w:sz w:val="24"/>
                <w:szCs w:val="24"/>
                <w:highlight w:val="none"/>
                <w:u w:val="none"/>
                <w:lang w:val="en-US" w:eastAsia="zh-CN"/>
              </w:rPr>
              <w:t>活性炭+分子筛吸附</w:t>
            </w:r>
            <w:r>
              <w:rPr>
                <w:rFonts w:hint="eastAsia" w:ascii="Times New Roman" w:hAnsi="Times New Roman" w:eastAsia="宋体" w:cs="Times New Roman"/>
                <w:b w:val="0"/>
                <w:bCs w:val="0"/>
                <w:color w:val="auto"/>
                <w:sz w:val="24"/>
                <w:szCs w:val="24"/>
                <w:highlight w:val="none"/>
                <w:u w:val="none"/>
                <w:lang w:val="en-US" w:eastAsia="zh-CN"/>
              </w:rPr>
              <w:t>+15m排气筒（DA002）</w:t>
            </w:r>
          </w:p>
        </w:tc>
        <w:tc>
          <w:tcPr>
            <w:tcW w:w="1511" w:type="pct"/>
            <w:vMerge w:val="continue"/>
            <w:noWrap w:val="0"/>
            <w:vAlign w:val="center"/>
          </w:tcPr>
          <w:p w14:paraId="1127642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p>
        </w:tc>
      </w:tr>
      <w:tr w14:paraId="3A68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pct"/>
            <w:vMerge w:val="continue"/>
            <w:noWrap w:val="0"/>
            <w:vAlign w:val="center"/>
          </w:tcPr>
          <w:p w14:paraId="2D82AD6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p>
        </w:tc>
        <w:tc>
          <w:tcPr>
            <w:tcW w:w="976" w:type="pct"/>
            <w:noWrap w:val="0"/>
            <w:vAlign w:val="center"/>
          </w:tcPr>
          <w:p w14:paraId="01408427">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厂界</w:t>
            </w:r>
          </w:p>
        </w:tc>
        <w:tc>
          <w:tcPr>
            <w:tcW w:w="809" w:type="pct"/>
            <w:noWrap w:val="0"/>
            <w:vAlign w:val="center"/>
          </w:tcPr>
          <w:p w14:paraId="5E8144C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颗粒物、非甲烷总烃</w:t>
            </w:r>
          </w:p>
        </w:tc>
        <w:tc>
          <w:tcPr>
            <w:tcW w:w="988" w:type="pct"/>
            <w:noWrap w:val="0"/>
            <w:vAlign w:val="center"/>
          </w:tcPr>
          <w:p w14:paraId="1210471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车间密闭，定期清扫</w:t>
            </w:r>
          </w:p>
        </w:tc>
        <w:tc>
          <w:tcPr>
            <w:tcW w:w="1511" w:type="pct"/>
            <w:vMerge w:val="continue"/>
            <w:noWrap w:val="0"/>
            <w:vAlign w:val="center"/>
          </w:tcPr>
          <w:p w14:paraId="3FBF4A9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p>
        </w:tc>
      </w:tr>
      <w:tr w14:paraId="0934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13" w:type="pct"/>
            <w:noWrap w:val="0"/>
            <w:vAlign w:val="center"/>
          </w:tcPr>
          <w:p w14:paraId="2EBB091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地表水</w:t>
            </w:r>
            <w:r>
              <w:rPr>
                <w:rFonts w:hint="default" w:ascii="Times New Roman" w:hAnsi="Times New Roman" w:eastAsia="宋体" w:cs="Times New Roman"/>
                <w:b w:val="0"/>
                <w:bCs w:val="0"/>
                <w:color w:val="auto"/>
                <w:sz w:val="24"/>
                <w:szCs w:val="24"/>
                <w:highlight w:val="none"/>
                <w:u w:val="none"/>
                <w:lang w:val="en-US" w:eastAsia="zh-CN"/>
              </w:rPr>
              <w:t xml:space="preserve">  </w:t>
            </w:r>
            <w:r>
              <w:rPr>
                <w:rFonts w:hint="default" w:ascii="Times New Roman" w:hAnsi="Times New Roman" w:eastAsia="宋体" w:cs="Times New Roman"/>
                <w:b w:val="0"/>
                <w:bCs w:val="0"/>
                <w:color w:val="auto"/>
                <w:sz w:val="24"/>
                <w:szCs w:val="24"/>
                <w:highlight w:val="none"/>
                <w:u w:val="none"/>
              </w:rPr>
              <w:t>环境</w:t>
            </w:r>
          </w:p>
        </w:tc>
        <w:tc>
          <w:tcPr>
            <w:tcW w:w="976" w:type="pct"/>
            <w:noWrap w:val="0"/>
            <w:vAlign w:val="center"/>
          </w:tcPr>
          <w:p w14:paraId="55578F1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生活污水</w:t>
            </w:r>
          </w:p>
        </w:tc>
        <w:tc>
          <w:tcPr>
            <w:tcW w:w="809" w:type="pct"/>
            <w:noWrap w:val="0"/>
            <w:vAlign w:val="center"/>
          </w:tcPr>
          <w:p w14:paraId="67FDA9B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pH、COD、BOD</w:t>
            </w:r>
            <w:r>
              <w:rPr>
                <w:rFonts w:hint="default" w:ascii="Times New Roman" w:hAnsi="Times New Roman" w:eastAsia="宋体" w:cs="Times New Roman"/>
                <w:b w:val="0"/>
                <w:bCs w:val="0"/>
                <w:color w:val="auto"/>
                <w:sz w:val="24"/>
                <w:szCs w:val="24"/>
                <w:highlight w:val="none"/>
                <w:u w:val="none"/>
                <w:vertAlign w:val="subscript"/>
                <w:lang w:val="en-US" w:eastAsia="zh-CN"/>
              </w:rPr>
              <w:t>5</w:t>
            </w:r>
            <w:r>
              <w:rPr>
                <w:rFonts w:hint="default" w:ascii="Times New Roman" w:hAnsi="Times New Roman" w:eastAsia="宋体" w:cs="Times New Roman"/>
                <w:b w:val="0"/>
                <w:bCs w:val="0"/>
                <w:color w:val="auto"/>
                <w:sz w:val="24"/>
                <w:szCs w:val="24"/>
                <w:highlight w:val="none"/>
                <w:u w:val="none"/>
                <w:lang w:val="en-US" w:eastAsia="zh-CN"/>
              </w:rPr>
              <w:t>、氨氮、SS</w:t>
            </w:r>
          </w:p>
        </w:tc>
        <w:tc>
          <w:tcPr>
            <w:tcW w:w="988" w:type="pct"/>
            <w:noWrap w:val="0"/>
            <w:vAlign w:val="center"/>
          </w:tcPr>
          <w:p w14:paraId="17D19B83">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化粪池</w:t>
            </w:r>
          </w:p>
        </w:tc>
        <w:tc>
          <w:tcPr>
            <w:tcW w:w="1511" w:type="pct"/>
            <w:noWrap w:val="0"/>
            <w:vAlign w:val="center"/>
          </w:tcPr>
          <w:p w14:paraId="5F37851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《污水综合排放标准》（GB8978-1996）表4三级标准及清丰中州水务有限公司第二污水处理厂进水水质</w:t>
            </w:r>
          </w:p>
        </w:tc>
      </w:tr>
      <w:tr w14:paraId="7873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13" w:type="pct"/>
            <w:noWrap w:val="0"/>
            <w:vAlign w:val="center"/>
          </w:tcPr>
          <w:p w14:paraId="555BCD7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声环境</w:t>
            </w:r>
          </w:p>
        </w:tc>
        <w:tc>
          <w:tcPr>
            <w:tcW w:w="976" w:type="pct"/>
            <w:noWrap w:val="0"/>
            <w:vAlign w:val="center"/>
          </w:tcPr>
          <w:p w14:paraId="649CC6B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lang w:val="en-US" w:eastAsia="zh-CN"/>
              </w:rPr>
              <w:t>设备运行</w:t>
            </w:r>
          </w:p>
        </w:tc>
        <w:tc>
          <w:tcPr>
            <w:tcW w:w="809" w:type="pct"/>
            <w:noWrap w:val="0"/>
            <w:vAlign w:val="center"/>
          </w:tcPr>
          <w:p w14:paraId="28E8557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eastAsia="zh-CN"/>
              </w:rPr>
            </w:pPr>
            <w:r>
              <w:rPr>
                <w:rFonts w:hint="default" w:ascii="Times New Roman" w:hAnsi="Times New Roman" w:cs="Times New Roman"/>
                <w:b w:val="0"/>
                <w:bCs w:val="0"/>
                <w:color w:val="auto"/>
                <w:sz w:val="24"/>
                <w:szCs w:val="24"/>
                <w:highlight w:val="none"/>
                <w:u w:val="none"/>
                <w:lang w:val="en-US" w:eastAsia="zh-CN"/>
              </w:rPr>
              <w:t>厂界</w:t>
            </w:r>
            <w:r>
              <w:rPr>
                <w:rFonts w:hint="default" w:ascii="Times New Roman" w:hAnsi="Times New Roman" w:eastAsia="宋体" w:cs="Times New Roman"/>
                <w:b w:val="0"/>
                <w:bCs w:val="0"/>
                <w:color w:val="auto"/>
                <w:sz w:val="24"/>
                <w:szCs w:val="24"/>
                <w:highlight w:val="none"/>
                <w:u w:val="none"/>
                <w:lang w:eastAsia="zh-CN"/>
              </w:rPr>
              <w:t>噪声</w:t>
            </w:r>
          </w:p>
        </w:tc>
        <w:tc>
          <w:tcPr>
            <w:tcW w:w="988" w:type="pct"/>
            <w:noWrap w:val="0"/>
            <w:vAlign w:val="center"/>
          </w:tcPr>
          <w:p w14:paraId="1A3449A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加强管理、安装减振垫、墙体隔离、距离衰减</w:t>
            </w:r>
          </w:p>
        </w:tc>
        <w:tc>
          <w:tcPr>
            <w:tcW w:w="1511" w:type="pct"/>
            <w:noWrap w:val="0"/>
            <w:vAlign w:val="center"/>
          </w:tcPr>
          <w:p w14:paraId="733E385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《工业企业厂界噪声排放标准》（GB12348-2008）</w:t>
            </w:r>
            <w:r>
              <w:rPr>
                <w:rFonts w:hint="eastAsia" w:cs="Times New Roman"/>
                <w:b w:val="0"/>
                <w:bCs w:val="0"/>
                <w:color w:val="auto"/>
                <w:sz w:val="24"/>
                <w:szCs w:val="24"/>
                <w:highlight w:val="none"/>
                <w:u w:val="none"/>
                <w:lang w:val="en-US" w:eastAsia="zh-CN"/>
              </w:rPr>
              <w:t>3</w:t>
            </w:r>
            <w:r>
              <w:rPr>
                <w:rFonts w:hint="default" w:ascii="Times New Roman" w:hAnsi="Times New Roman" w:eastAsia="宋体" w:cs="Times New Roman"/>
                <w:b w:val="0"/>
                <w:bCs w:val="0"/>
                <w:color w:val="auto"/>
                <w:sz w:val="24"/>
                <w:szCs w:val="24"/>
                <w:highlight w:val="none"/>
                <w:u w:val="none"/>
              </w:rPr>
              <w:t>类</w:t>
            </w:r>
          </w:p>
        </w:tc>
      </w:tr>
      <w:tr w14:paraId="637B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pct"/>
            <w:noWrap w:val="0"/>
            <w:vAlign w:val="center"/>
          </w:tcPr>
          <w:p w14:paraId="0B82C2F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电磁辐射</w:t>
            </w:r>
          </w:p>
        </w:tc>
        <w:tc>
          <w:tcPr>
            <w:tcW w:w="4286" w:type="pct"/>
            <w:gridSpan w:val="4"/>
            <w:noWrap w:val="0"/>
            <w:vAlign w:val="center"/>
          </w:tcPr>
          <w:p w14:paraId="2AD05D3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w:t>
            </w:r>
          </w:p>
        </w:tc>
      </w:tr>
      <w:tr w14:paraId="0CDF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pct"/>
            <w:noWrap w:val="0"/>
            <w:vAlign w:val="center"/>
          </w:tcPr>
          <w:p w14:paraId="3D89CCF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固体废物</w:t>
            </w:r>
          </w:p>
        </w:tc>
        <w:tc>
          <w:tcPr>
            <w:tcW w:w="4286" w:type="pct"/>
            <w:gridSpan w:val="4"/>
            <w:noWrap w:val="0"/>
            <w:vAlign w:val="center"/>
          </w:tcPr>
          <w:p w14:paraId="44E4A63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一般工业固废主要为</w:t>
            </w:r>
            <w:r>
              <w:rPr>
                <w:rFonts w:hint="eastAsia"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废边角料、</w:t>
            </w:r>
            <w:r>
              <w:rPr>
                <w:rFonts w:hint="eastAsia" w:cs="Times New Roman"/>
                <w:b w:val="0"/>
                <w:bCs w:val="0"/>
                <w:color w:val="auto"/>
                <w:sz w:val="24"/>
                <w:szCs w:val="24"/>
                <w:highlight w:val="none"/>
                <w:u w:val="none"/>
                <w:lang w:val="en-US" w:eastAsia="zh-CN"/>
              </w:rPr>
              <w:t>废焊材、集尘灰</w:t>
            </w:r>
            <w:r>
              <w:rPr>
                <w:rFonts w:hint="default" w:ascii="Times New Roman" w:hAnsi="Times New Roman" w:eastAsia="宋体" w:cs="Times New Roman"/>
                <w:b w:val="0"/>
                <w:bCs w:val="0"/>
                <w:color w:val="auto"/>
                <w:sz w:val="24"/>
                <w:szCs w:val="24"/>
                <w:highlight w:val="none"/>
                <w:u w:val="none"/>
                <w:lang w:val="en-US" w:eastAsia="zh-CN"/>
              </w:rPr>
              <w:t>、除尘器废布袋收集后外售废品回收站。</w:t>
            </w:r>
          </w:p>
          <w:p w14:paraId="6801E25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危险废物主要为</w:t>
            </w:r>
            <w:r>
              <w:rPr>
                <w:rFonts w:hint="eastAsia" w:cs="Times New Roman"/>
                <w:b w:val="0"/>
                <w:bCs w:val="0"/>
                <w:color w:val="auto"/>
                <w:sz w:val="24"/>
                <w:szCs w:val="24"/>
                <w:highlight w:val="none"/>
                <w:u w:val="none"/>
                <w:lang w:val="en-US" w:eastAsia="zh-CN"/>
              </w:rPr>
              <w:t>废防锈油、</w:t>
            </w:r>
            <w:r>
              <w:rPr>
                <w:rFonts w:hint="default" w:ascii="Times New Roman" w:hAnsi="Times New Roman" w:eastAsia="宋体" w:cs="Times New Roman"/>
                <w:b w:val="0"/>
                <w:bCs w:val="0"/>
                <w:color w:val="auto"/>
                <w:sz w:val="24"/>
                <w:szCs w:val="24"/>
                <w:highlight w:val="none"/>
                <w:u w:val="none"/>
                <w:lang w:val="en-US" w:eastAsia="zh-CN"/>
              </w:rPr>
              <w:t>废切削液、</w:t>
            </w:r>
            <w:r>
              <w:rPr>
                <w:rFonts w:hint="eastAsia" w:ascii="Times New Roman" w:hAnsi="Times New Roman" w:eastAsia="宋体" w:cs="Times New Roman"/>
                <w:b w:val="0"/>
                <w:bCs w:val="0"/>
                <w:color w:val="auto"/>
                <w:sz w:val="24"/>
                <w:szCs w:val="24"/>
                <w:highlight w:val="none"/>
                <w:u w:val="none"/>
                <w:lang w:val="en-US" w:eastAsia="zh-CN"/>
              </w:rPr>
              <w:t>废机油、</w:t>
            </w:r>
            <w:r>
              <w:rPr>
                <w:rFonts w:hint="default" w:ascii="Times New Roman" w:hAnsi="Times New Roman" w:eastAsia="宋体" w:cs="Times New Roman"/>
                <w:b w:val="0"/>
                <w:bCs w:val="0"/>
                <w:color w:val="auto"/>
                <w:sz w:val="24"/>
                <w:szCs w:val="24"/>
                <w:highlight w:val="none"/>
                <w:u w:val="none"/>
                <w:lang w:val="en-US" w:eastAsia="zh-CN"/>
              </w:rPr>
              <w:t>废包装桶、废活性炭、</w:t>
            </w:r>
            <w:r>
              <w:rPr>
                <w:rFonts w:hint="eastAsia" w:cs="Times New Roman"/>
                <w:b w:val="0"/>
                <w:bCs w:val="0"/>
                <w:color w:val="auto"/>
                <w:sz w:val="24"/>
                <w:szCs w:val="24"/>
                <w:highlight w:val="none"/>
                <w:u w:val="none"/>
                <w:lang w:val="en-US" w:eastAsia="zh-CN"/>
              </w:rPr>
              <w:t>废分子筛</w:t>
            </w:r>
            <w:r>
              <w:rPr>
                <w:rFonts w:hint="default" w:ascii="Times New Roman" w:hAnsi="Times New Roman" w:eastAsia="宋体" w:cs="Times New Roman"/>
                <w:b w:val="0"/>
                <w:bCs w:val="0"/>
                <w:color w:val="auto"/>
                <w:sz w:val="24"/>
                <w:szCs w:val="24"/>
                <w:highlight w:val="none"/>
                <w:u w:val="none"/>
                <w:lang w:val="en-US" w:eastAsia="zh-CN"/>
              </w:rPr>
              <w:t>。收集后暂存于危险废物暂存间，定期交有资质单位处置。</w:t>
            </w:r>
          </w:p>
          <w:p w14:paraId="349DD447">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生活垃圾收集后运至垃圾中转站，交当地环卫部门统一处理。</w:t>
            </w:r>
          </w:p>
        </w:tc>
      </w:tr>
      <w:tr w14:paraId="0CB9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713" w:type="pct"/>
            <w:noWrap w:val="0"/>
            <w:vAlign w:val="center"/>
          </w:tcPr>
          <w:p w14:paraId="3D0E2AD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土壤及地下水污染防治措施</w:t>
            </w:r>
          </w:p>
        </w:tc>
        <w:tc>
          <w:tcPr>
            <w:tcW w:w="4286" w:type="pct"/>
            <w:gridSpan w:val="4"/>
            <w:noWrap w:val="0"/>
            <w:vAlign w:val="center"/>
          </w:tcPr>
          <w:p w14:paraId="09C66E9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项目化粪池、危废间均采取相应的防渗措施，车间地面硬化，避免了各类废物和土壤的直接接触，减少了各类废物进入土壤环境的机率</w:t>
            </w:r>
          </w:p>
        </w:tc>
      </w:tr>
      <w:tr w14:paraId="2F2B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713" w:type="pct"/>
            <w:noWrap w:val="0"/>
            <w:vAlign w:val="center"/>
          </w:tcPr>
          <w:p w14:paraId="33CAB44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生态保护</w:t>
            </w:r>
            <w:r>
              <w:rPr>
                <w:rFonts w:hint="default" w:ascii="Times New Roman" w:hAnsi="Times New Roman" w:eastAsia="宋体" w:cs="Times New Roman"/>
                <w:b w:val="0"/>
                <w:bCs w:val="0"/>
                <w:color w:val="auto"/>
                <w:sz w:val="24"/>
                <w:szCs w:val="24"/>
                <w:highlight w:val="none"/>
                <w:u w:val="none"/>
                <w:lang w:val="en-US" w:eastAsia="zh-CN"/>
              </w:rPr>
              <w:t xml:space="preserve">  </w:t>
            </w:r>
            <w:r>
              <w:rPr>
                <w:rFonts w:hint="default" w:ascii="Times New Roman" w:hAnsi="Times New Roman" w:eastAsia="宋体" w:cs="Times New Roman"/>
                <w:b w:val="0"/>
                <w:bCs w:val="0"/>
                <w:color w:val="auto"/>
                <w:sz w:val="24"/>
                <w:szCs w:val="24"/>
                <w:highlight w:val="none"/>
                <w:u w:val="none"/>
              </w:rPr>
              <w:t>措施</w:t>
            </w:r>
          </w:p>
        </w:tc>
        <w:tc>
          <w:tcPr>
            <w:tcW w:w="4286" w:type="pct"/>
            <w:gridSpan w:val="4"/>
            <w:noWrap w:val="0"/>
            <w:vAlign w:val="center"/>
          </w:tcPr>
          <w:p w14:paraId="6F034E6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w:t>
            </w:r>
          </w:p>
        </w:tc>
      </w:tr>
      <w:tr w14:paraId="0EE2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pct"/>
            <w:noWrap w:val="0"/>
            <w:vAlign w:val="center"/>
          </w:tcPr>
          <w:p w14:paraId="146B758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pacing w:val="-8"/>
                <w:sz w:val="24"/>
                <w:szCs w:val="24"/>
                <w:highlight w:val="none"/>
                <w:u w:val="none"/>
              </w:rPr>
            </w:pPr>
            <w:r>
              <w:rPr>
                <w:rFonts w:hint="default" w:ascii="Times New Roman" w:hAnsi="Times New Roman" w:eastAsia="宋体" w:cs="Times New Roman"/>
                <w:b w:val="0"/>
                <w:bCs w:val="0"/>
                <w:color w:val="auto"/>
                <w:spacing w:val="-8"/>
                <w:sz w:val="24"/>
                <w:szCs w:val="24"/>
                <w:highlight w:val="none"/>
                <w:u w:val="none"/>
              </w:rPr>
              <w:t>环境风险</w:t>
            </w:r>
            <w:r>
              <w:rPr>
                <w:rFonts w:hint="default" w:ascii="Times New Roman" w:hAnsi="Times New Roman" w:eastAsia="宋体" w:cs="Times New Roman"/>
                <w:b w:val="0"/>
                <w:bCs w:val="0"/>
                <w:color w:val="auto"/>
                <w:spacing w:val="-8"/>
                <w:sz w:val="24"/>
                <w:szCs w:val="24"/>
                <w:highlight w:val="none"/>
                <w:u w:val="none"/>
                <w:lang w:val="en-US" w:eastAsia="zh-CN"/>
              </w:rPr>
              <w:t xml:space="preserve">   </w:t>
            </w:r>
            <w:r>
              <w:rPr>
                <w:rFonts w:hint="default" w:ascii="Times New Roman" w:hAnsi="Times New Roman" w:eastAsia="宋体" w:cs="Times New Roman"/>
                <w:b w:val="0"/>
                <w:bCs w:val="0"/>
                <w:color w:val="auto"/>
                <w:spacing w:val="-8"/>
                <w:sz w:val="24"/>
                <w:szCs w:val="24"/>
                <w:highlight w:val="none"/>
                <w:u w:val="none"/>
              </w:rPr>
              <w:t>防范措施</w:t>
            </w:r>
          </w:p>
        </w:tc>
        <w:tc>
          <w:tcPr>
            <w:tcW w:w="4286" w:type="pct"/>
            <w:gridSpan w:val="4"/>
            <w:noWrap w:val="0"/>
            <w:vAlign w:val="center"/>
          </w:tcPr>
          <w:p w14:paraId="5A610EE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①加强对工人的安全生产和环境保护教育及管理，特别是危险岗位的操作工，必须按规定经过安全操作的技术培训，取得合格证后才能上岗。</w:t>
            </w:r>
          </w:p>
          <w:p w14:paraId="786EEB3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②项目各建（构）筑物间距满足消防安全要求；车间及库房等建筑的防火等级基本满足消防的有关规定。</w:t>
            </w:r>
          </w:p>
        </w:tc>
      </w:tr>
      <w:tr w14:paraId="4DF6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713" w:type="pct"/>
            <w:noWrap w:val="0"/>
            <w:vAlign w:val="center"/>
          </w:tcPr>
          <w:p w14:paraId="1776F3CB">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pacing w:val="-8"/>
                <w:sz w:val="24"/>
                <w:szCs w:val="24"/>
                <w:highlight w:val="none"/>
                <w:u w:val="none"/>
              </w:rPr>
            </w:pPr>
            <w:r>
              <w:rPr>
                <w:rFonts w:hint="default" w:ascii="Times New Roman" w:hAnsi="Times New Roman" w:eastAsia="宋体" w:cs="Times New Roman"/>
                <w:b w:val="0"/>
                <w:bCs w:val="0"/>
                <w:color w:val="auto"/>
                <w:spacing w:val="-8"/>
                <w:sz w:val="24"/>
                <w:szCs w:val="24"/>
                <w:highlight w:val="none"/>
                <w:u w:val="none"/>
              </w:rPr>
              <w:t>其他环境</w:t>
            </w:r>
            <w:r>
              <w:rPr>
                <w:rFonts w:hint="default" w:ascii="Times New Roman" w:hAnsi="Times New Roman" w:eastAsia="宋体" w:cs="Times New Roman"/>
                <w:b w:val="0"/>
                <w:bCs w:val="0"/>
                <w:color w:val="auto"/>
                <w:spacing w:val="-8"/>
                <w:sz w:val="24"/>
                <w:szCs w:val="24"/>
                <w:highlight w:val="none"/>
                <w:u w:val="none"/>
                <w:lang w:val="en-US" w:eastAsia="zh-CN"/>
              </w:rPr>
              <w:t xml:space="preserve">    </w:t>
            </w:r>
            <w:r>
              <w:rPr>
                <w:rFonts w:hint="default" w:ascii="Times New Roman" w:hAnsi="Times New Roman" w:eastAsia="宋体" w:cs="Times New Roman"/>
                <w:b w:val="0"/>
                <w:bCs w:val="0"/>
                <w:color w:val="auto"/>
                <w:spacing w:val="-8"/>
                <w:sz w:val="24"/>
                <w:szCs w:val="24"/>
                <w:highlight w:val="none"/>
                <w:u w:val="none"/>
              </w:rPr>
              <w:t>管理要求</w:t>
            </w:r>
          </w:p>
        </w:tc>
        <w:tc>
          <w:tcPr>
            <w:tcW w:w="4286" w:type="pct"/>
            <w:gridSpan w:val="4"/>
            <w:noWrap w:val="0"/>
            <w:vAlign w:val="top"/>
          </w:tcPr>
          <w:p w14:paraId="7E803E21">
            <w:pPr>
              <w:keepNext w:val="0"/>
              <w:keepLines w:val="0"/>
              <w:pageBreakBefore w:val="0"/>
              <w:widowControl w:val="0"/>
              <w:numPr>
                <w:ilvl w:val="0"/>
                <w:numId w:val="0"/>
              </w:numPr>
              <w:kinsoku/>
              <w:wordWrap/>
              <w:overflowPunct/>
              <w:topLinePunct w:val="0"/>
              <w:autoSpaceDE/>
              <w:autoSpaceDN/>
              <w:bidi w:val="0"/>
              <w:adjustRightInd w:val="0"/>
              <w:snapToGrid w:val="0"/>
              <w:spacing w:before="95" w:beforeLines="30" w:after="95" w:afterLines="3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①环境管理制度：加强环境管理是贯彻执行环境保护法规，实现建设项目的社会、经济和环境效益的协调统一，以及企业可持续发展的重要保证。为加强环境管理，有效控制环境污染，根据本项目具体情况，建设单位应设置环保管理机构和管理人员并建立相应的环境管理体系。</w:t>
            </w:r>
          </w:p>
          <w:p w14:paraId="7F115F69">
            <w:pPr>
              <w:keepNext w:val="0"/>
              <w:keepLines w:val="0"/>
              <w:pageBreakBefore w:val="0"/>
              <w:widowControl/>
              <w:suppressLineNumbers w:val="0"/>
              <w:kinsoku/>
              <w:wordWrap/>
              <w:overflowPunct/>
              <w:topLinePunct w:val="0"/>
              <w:autoSpaceDE/>
              <w:autoSpaceDN/>
              <w:bidi w:val="0"/>
              <w:spacing w:before="95" w:beforeLines="30" w:after="95" w:afterLines="30"/>
              <w:ind w:firstLine="0" w:firstLineChars="0"/>
              <w:jc w:val="left"/>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②排污许可：</w:t>
            </w:r>
            <w:r>
              <w:rPr>
                <w:rFonts w:hint="eastAsia" w:ascii="宋体" w:hAnsi="宋体" w:eastAsia="宋体" w:cs="宋体"/>
                <w:b w:val="0"/>
                <w:bCs w:val="0"/>
                <w:color w:val="auto"/>
                <w:kern w:val="0"/>
                <w:sz w:val="24"/>
                <w:szCs w:val="24"/>
                <w:highlight w:val="none"/>
                <w:u w:val="none"/>
                <w:lang w:val="en-US" w:eastAsia="zh-CN" w:bidi="ar"/>
              </w:rPr>
              <w:t>按排污许可证规定，定期在国家排污许可证管理信息平台填报信息，编制排 污许可证执行报告，及时报送有核发权的生态环境主管部门并公开，执行报告 主要内容包括生产信息、污染防治设施运行情况、污染物按证排放情况等</w:t>
            </w:r>
            <w:r>
              <w:rPr>
                <w:rFonts w:hint="default" w:ascii="Times New Roman" w:hAnsi="Times New Roman" w:eastAsia="宋体" w:cs="Times New Roman"/>
                <w:b w:val="0"/>
                <w:bCs w:val="0"/>
                <w:color w:val="auto"/>
                <w:sz w:val="24"/>
                <w:szCs w:val="24"/>
                <w:highlight w:val="none"/>
                <w:u w:val="none"/>
                <w:lang w:val="en-US" w:eastAsia="zh-CN"/>
              </w:rPr>
              <w:t>。</w:t>
            </w:r>
          </w:p>
          <w:p w14:paraId="1345F43D">
            <w:pPr>
              <w:keepNext w:val="0"/>
              <w:keepLines w:val="0"/>
              <w:pageBreakBefore w:val="0"/>
              <w:widowControl w:val="0"/>
              <w:numPr>
                <w:ilvl w:val="0"/>
                <w:numId w:val="0"/>
              </w:numPr>
              <w:kinsoku/>
              <w:wordWrap/>
              <w:overflowPunct/>
              <w:topLinePunct w:val="0"/>
              <w:autoSpaceDE/>
              <w:autoSpaceDN/>
              <w:bidi w:val="0"/>
              <w:adjustRightInd w:val="0"/>
              <w:snapToGrid w:val="0"/>
              <w:spacing w:before="95" w:beforeLines="30" w:after="95" w:afterLines="30" w:line="240" w:lineRule="auto"/>
              <w:ind w:leftChars="0" w:firstLine="0" w:firstLineChars="0"/>
              <w:jc w:val="both"/>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③排污口规范化要求：a、废气排气筒预留监测口并设立相应标志牌；b、按照《固定源废气监测技术规范》要求设置采样口；c、废水设置排污口并设立相应标志牌d、固废暂存间应设立相应环保标识。</w:t>
            </w:r>
          </w:p>
          <w:p w14:paraId="1A435CE4">
            <w:pPr>
              <w:keepNext w:val="0"/>
              <w:keepLines w:val="0"/>
              <w:pageBreakBefore w:val="0"/>
              <w:widowControl w:val="0"/>
              <w:numPr>
                <w:ilvl w:val="0"/>
                <w:numId w:val="0"/>
              </w:numPr>
              <w:kinsoku/>
              <w:wordWrap/>
              <w:overflowPunct/>
              <w:topLinePunct w:val="0"/>
              <w:autoSpaceDE/>
              <w:autoSpaceDN/>
              <w:bidi w:val="0"/>
              <w:adjustRightInd w:val="0"/>
              <w:snapToGrid w:val="0"/>
              <w:spacing w:before="95" w:beforeLines="30" w:after="95" w:afterLines="30" w:line="240" w:lineRule="auto"/>
              <w:ind w:leftChars="0" w:firstLine="0" w:firstLineChars="0"/>
              <w:jc w:val="both"/>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④竣工验收：根据《建设项目环境保护管理条例》（国务院第682号令）要求：建设项目需要配套建设的环境保护设施，必须与主体工程同时设计、同时施工、同时投产使用。建设单位应当按照环境保护行政主管部门规定的标准和程序，对配套建设的环境保护设施进行验收，编制验收报告。</w:t>
            </w:r>
          </w:p>
          <w:p w14:paraId="2DC3E5DC">
            <w:pPr>
              <w:pStyle w:val="35"/>
              <w:ind w:left="0" w:leftChars="0" w:firstLine="0" w:firstLineChars="0"/>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br w:type="textWrapping"/>
            </w:r>
            <w:r>
              <w:rPr>
                <w:rFonts w:hint="default" w:ascii="Times New Roman" w:hAnsi="Times New Roman" w:eastAsia="宋体" w:cs="Times New Roman"/>
                <w:b w:val="0"/>
                <w:bCs w:val="0"/>
                <w:color w:val="auto"/>
                <w:sz w:val="24"/>
                <w:szCs w:val="24"/>
                <w:highlight w:val="none"/>
                <w:u w:val="none"/>
                <w:lang w:val="en-US" w:eastAsia="zh-CN"/>
              </w:rPr>
              <w:br w:type="textWrapping"/>
            </w:r>
            <w:r>
              <w:rPr>
                <w:rFonts w:hint="default" w:ascii="Times New Roman" w:hAnsi="Times New Roman" w:eastAsia="宋体" w:cs="Times New Roman"/>
                <w:b w:val="0"/>
                <w:bCs w:val="0"/>
                <w:color w:val="auto"/>
                <w:sz w:val="24"/>
                <w:szCs w:val="24"/>
                <w:highlight w:val="none"/>
                <w:u w:val="none"/>
                <w:lang w:val="en-US" w:eastAsia="zh-CN"/>
              </w:rPr>
              <w:br w:type="textWrapping"/>
            </w:r>
            <w:r>
              <w:rPr>
                <w:rFonts w:hint="default" w:ascii="Times New Roman" w:hAnsi="Times New Roman" w:eastAsia="宋体" w:cs="Times New Roman"/>
                <w:b w:val="0"/>
                <w:bCs w:val="0"/>
                <w:color w:val="auto"/>
                <w:sz w:val="24"/>
                <w:szCs w:val="24"/>
                <w:highlight w:val="none"/>
                <w:u w:val="none"/>
                <w:lang w:val="en-US" w:eastAsia="zh-CN"/>
              </w:rPr>
              <w:br w:type="textWrapping"/>
            </w:r>
            <w:r>
              <w:rPr>
                <w:rFonts w:hint="default" w:ascii="Times New Roman" w:hAnsi="Times New Roman" w:eastAsia="宋体" w:cs="Times New Roman"/>
                <w:b w:val="0"/>
                <w:bCs w:val="0"/>
                <w:color w:val="auto"/>
                <w:sz w:val="24"/>
                <w:szCs w:val="24"/>
                <w:highlight w:val="none"/>
                <w:u w:val="none"/>
                <w:lang w:val="en-US" w:eastAsia="zh-CN"/>
              </w:rPr>
              <w:br w:type="textWrapping"/>
            </w:r>
            <w:r>
              <w:rPr>
                <w:rFonts w:hint="default" w:ascii="Times New Roman" w:hAnsi="Times New Roman" w:eastAsia="宋体" w:cs="Times New Roman"/>
                <w:b w:val="0"/>
                <w:bCs w:val="0"/>
                <w:color w:val="auto"/>
                <w:sz w:val="24"/>
                <w:szCs w:val="24"/>
                <w:highlight w:val="none"/>
                <w:u w:val="none"/>
                <w:lang w:val="en-US" w:eastAsia="zh-CN"/>
              </w:rPr>
              <w:br w:type="textWrapping"/>
            </w:r>
            <w:r>
              <w:rPr>
                <w:rFonts w:hint="default" w:ascii="Times New Roman" w:hAnsi="Times New Roman" w:eastAsia="宋体" w:cs="Times New Roman"/>
                <w:b w:val="0"/>
                <w:bCs w:val="0"/>
                <w:color w:val="auto"/>
                <w:sz w:val="24"/>
                <w:szCs w:val="24"/>
                <w:highlight w:val="none"/>
                <w:u w:val="none"/>
                <w:lang w:val="en-US" w:eastAsia="zh-CN"/>
              </w:rPr>
              <w:br w:type="textWrapping"/>
            </w:r>
            <w:r>
              <w:rPr>
                <w:rFonts w:hint="default" w:ascii="Times New Roman" w:hAnsi="Times New Roman" w:eastAsia="宋体" w:cs="Times New Roman"/>
                <w:b w:val="0"/>
                <w:bCs w:val="0"/>
                <w:color w:val="auto"/>
                <w:sz w:val="24"/>
                <w:szCs w:val="24"/>
                <w:highlight w:val="none"/>
                <w:u w:val="none"/>
                <w:lang w:val="en-US" w:eastAsia="zh-CN"/>
              </w:rPr>
              <w:br w:type="textWrapping"/>
            </w:r>
            <w:r>
              <w:rPr>
                <w:rFonts w:hint="default" w:ascii="Times New Roman" w:hAnsi="Times New Roman" w:eastAsia="宋体" w:cs="Times New Roman"/>
                <w:b w:val="0"/>
                <w:bCs w:val="0"/>
                <w:color w:val="auto"/>
                <w:sz w:val="24"/>
                <w:szCs w:val="24"/>
                <w:highlight w:val="none"/>
                <w:u w:val="none"/>
                <w:lang w:val="en-US" w:eastAsia="zh-CN"/>
              </w:rPr>
              <w:br w:type="textWrapping"/>
            </w:r>
            <w:r>
              <w:rPr>
                <w:rFonts w:hint="default" w:ascii="Times New Roman" w:hAnsi="Times New Roman" w:eastAsia="宋体" w:cs="Times New Roman"/>
                <w:b w:val="0"/>
                <w:bCs w:val="0"/>
                <w:color w:val="auto"/>
                <w:sz w:val="24"/>
                <w:szCs w:val="24"/>
                <w:highlight w:val="none"/>
                <w:u w:val="none"/>
                <w:lang w:val="en-US" w:eastAsia="zh-CN"/>
              </w:rPr>
              <w:br w:type="textWrapping"/>
            </w:r>
            <w:r>
              <w:rPr>
                <w:rFonts w:hint="default" w:ascii="Times New Roman" w:hAnsi="Times New Roman" w:eastAsia="宋体" w:cs="Times New Roman"/>
                <w:b w:val="0"/>
                <w:bCs w:val="0"/>
                <w:color w:val="auto"/>
                <w:sz w:val="24"/>
                <w:szCs w:val="24"/>
                <w:highlight w:val="none"/>
                <w:u w:val="none"/>
                <w:lang w:val="en-US" w:eastAsia="zh-CN"/>
              </w:rPr>
              <w:br w:type="textWrapping"/>
            </w:r>
            <w:r>
              <w:rPr>
                <w:rFonts w:hint="default" w:ascii="Times New Roman" w:hAnsi="Times New Roman" w:eastAsia="宋体" w:cs="Times New Roman"/>
                <w:b w:val="0"/>
                <w:bCs w:val="0"/>
                <w:color w:val="auto"/>
                <w:sz w:val="24"/>
                <w:szCs w:val="24"/>
                <w:highlight w:val="none"/>
                <w:u w:val="none"/>
                <w:lang w:val="en-US" w:eastAsia="zh-CN"/>
              </w:rPr>
              <w:br w:type="textWrapping"/>
            </w:r>
            <w:r>
              <w:rPr>
                <w:rFonts w:hint="default" w:ascii="Times New Roman" w:hAnsi="Times New Roman" w:eastAsia="宋体" w:cs="Times New Roman"/>
                <w:b w:val="0"/>
                <w:bCs w:val="0"/>
                <w:color w:val="auto"/>
                <w:sz w:val="24"/>
                <w:szCs w:val="24"/>
                <w:highlight w:val="none"/>
                <w:u w:val="none"/>
                <w:lang w:val="en-US" w:eastAsia="zh-CN"/>
              </w:rPr>
              <w:br w:type="textWrapping"/>
            </w:r>
            <w:r>
              <w:rPr>
                <w:rFonts w:hint="default" w:ascii="Times New Roman" w:hAnsi="Times New Roman" w:eastAsia="宋体" w:cs="Times New Roman"/>
                <w:b w:val="0"/>
                <w:bCs w:val="0"/>
                <w:color w:val="auto"/>
                <w:sz w:val="24"/>
                <w:szCs w:val="24"/>
                <w:highlight w:val="none"/>
                <w:u w:val="none"/>
                <w:lang w:val="en-US" w:eastAsia="zh-CN"/>
              </w:rPr>
              <w:br w:type="textWrapping"/>
            </w:r>
          </w:p>
        </w:tc>
      </w:tr>
    </w:tbl>
    <w:p w14:paraId="43C007DD">
      <w:pPr>
        <w:pStyle w:val="25"/>
        <w:keepNext w:val="0"/>
        <w:keepLines w:val="0"/>
        <w:pageBreakBefore w:val="0"/>
        <w:widowControl/>
        <w:kinsoku/>
        <w:wordWrap/>
        <w:overflowPunct/>
        <w:topLinePunct w:val="0"/>
        <w:autoSpaceDE/>
        <w:autoSpaceDN/>
        <w:bidi w:val="0"/>
        <w:adjustRightInd/>
        <w:snapToGrid/>
        <w:spacing w:before="0" w:beforeAutospacing="0" w:after="157" w:afterLines="5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59" w:name="_Toc20148"/>
      <w:bookmarkStart w:id="60" w:name="_Toc27879"/>
      <w:bookmarkStart w:id="61" w:name="_Toc17986"/>
      <w:r>
        <w:rPr>
          <w:rFonts w:hint="default" w:ascii="Times New Roman" w:hAnsi="Times New Roman" w:eastAsia="宋体" w:cs="Times New Roman"/>
          <w:snapToGrid w:val="0"/>
          <w:color w:val="auto"/>
          <w:sz w:val="30"/>
          <w:szCs w:val="30"/>
          <w:highlight w:val="none"/>
        </w:rPr>
        <w:t>六、结论</w:t>
      </w:r>
      <w:bookmarkEnd w:id="59"/>
      <w:bookmarkEnd w:id="60"/>
      <w:bookmarkEnd w:id="61"/>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A8B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1" w:hRule="atLeast"/>
          <w:jc w:val="center"/>
        </w:trPr>
        <w:tc>
          <w:tcPr>
            <w:tcW w:w="5000" w:type="pct"/>
            <w:noWrap w:val="0"/>
            <w:vAlign w:val="top"/>
          </w:tcPr>
          <w:p w14:paraId="0038BD50">
            <w:pPr>
              <w:keepNext w:val="0"/>
              <w:keepLines w:val="0"/>
              <w:pageBreakBefore w:val="0"/>
              <w:widowControl w:val="0"/>
              <w:kinsoku/>
              <w:wordWrap/>
              <w:overflowPunct/>
              <w:topLinePunct w:val="0"/>
              <w:autoSpaceDE/>
              <w:autoSpaceDN/>
              <w:bidi w:val="0"/>
              <w:adjustRightInd/>
              <w:snapToGrid/>
              <w:spacing w:line="520" w:lineRule="atLeas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综上所述，</w:t>
            </w:r>
            <w:r>
              <w:rPr>
                <w:rFonts w:hint="eastAsia" w:cs="Times New Roman"/>
                <w:color w:val="auto"/>
                <w:sz w:val="24"/>
                <w:highlight w:val="none"/>
                <w:lang w:val="en-US" w:eastAsia="zh-CN"/>
              </w:rPr>
              <w:t>濮阳市中原锐实达石油设备有限公司年产800套石油设备项目</w:t>
            </w:r>
            <w:r>
              <w:rPr>
                <w:rFonts w:hint="default" w:ascii="Times New Roman" w:hAnsi="Times New Roman" w:eastAsia="宋体" w:cs="Times New Roman"/>
                <w:color w:val="auto"/>
                <w:sz w:val="24"/>
                <w:highlight w:val="none"/>
              </w:rPr>
              <w:t>符合国家产业政策，项目在认真落实各项环保治理措施后，工程所排各项污染物对周围环境影响较小，可以实现其经济效益、社会效益和环境效益的协调发展。因此，本项目在认真落实本评价所提出的各项污染防治措施的基础上，从环保角度分析，本项目在该厂址建设可行。</w:t>
            </w:r>
          </w:p>
          <w:p w14:paraId="4710B5F8">
            <w:pPr>
              <w:keepNext w:val="0"/>
              <w:keepLines w:val="0"/>
              <w:pageBreakBefore w:val="0"/>
              <w:widowControl w:val="0"/>
              <w:kinsoku/>
              <w:wordWrap/>
              <w:overflowPunct/>
              <w:topLinePunct w:val="0"/>
              <w:autoSpaceDE/>
              <w:autoSpaceDN/>
              <w:bidi w:val="0"/>
              <w:adjustRightInd/>
              <w:snapToGrid/>
              <w:spacing w:line="520" w:lineRule="atLeast"/>
              <w:ind w:firstLine="480" w:firstLineChars="200"/>
              <w:jc w:val="both"/>
              <w:textAlignment w:val="auto"/>
              <w:rPr>
                <w:rFonts w:hint="default" w:ascii="Times New Roman" w:hAnsi="Times New Roman" w:eastAsia="宋体" w:cs="Times New Roman"/>
                <w:color w:val="auto"/>
                <w:sz w:val="24"/>
                <w:highlight w:val="none"/>
              </w:rPr>
            </w:pPr>
          </w:p>
        </w:tc>
      </w:tr>
    </w:tbl>
    <w:p w14:paraId="2403428C">
      <w:pPr>
        <w:rPr>
          <w:rFonts w:hint="default" w:ascii="Times New Roman" w:hAnsi="Times New Roman" w:eastAsia="宋体" w:cs="Times New Roman"/>
          <w:color w:val="auto"/>
          <w:highlight w:val="none"/>
        </w:rPr>
        <w:sectPr>
          <w:pgSz w:w="11906" w:h="16838"/>
          <w:pgMar w:top="1440" w:right="1800" w:bottom="1440" w:left="1800" w:header="851" w:footer="851" w:gutter="0"/>
          <w:pgNumType w:fmt="decimal"/>
          <w:cols w:space="720" w:num="1"/>
          <w:docGrid w:linePitch="312" w:charSpace="0"/>
        </w:sectPr>
      </w:pPr>
    </w:p>
    <w:p w14:paraId="137EE54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宋体" w:cs="Times New Roman"/>
          <w:snapToGrid w:val="0"/>
          <w:color w:val="auto"/>
          <w:sz w:val="32"/>
          <w:szCs w:val="32"/>
          <w:highlight w:val="none"/>
        </w:rPr>
      </w:pPr>
      <w:bookmarkStart w:id="62" w:name="_Toc20257"/>
      <w:bookmarkStart w:id="63" w:name="_Toc19290"/>
      <w:bookmarkStart w:id="64" w:name="_Toc1978"/>
      <w:r>
        <w:rPr>
          <w:rFonts w:hint="default" w:ascii="Times New Roman" w:hAnsi="Times New Roman" w:eastAsia="宋体" w:cs="Times New Roman"/>
          <w:snapToGrid w:val="0"/>
          <w:color w:val="auto"/>
          <w:sz w:val="32"/>
          <w:szCs w:val="32"/>
          <w:highlight w:val="none"/>
        </w:rPr>
        <w:t>附表</w:t>
      </w:r>
      <w:bookmarkEnd w:id="62"/>
      <w:bookmarkEnd w:id="63"/>
      <w:bookmarkEnd w:id="64"/>
    </w:p>
    <w:p w14:paraId="1928A53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z w:val="38"/>
          <w:szCs w:val="38"/>
          <w:highlight w:val="none"/>
        </w:rPr>
      </w:pPr>
      <w:bookmarkStart w:id="65" w:name="_Toc26388"/>
      <w:bookmarkStart w:id="66" w:name="_Toc3674"/>
      <w:bookmarkStart w:id="67" w:name="_Toc9071"/>
      <w:r>
        <w:rPr>
          <w:rFonts w:hint="default" w:ascii="Times New Roman" w:hAnsi="Times New Roman" w:eastAsia="宋体" w:cs="Times New Roman"/>
          <w:snapToGrid w:val="0"/>
          <w:color w:val="auto"/>
          <w:sz w:val="38"/>
          <w:szCs w:val="38"/>
          <w:highlight w:val="none"/>
        </w:rPr>
        <w:t>建设项目污染物排放量汇总表</w:t>
      </w:r>
      <w:bookmarkEnd w:id="65"/>
      <w:bookmarkEnd w:id="66"/>
      <w:bookmarkEnd w:id="67"/>
    </w:p>
    <w:tbl>
      <w:tblPr>
        <w:tblStyle w:val="28"/>
        <w:tblW w:w="13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2094"/>
        <w:gridCol w:w="1623"/>
        <w:gridCol w:w="1228"/>
        <w:gridCol w:w="1406"/>
        <w:gridCol w:w="1519"/>
        <w:gridCol w:w="1237"/>
        <w:gridCol w:w="1819"/>
        <w:gridCol w:w="1676"/>
      </w:tblGrid>
      <w:tr w14:paraId="53B6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6" w:type="dxa"/>
            <w:tcBorders>
              <w:tl2br w:val="single" w:color="auto" w:sz="4" w:space="0"/>
            </w:tcBorders>
            <w:noWrap w:val="0"/>
            <w:tcMar>
              <w:left w:w="28" w:type="dxa"/>
              <w:right w:w="28" w:type="dxa"/>
            </w:tcMar>
            <w:vAlign w:val="center"/>
          </w:tcPr>
          <w:p w14:paraId="65649336">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center"/>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lang w:val="en-US" w:eastAsia="zh-CN"/>
              </w:rPr>
              <w:t xml:space="preserve">      </w:t>
            </w:r>
            <w:r>
              <w:rPr>
                <w:rFonts w:hint="default" w:ascii="Times New Roman" w:hAnsi="Times New Roman" w:eastAsia="宋体" w:cs="Times New Roman"/>
                <w:snapToGrid w:val="0"/>
                <w:color w:val="auto"/>
                <w:spacing w:val="-6"/>
                <w:kern w:val="21"/>
                <w:sz w:val="24"/>
                <w:szCs w:val="24"/>
                <w:highlight w:val="none"/>
              </w:rPr>
              <w:t>项目</w:t>
            </w:r>
          </w:p>
          <w:p w14:paraId="15DDC284">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jc w:val="left"/>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分类</w:t>
            </w:r>
          </w:p>
        </w:tc>
        <w:tc>
          <w:tcPr>
            <w:tcW w:w="2094" w:type="dxa"/>
            <w:noWrap w:val="0"/>
            <w:tcMar>
              <w:left w:w="28" w:type="dxa"/>
              <w:right w:w="28" w:type="dxa"/>
            </w:tcMar>
            <w:vAlign w:val="center"/>
          </w:tcPr>
          <w:p w14:paraId="43B8F285">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污染物名称</w:t>
            </w:r>
          </w:p>
        </w:tc>
        <w:tc>
          <w:tcPr>
            <w:tcW w:w="1623" w:type="dxa"/>
            <w:noWrap w:val="0"/>
            <w:tcMar>
              <w:left w:w="28" w:type="dxa"/>
              <w:right w:w="28" w:type="dxa"/>
            </w:tcMar>
            <w:vAlign w:val="center"/>
          </w:tcPr>
          <w:p w14:paraId="0746E935">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现有工程排放量（固体废物产生量）</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①</w:t>
            </w:r>
            <w:r>
              <w:rPr>
                <w:rFonts w:hint="default" w:ascii="Times New Roman" w:hAnsi="Times New Roman" w:eastAsia="宋体" w:cs="Times New Roman"/>
                <w:snapToGrid w:val="0"/>
                <w:color w:val="auto"/>
                <w:spacing w:val="-6"/>
                <w:kern w:val="21"/>
                <w:sz w:val="24"/>
                <w:szCs w:val="24"/>
                <w:highlight w:val="none"/>
              </w:rPr>
              <w:fldChar w:fldCharType="end"/>
            </w:r>
          </w:p>
        </w:tc>
        <w:tc>
          <w:tcPr>
            <w:tcW w:w="1228" w:type="dxa"/>
            <w:noWrap w:val="0"/>
            <w:tcMar>
              <w:left w:w="28" w:type="dxa"/>
              <w:right w:w="28" w:type="dxa"/>
            </w:tcMar>
            <w:vAlign w:val="center"/>
          </w:tcPr>
          <w:p w14:paraId="7426EC1A">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现有工程许可排放量</w:t>
            </w:r>
            <w:r>
              <w:rPr>
                <w:rFonts w:hint="default" w:ascii="Times New Roman" w:hAnsi="Times New Roman" w:eastAsia="宋体" w:cs="Times New Roman"/>
                <w:snapToGrid w:val="0"/>
                <w:color w:val="auto"/>
                <w:spacing w:val="-6"/>
                <w:kern w:val="21"/>
                <w:sz w:val="24"/>
                <w:szCs w:val="24"/>
                <w:highlight w:val="none"/>
                <w:lang w:val="en-US" w:eastAsia="zh-CN"/>
              </w:rPr>
              <w:t xml:space="preserve"> </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2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snapToGrid w:val="0"/>
                <w:color w:val="auto"/>
                <w:spacing w:val="-6"/>
                <w:kern w:val="21"/>
                <w:sz w:val="24"/>
                <w:szCs w:val="24"/>
                <w:highlight w:val="none"/>
              </w:rPr>
              <w:t>②</w:t>
            </w:r>
            <w:r>
              <w:rPr>
                <w:rFonts w:hint="default" w:ascii="Times New Roman" w:hAnsi="Times New Roman" w:eastAsia="宋体" w:cs="Times New Roman"/>
                <w:snapToGrid w:val="0"/>
                <w:color w:val="auto"/>
                <w:spacing w:val="-6"/>
                <w:kern w:val="21"/>
                <w:sz w:val="24"/>
                <w:szCs w:val="24"/>
                <w:highlight w:val="none"/>
              </w:rPr>
              <w:fldChar w:fldCharType="end"/>
            </w:r>
          </w:p>
        </w:tc>
        <w:tc>
          <w:tcPr>
            <w:tcW w:w="1406" w:type="dxa"/>
            <w:noWrap w:val="0"/>
            <w:tcMar>
              <w:left w:w="28" w:type="dxa"/>
              <w:right w:w="28" w:type="dxa"/>
            </w:tcMar>
            <w:vAlign w:val="center"/>
          </w:tcPr>
          <w:p w14:paraId="711A8E6C">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在建工程排放量（固体废物产生量）</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3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③</w:t>
            </w:r>
            <w:r>
              <w:rPr>
                <w:rFonts w:hint="default" w:ascii="Times New Roman" w:hAnsi="Times New Roman" w:eastAsia="宋体" w:cs="Times New Roman"/>
                <w:snapToGrid w:val="0"/>
                <w:color w:val="auto"/>
                <w:spacing w:val="-6"/>
                <w:kern w:val="21"/>
                <w:sz w:val="24"/>
                <w:szCs w:val="24"/>
                <w:highlight w:val="none"/>
              </w:rPr>
              <w:fldChar w:fldCharType="end"/>
            </w:r>
          </w:p>
        </w:tc>
        <w:tc>
          <w:tcPr>
            <w:tcW w:w="1519" w:type="dxa"/>
            <w:noWrap w:val="0"/>
            <w:tcMar>
              <w:left w:w="28" w:type="dxa"/>
              <w:right w:w="28" w:type="dxa"/>
            </w:tcMar>
            <w:vAlign w:val="center"/>
          </w:tcPr>
          <w:p w14:paraId="299653F4">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本项目排放量（固体废物产生量）</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4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④</w:t>
            </w:r>
            <w:r>
              <w:rPr>
                <w:rFonts w:hint="default" w:ascii="Times New Roman" w:hAnsi="Times New Roman" w:eastAsia="宋体" w:cs="Times New Roman"/>
                <w:snapToGrid w:val="0"/>
                <w:color w:val="auto"/>
                <w:spacing w:val="-6"/>
                <w:kern w:val="21"/>
                <w:sz w:val="24"/>
                <w:szCs w:val="24"/>
                <w:highlight w:val="none"/>
              </w:rPr>
              <w:fldChar w:fldCharType="end"/>
            </w:r>
          </w:p>
        </w:tc>
        <w:tc>
          <w:tcPr>
            <w:tcW w:w="1237" w:type="dxa"/>
            <w:noWrap w:val="0"/>
            <w:tcMar>
              <w:left w:w="28" w:type="dxa"/>
              <w:right w:w="28" w:type="dxa"/>
            </w:tcMar>
            <w:vAlign w:val="center"/>
          </w:tcPr>
          <w:p w14:paraId="68027231">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16"/>
                <w:kern w:val="21"/>
                <w:sz w:val="24"/>
                <w:szCs w:val="24"/>
                <w:highlight w:val="none"/>
              </w:rPr>
            </w:pPr>
            <w:r>
              <w:rPr>
                <w:rFonts w:hint="default" w:ascii="Times New Roman" w:hAnsi="Times New Roman" w:eastAsia="宋体" w:cs="Times New Roman"/>
                <w:snapToGrid w:val="0"/>
                <w:color w:val="auto"/>
                <w:spacing w:val="-16"/>
                <w:kern w:val="21"/>
                <w:sz w:val="24"/>
                <w:szCs w:val="24"/>
                <w:highlight w:val="none"/>
              </w:rPr>
              <w:t>以新带老削减量（</w:t>
            </w:r>
            <w:r>
              <w:rPr>
                <w:rFonts w:hint="default" w:ascii="Times New Roman" w:hAnsi="Times New Roman" w:eastAsia="宋体" w:cs="Times New Roman"/>
                <w:snapToGrid w:val="0"/>
                <w:color w:val="auto"/>
                <w:spacing w:val="-6"/>
                <w:kern w:val="21"/>
                <w:sz w:val="24"/>
                <w:szCs w:val="24"/>
                <w:highlight w:val="none"/>
              </w:rPr>
              <w:t>新建</w:t>
            </w:r>
            <w:r>
              <w:rPr>
                <w:rFonts w:hint="default" w:ascii="Times New Roman" w:hAnsi="Times New Roman" w:eastAsia="宋体" w:cs="Times New Roman"/>
                <w:snapToGrid w:val="0"/>
                <w:color w:val="auto"/>
                <w:spacing w:val="-16"/>
                <w:kern w:val="21"/>
                <w:sz w:val="24"/>
                <w:szCs w:val="24"/>
                <w:highlight w:val="none"/>
              </w:rPr>
              <w:t>项目不填）</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5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⑤</w:t>
            </w:r>
            <w:r>
              <w:rPr>
                <w:rFonts w:hint="default" w:ascii="Times New Roman" w:hAnsi="Times New Roman" w:eastAsia="宋体" w:cs="Times New Roman"/>
                <w:snapToGrid w:val="0"/>
                <w:color w:val="auto"/>
                <w:spacing w:val="-16"/>
                <w:kern w:val="21"/>
                <w:sz w:val="24"/>
                <w:szCs w:val="24"/>
                <w:highlight w:val="none"/>
              </w:rPr>
              <w:fldChar w:fldCharType="end"/>
            </w:r>
          </w:p>
        </w:tc>
        <w:tc>
          <w:tcPr>
            <w:tcW w:w="1819" w:type="dxa"/>
            <w:noWrap w:val="0"/>
            <w:tcMar>
              <w:left w:w="28" w:type="dxa"/>
              <w:right w:w="28" w:type="dxa"/>
            </w:tcMar>
            <w:vAlign w:val="center"/>
          </w:tcPr>
          <w:p w14:paraId="4352AFB4">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16"/>
                <w:kern w:val="21"/>
                <w:sz w:val="24"/>
                <w:szCs w:val="24"/>
                <w:highlight w:val="none"/>
              </w:rPr>
            </w:pPr>
            <w:r>
              <w:rPr>
                <w:rFonts w:hint="default" w:ascii="Times New Roman" w:hAnsi="Times New Roman" w:eastAsia="宋体" w:cs="Times New Roman"/>
                <w:snapToGrid w:val="0"/>
                <w:color w:val="auto"/>
                <w:spacing w:val="-16"/>
                <w:kern w:val="21"/>
                <w:sz w:val="24"/>
                <w:szCs w:val="24"/>
                <w:highlight w:val="none"/>
              </w:rPr>
              <w:t>本项目建成后全厂排放量（固体废物产生量）</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⑥</w:t>
            </w:r>
            <w:r>
              <w:rPr>
                <w:rFonts w:hint="default" w:ascii="Times New Roman" w:hAnsi="Times New Roman" w:eastAsia="宋体" w:cs="Times New Roman"/>
                <w:snapToGrid w:val="0"/>
                <w:color w:val="auto"/>
                <w:spacing w:val="-16"/>
                <w:kern w:val="21"/>
                <w:sz w:val="24"/>
                <w:szCs w:val="24"/>
                <w:highlight w:val="none"/>
              </w:rPr>
              <w:fldChar w:fldCharType="end"/>
            </w:r>
          </w:p>
        </w:tc>
        <w:tc>
          <w:tcPr>
            <w:tcW w:w="1676" w:type="dxa"/>
            <w:noWrap w:val="0"/>
            <w:tcMar>
              <w:left w:w="28" w:type="dxa"/>
              <w:right w:w="28" w:type="dxa"/>
            </w:tcMar>
            <w:vAlign w:val="center"/>
          </w:tcPr>
          <w:p w14:paraId="0B4C79CA">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变化量</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7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⑦</w:t>
            </w:r>
            <w:r>
              <w:rPr>
                <w:rFonts w:hint="default" w:ascii="Times New Roman" w:hAnsi="Times New Roman" w:eastAsia="宋体" w:cs="Times New Roman"/>
                <w:snapToGrid w:val="0"/>
                <w:color w:val="auto"/>
                <w:spacing w:val="-6"/>
                <w:kern w:val="21"/>
                <w:sz w:val="24"/>
                <w:szCs w:val="24"/>
                <w:highlight w:val="none"/>
              </w:rPr>
              <w:fldChar w:fldCharType="end"/>
            </w:r>
          </w:p>
        </w:tc>
      </w:tr>
      <w:tr w14:paraId="20A8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186" w:type="dxa"/>
            <w:vMerge w:val="restart"/>
            <w:noWrap w:val="0"/>
            <w:vAlign w:val="center"/>
          </w:tcPr>
          <w:p w14:paraId="0C70B716">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废气</w:t>
            </w:r>
          </w:p>
        </w:tc>
        <w:tc>
          <w:tcPr>
            <w:tcW w:w="2094" w:type="dxa"/>
            <w:noWrap w:val="0"/>
            <w:vAlign w:val="center"/>
          </w:tcPr>
          <w:p w14:paraId="2B7DD1BF">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default" w:ascii="Times New Roman" w:hAnsi="Times New Roman" w:eastAsia="宋体" w:cs="Times New Roman"/>
                <w:snapToGrid w:val="0"/>
                <w:color w:val="auto"/>
                <w:spacing w:val="-6"/>
                <w:kern w:val="21"/>
                <w:sz w:val="24"/>
                <w:szCs w:val="24"/>
                <w:highlight w:val="none"/>
                <w:lang w:val="en-US" w:eastAsia="zh-CN"/>
              </w:rPr>
              <w:t>颗粒物</w:t>
            </w:r>
          </w:p>
        </w:tc>
        <w:tc>
          <w:tcPr>
            <w:tcW w:w="1623" w:type="dxa"/>
            <w:shd w:val="clear" w:color="auto" w:fill="auto"/>
            <w:noWrap w:val="0"/>
            <w:vAlign w:val="center"/>
          </w:tcPr>
          <w:p w14:paraId="2C5801F8">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w:t>
            </w:r>
            <w:r>
              <w:rPr>
                <w:rFonts w:hint="eastAsia" w:ascii="Times New Roman" w:cs="Times New Roman"/>
                <w:snapToGrid w:val="0"/>
                <w:color w:val="auto"/>
                <w:spacing w:val="-6"/>
                <w:kern w:val="21"/>
                <w:sz w:val="24"/>
                <w:szCs w:val="24"/>
                <w:highlight w:val="none"/>
                <w:lang w:val="en-US" w:eastAsia="zh-CN"/>
              </w:rPr>
              <w:t>0875</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228" w:type="dxa"/>
            <w:shd w:val="clear" w:color="auto" w:fill="auto"/>
            <w:noWrap w:val="0"/>
            <w:vAlign w:val="center"/>
          </w:tcPr>
          <w:p w14:paraId="12E21796">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0.15t/a</w:t>
            </w:r>
          </w:p>
        </w:tc>
        <w:tc>
          <w:tcPr>
            <w:tcW w:w="1406" w:type="dxa"/>
            <w:noWrap w:val="0"/>
            <w:vAlign w:val="center"/>
          </w:tcPr>
          <w:p w14:paraId="51721BCC">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p>
        </w:tc>
        <w:tc>
          <w:tcPr>
            <w:tcW w:w="1519" w:type="dxa"/>
            <w:shd w:val="clear" w:color="auto" w:fill="auto"/>
            <w:noWrap w:val="0"/>
            <w:vAlign w:val="center"/>
          </w:tcPr>
          <w:p w14:paraId="6A2A0495">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0.2174</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237" w:type="dxa"/>
            <w:shd w:val="clear" w:color="auto" w:fill="auto"/>
            <w:noWrap w:val="0"/>
            <w:vAlign w:val="center"/>
          </w:tcPr>
          <w:p w14:paraId="401E7485">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w:t>
            </w:r>
            <w:r>
              <w:rPr>
                <w:rFonts w:hint="eastAsia" w:ascii="Times New Roman" w:cs="Times New Roman"/>
                <w:snapToGrid w:val="0"/>
                <w:color w:val="auto"/>
                <w:spacing w:val="-6"/>
                <w:kern w:val="21"/>
                <w:sz w:val="24"/>
                <w:szCs w:val="24"/>
                <w:highlight w:val="none"/>
                <w:lang w:val="en-US" w:eastAsia="zh-CN"/>
              </w:rPr>
              <w:t>0875</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819" w:type="dxa"/>
            <w:shd w:val="clear" w:color="auto" w:fill="auto"/>
            <w:noWrap w:val="0"/>
            <w:vAlign w:val="center"/>
          </w:tcPr>
          <w:p w14:paraId="2F0274C9">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0.2174</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676" w:type="dxa"/>
            <w:shd w:val="clear" w:color="auto" w:fill="auto"/>
            <w:noWrap w:val="0"/>
            <w:vAlign w:val="center"/>
          </w:tcPr>
          <w:p w14:paraId="3853EA0B">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+0.1299</w:t>
            </w:r>
            <w:r>
              <w:rPr>
                <w:rFonts w:hint="eastAsia" w:ascii="Times New Roman" w:hAnsi="Times New Roman" w:eastAsia="宋体" w:cs="Times New Roman"/>
                <w:snapToGrid w:val="0"/>
                <w:color w:val="auto"/>
                <w:spacing w:val="-6"/>
                <w:kern w:val="21"/>
                <w:sz w:val="24"/>
                <w:szCs w:val="24"/>
                <w:highlight w:val="none"/>
                <w:lang w:val="en-US" w:eastAsia="zh-CN"/>
              </w:rPr>
              <w:t>t/a</w:t>
            </w:r>
          </w:p>
        </w:tc>
      </w:tr>
      <w:tr w14:paraId="66EE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186" w:type="dxa"/>
            <w:vMerge w:val="continue"/>
            <w:noWrap w:val="0"/>
            <w:vAlign w:val="center"/>
          </w:tcPr>
          <w:p w14:paraId="08C6B17A">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rPr>
            </w:pPr>
          </w:p>
        </w:tc>
        <w:tc>
          <w:tcPr>
            <w:tcW w:w="2094" w:type="dxa"/>
            <w:noWrap w:val="0"/>
            <w:vAlign w:val="center"/>
          </w:tcPr>
          <w:p w14:paraId="323F6FE5">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非甲烷总烃</w:t>
            </w:r>
          </w:p>
        </w:tc>
        <w:tc>
          <w:tcPr>
            <w:tcW w:w="1623" w:type="dxa"/>
            <w:shd w:val="clear" w:color="auto" w:fill="auto"/>
            <w:noWrap w:val="0"/>
            <w:vAlign w:val="center"/>
          </w:tcPr>
          <w:p w14:paraId="69776A6A">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w:t>
            </w:r>
          </w:p>
        </w:tc>
        <w:tc>
          <w:tcPr>
            <w:tcW w:w="1228" w:type="dxa"/>
            <w:shd w:val="clear" w:color="auto" w:fill="auto"/>
            <w:noWrap w:val="0"/>
            <w:vAlign w:val="center"/>
          </w:tcPr>
          <w:p w14:paraId="519A6B53">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p>
        </w:tc>
        <w:tc>
          <w:tcPr>
            <w:tcW w:w="1406" w:type="dxa"/>
            <w:noWrap w:val="0"/>
            <w:vAlign w:val="center"/>
          </w:tcPr>
          <w:p w14:paraId="03912565">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p>
        </w:tc>
        <w:tc>
          <w:tcPr>
            <w:tcW w:w="1519" w:type="dxa"/>
            <w:shd w:val="clear" w:color="auto" w:fill="auto"/>
            <w:noWrap w:val="0"/>
            <w:vAlign w:val="center"/>
          </w:tcPr>
          <w:p w14:paraId="1DA074C5">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0.0716</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237" w:type="dxa"/>
            <w:shd w:val="clear" w:color="auto" w:fill="auto"/>
            <w:noWrap w:val="0"/>
            <w:vAlign w:val="center"/>
          </w:tcPr>
          <w:p w14:paraId="2955BC2B">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w:t>
            </w:r>
          </w:p>
        </w:tc>
        <w:tc>
          <w:tcPr>
            <w:tcW w:w="1819" w:type="dxa"/>
            <w:shd w:val="clear" w:color="auto" w:fill="auto"/>
            <w:noWrap w:val="0"/>
            <w:vAlign w:val="center"/>
          </w:tcPr>
          <w:p w14:paraId="6D80F5D7">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0.0716</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676" w:type="dxa"/>
            <w:shd w:val="clear" w:color="auto" w:fill="auto"/>
            <w:noWrap w:val="0"/>
            <w:vAlign w:val="center"/>
          </w:tcPr>
          <w:p w14:paraId="1C8463BE">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r>
              <w:rPr>
                <w:rFonts w:hint="eastAsia" w:ascii="Times New Roman" w:cs="Times New Roman"/>
                <w:snapToGrid w:val="0"/>
                <w:color w:val="auto"/>
                <w:spacing w:val="-6"/>
                <w:kern w:val="21"/>
                <w:sz w:val="24"/>
                <w:szCs w:val="24"/>
                <w:highlight w:val="none"/>
                <w:lang w:val="en-US" w:eastAsia="zh-CN"/>
              </w:rPr>
              <w:t>0.0716</w:t>
            </w:r>
            <w:r>
              <w:rPr>
                <w:rFonts w:hint="eastAsia" w:ascii="Times New Roman" w:hAnsi="Times New Roman" w:eastAsia="宋体" w:cs="Times New Roman"/>
                <w:snapToGrid w:val="0"/>
                <w:color w:val="auto"/>
                <w:spacing w:val="-6"/>
                <w:kern w:val="21"/>
                <w:sz w:val="24"/>
                <w:szCs w:val="24"/>
                <w:highlight w:val="none"/>
                <w:lang w:val="en-US" w:eastAsia="zh-CN"/>
              </w:rPr>
              <w:t>t/a</w:t>
            </w:r>
          </w:p>
        </w:tc>
      </w:tr>
      <w:tr w14:paraId="00CF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186" w:type="dxa"/>
            <w:vMerge w:val="restart"/>
            <w:noWrap w:val="0"/>
            <w:vAlign w:val="center"/>
          </w:tcPr>
          <w:p w14:paraId="0856C2A0">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cs="Times New Roman"/>
                <w:snapToGrid w:val="0"/>
                <w:color w:val="auto"/>
                <w:kern w:val="21"/>
                <w:sz w:val="24"/>
                <w:szCs w:val="24"/>
                <w:highlight w:val="none"/>
                <w:lang w:val="en-US" w:eastAsia="zh-CN"/>
              </w:rPr>
              <w:t>废水</w:t>
            </w:r>
          </w:p>
        </w:tc>
        <w:tc>
          <w:tcPr>
            <w:tcW w:w="2094" w:type="dxa"/>
            <w:noWrap w:val="0"/>
            <w:vAlign w:val="center"/>
          </w:tcPr>
          <w:p w14:paraId="21610877">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化学需氧量</w:t>
            </w:r>
          </w:p>
        </w:tc>
        <w:tc>
          <w:tcPr>
            <w:tcW w:w="1623" w:type="dxa"/>
            <w:shd w:val="clear" w:color="auto" w:fill="auto"/>
            <w:noWrap w:val="0"/>
            <w:vAlign w:val="center"/>
          </w:tcPr>
          <w:p w14:paraId="37672E35">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0.015t/a</w:t>
            </w:r>
          </w:p>
        </w:tc>
        <w:tc>
          <w:tcPr>
            <w:tcW w:w="1228" w:type="dxa"/>
            <w:shd w:val="clear" w:color="auto" w:fill="auto"/>
            <w:noWrap w:val="0"/>
            <w:vAlign w:val="center"/>
          </w:tcPr>
          <w:p w14:paraId="26B405E8">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0.045t/a</w:t>
            </w:r>
          </w:p>
        </w:tc>
        <w:tc>
          <w:tcPr>
            <w:tcW w:w="1406" w:type="dxa"/>
            <w:noWrap w:val="0"/>
            <w:vAlign w:val="center"/>
          </w:tcPr>
          <w:p w14:paraId="17DEEC9B">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p>
        </w:tc>
        <w:tc>
          <w:tcPr>
            <w:tcW w:w="1519" w:type="dxa"/>
            <w:shd w:val="clear" w:color="auto" w:fill="auto"/>
            <w:noWrap w:val="0"/>
            <w:vAlign w:val="center"/>
          </w:tcPr>
          <w:p w14:paraId="7B30D66E">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0.0211</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237" w:type="dxa"/>
            <w:shd w:val="clear" w:color="auto" w:fill="auto"/>
            <w:noWrap w:val="0"/>
            <w:vAlign w:val="center"/>
          </w:tcPr>
          <w:p w14:paraId="64CAD482">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0.015t/a</w:t>
            </w:r>
          </w:p>
        </w:tc>
        <w:tc>
          <w:tcPr>
            <w:tcW w:w="1819" w:type="dxa"/>
            <w:shd w:val="clear" w:color="auto" w:fill="auto"/>
            <w:noWrap w:val="0"/>
            <w:vAlign w:val="center"/>
          </w:tcPr>
          <w:p w14:paraId="1B2CB0C0">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0.0211</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676" w:type="dxa"/>
            <w:shd w:val="clear" w:color="auto" w:fill="auto"/>
            <w:noWrap w:val="0"/>
            <w:vAlign w:val="center"/>
          </w:tcPr>
          <w:p w14:paraId="18F9B7A5">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r>
              <w:rPr>
                <w:rFonts w:hint="eastAsia" w:ascii="Times New Roman" w:cs="Times New Roman"/>
                <w:snapToGrid w:val="0"/>
                <w:color w:val="auto"/>
                <w:spacing w:val="-6"/>
                <w:kern w:val="21"/>
                <w:sz w:val="24"/>
                <w:szCs w:val="24"/>
                <w:highlight w:val="none"/>
                <w:lang w:val="en-US" w:eastAsia="zh-CN"/>
              </w:rPr>
              <w:t>0.0061</w:t>
            </w:r>
            <w:r>
              <w:rPr>
                <w:rFonts w:hint="eastAsia" w:ascii="Times New Roman" w:hAnsi="Times New Roman" w:eastAsia="宋体" w:cs="Times New Roman"/>
                <w:snapToGrid w:val="0"/>
                <w:color w:val="auto"/>
                <w:spacing w:val="-6"/>
                <w:kern w:val="21"/>
                <w:sz w:val="24"/>
                <w:szCs w:val="24"/>
                <w:highlight w:val="none"/>
                <w:lang w:val="en-US" w:eastAsia="zh-CN"/>
              </w:rPr>
              <w:t>t/a</w:t>
            </w:r>
          </w:p>
        </w:tc>
      </w:tr>
      <w:tr w14:paraId="644D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86" w:type="dxa"/>
            <w:vMerge w:val="continue"/>
            <w:noWrap w:val="0"/>
            <w:vAlign w:val="center"/>
          </w:tcPr>
          <w:p w14:paraId="138C7489">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rPr>
            </w:pPr>
          </w:p>
        </w:tc>
        <w:tc>
          <w:tcPr>
            <w:tcW w:w="2094" w:type="dxa"/>
            <w:noWrap w:val="0"/>
            <w:vAlign w:val="center"/>
          </w:tcPr>
          <w:p w14:paraId="3A34FA77">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氨氮</w:t>
            </w:r>
          </w:p>
        </w:tc>
        <w:tc>
          <w:tcPr>
            <w:tcW w:w="1623" w:type="dxa"/>
            <w:shd w:val="clear" w:color="auto" w:fill="auto"/>
            <w:noWrap w:val="0"/>
            <w:vAlign w:val="center"/>
          </w:tcPr>
          <w:p w14:paraId="5C978442">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0.0008t/a</w:t>
            </w:r>
          </w:p>
        </w:tc>
        <w:tc>
          <w:tcPr>
            <w:tcW w:w="1228" w:type="dxa"/>
            <w:shd w:val="clear" w:color="auto" w:fill="auto"/>
            <w:noWrap w:val="0"/>
            <w:vAlign w:val="center"/>
          </w:tcPr>
          <w:p w14:paraId="546795C1">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0.0048t/a</w:t>
            </w:r>
          </w:p>
        </w:tc>
        <w:tc>
          <w:tcPr>
            <w:tcW w:w="1406" w:type="dxa"/>
            <w:noWrap w:val="0"/>
            <w:vAlign w:val="center"/>
          </w:tcPr>
          <w:p w14:paraId="76461797">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p>
        </w:tc>
        <w:tc>
          <w:tcPr>
            <w:tcW w:w="1519" w:type="dxa"/>
            <w:shd w:val="clear" w:color="auto" w:fill="auto"/>
            <w:noWrap w:val="0"/>
            <w:vAlign w:val="center"/>
          </w:tcPr>
          <w:p w14:paraId="4EF46CD2">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0.0011</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237" w:type="dxa"/>
            <w:shd w:val="clear" w:color="auto" w:fill="auto"/>
            <w:noWrap w:val="0"/>
            <w:vAlign w:val="center"/>
          </w:tcPr>
          <w:p w14:paraId="1C4A4BE6">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0.0008t/a</w:t>
            </w:r>
          </w:p>
        </w:tc>
        <w:tc>
          <w:tcPr>
            <w:tcW w:w="1819" w:type="dxa"/>
            <w:shd w:val="clear" w:color="auto" w:fill="auto"/>
            <w:noWrap w:val="0"/>
            <w:vAlign w:val="center"/>
          </w:tcPr>
          <w:p w14:paraId="5A41A81F">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0.0011</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676" w:type="dxa"/>
            <w:shd w:val="clear" w:color="auto" w:fill="auto"/>
            <w:noWrap w:val="0"/>
            <w:vAlign w:val="center"/>
          </w:tcPr>
          <w:p w14:paraId="418A0101">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r>
              <w:rPr>
                <w:rFonts w:hint="eastAsia" w:ascii="Times New Roman" w:cs="Times New Roman"/>
                <w:snapToGrid w:val="0"/>
                <w:color w:val="auto"/>
                <w:spacing w:val="-6"/>
                <w:kern w:val="21"/>
                <w:sz w:val="24"/>
                <w:szCs w:val="24"/>
                <w:highlight w:val="none"/>
                <w:lang w:val="en-US" w:eastAsia="zh-CN"/>
              </w:rPr>
              <w:t>0.0003</w:t>
            </w:r>
            <w:r>
              <w:rPr>
                <w:rFonts w:hint="eastAsia" w:ascii="Times New Roman" w:hAnsi="Times New Roman" w:eastAsia="宋体" w:cs="Times New Roman"/>
                <w:snapToGrid w:val="0"/>
                <w:color w:val="auto"/>
                <w:spacing w:val="-6"/>
                <w:kern w:val="21"/>
                <w:sz w:val="24"/>
                <w:szCs w:val="24"/>
                <w:highlight w:val="none"/>
                <w:lang w:val="en-US" w:eastAsia="zh-CN"/>
              </w:rPr>
              <w:t>t/a</w:t>
            </w:r>
          </w:p>
        </w:tc>
      </w:tr>
      <w:tr w14:paraId="12D2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86" w:type="dxa"/>
            <w:vMerge w:val="restart"/>
            <w:noWrap w:val="0"/>
            <w:vAlign w:val="center"/>
          </w:tcPr>
          <w:p w14:paraId="5254D64D">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一般工业固体废物</w:t>
            </w:r>
          </w:p>
        </w:tc>
        <w:tc>
          <w:tcPr>
            <w:tcW w:w="2094" w:type="dxa"/>
            <w:shd w:val="clear" w:color="auto" w:fill="auto"/>
            <w:noWrap w:val="0"/>
            <w:vAlign w:val="center"/>
          </w:tcPr>
          <w:p w14:paraId="3517CBDA">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废边角料</w:t>
            </w:r>
          </w:p>
        </w:tc>
        <w:tc>
          <w:tcPr>
            <w:tcW w:w="1623" w:type="dxa"/>
            <w:shd w:val="clear" w:color="auto" w:fill="auto"/>
            <w:noWrap w:val="0"/>
            <w:vAlign w:val="center"/>
          </w:tcPr>
          <w:p w14:paraId="1F549BF7">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2t/a</w:t>
            </w:r>
          </w:p>
        </w:tc>
        <w:tc>
          <w:tcPr>
            <w:tcW w:w="1228" w:type="dxa"/>
            <w:noWrap w:val="0"/>
            <w:vAlign w:val="center"/>
          </w:tcPr>
          <w:p w14:paraId="3858411E">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1406" w:type="dxa"/>
            <w:shd w:val="clear" w:color="auto" w:fill="auto"/>
            <w:noWrap w:val="0"/>
            <w:vAlign w:val="center"/>
          </w:tcPr>
          <w:p w14:paraId="5365BCD5">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1519" w:type="dxa"/>
            <w:shd w:val="clear" w:color="auto" w:fill="auto"/>
            <w:noWrap w:val="0"/>
            <w:vAlign w:val="center"/>
          </w:tcPr>
          <w:p w14:paraId="2F581AF8">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4t/a</w:t>
            </w:r>
          </w:p>
        </w:tc>
        <w:tc>
          <w:tcPr>
            <w:tcW w:w="1237" w:type="dxa"/>
            <w:shd w:val="clear" w:color="auto" w:fill="auto"/>
            <w:noWrap w:val="0"/>
            <w:vAlign w:val="center"/>
          </w:tcPr>
          <w:p w14:paraId="50DBF622">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2t/a</w:t>
            </w:r>
          </w:p>
        </w:tc>
        <w:tc>
          <w:tcPr>
            <w:tcW w:w="1819" w:type="dxa"/>
            <w:shd w:val="clear" w:color="auto" w:fill="auto"/>
            <w:noWrap w:val="0"/>
            <w:vAlign w:val="center"/>
          </w:tcPr>
          <w:p w14:paraId="4040F932">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4t/a</w:t>
            </w:r>
          </w:p>
        </w:tc>
        <w:tc>
          <w:tcPr>
            <w:tcW w:w="1676" w:type="dxa"/>
            <w:shd w:val="clear" w:color="auto" w:fill="auto"/>
            <w:noWrap w:val="0"/>
            <w:vAlign w:val="center"/>
          </w:tcPr>
          <w:p w14:paraId="5BD0360F">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+2t/a</w:t>
            </w:r>
          </w:p>
        </w:tc>
      </w:tr>
      <w:tr w14:paraId="1A5A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186" w:type="dxa"/>
            <w:vMerge w:val="continue"/>
            <w:noWrap w:val="0"/>
            <w:vAlign w:val="center"/>
          </w:tcPr>
          <w:p w14:paraId="47E9E00F">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rPr>
            </w:pPr>
          </w:p>
        </w:tc>
        <w:tc>
          <w:tcPr>
            <w:tcW w:w="2094" w:type="dxa"/>
            <w:shd w:val="clear" w:color="auto" w:fill="auto"/>
            <w:noWrap w:val="0"/>
            <w:vAlign w:val="center"/>
          </w:tcPr>
          <w:p w14:paraId="4E94119A">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cs="Times New Roman"/>
                <w:snapToGrid w:val="0"/>
                <w:color w:val="auto"/>
                <w:kern w:val="21"/>
                <w:sz w:val="24"/>
                <w:szCs w:val="24"/>
                <w:highlight w:val="none"/>
                <w:lang w:val="en-US" w:eastAsia="zh-CN"/>
              </w:rPr>
              <w:t>废焊材</w:t>
            </w:r>
          </w:p>
        </w:tc>
        <w:tc>
          <w:tcPr>
            <w:tcW w:w="1623" w:type="dxa"/>
            <w:shd w:val="clear" w:color="auto" w:fill="auto"/>
            <w:noWrap w:val="0"/>
            <w:vAlign w:val="center"/>
          </w:tcPr>
          <w:p w14:paraId="3D96EE42">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0.04t/a</w:t>
            </w:r>
          </w:p>
        </w:tc>
        <w:tc>
          <w:tcPr>
            <w:tcW w:w="1228" w:type="dxa"/>
            <w:noWrap w:val="0"/>
            <w:vAlign w:val="center"/>
          </w:tcPr>
          <w:p w14:paraId="61399CAD">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w:t>
            </w:r>
          </w:p>
        </w:tc>
        <w:tc>
          <w:tcPr>
            <w:tcW w:w="1406" w:type="dxa"/>
            <w:shd w:val="clear" w:color="auto" w:fill="auto"/>
            <w:noWrap w:val="0"/>
            <w:vAlign w:val="center"/>
          </w:tcPr>
          <w:p w14:paraId="53FF84FB">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rPr>
              <w:t>/</w:t>
            </w:r>
          </w:p>
        </w:tc>
        <w:tc>
          <w:tcPr>
            <w:tcW w:w="1519" w:type="dxa"/>
            <w:shd w:val="clear" w:color="auto" w:fill="auto"/>
            <w:noWrap w:val="0"/>
            <w:vAlign w:val="center"/>
          </w:tcPr>
          <w:p w14:paraId="6D6B1E5A">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w:t>
            </w:r>
            <w:r>
              <w:rPr>
                <w:rFonts w:hint="eastAsia" w:ascii="Times New Roman" w:cs="Times New Roman"/>
                <w:snapToGrid w:val="0"/>
                <w:color w:val="auto"/>
                <w:spacing w:val="-6"/>
                <w:kern w:val="21"/>
                <w:sz w:val="24"/>
                <w:szCs w:val="24"/>
                <w:highlight w:val="none"/>
                <w:lang w:val="en-US" w:eastAsia="zh-CN"/>
              </w:rPr>
              <w:t>4</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237" w:type="dxa"/>
            <w:shd w:val="clear" w:color="auto" w:fill="auto"/>
            <w:noWrap w:val="0"/>
            <w:vAlign w:val="center"/>
          </w:tcPr>
          <w:p w14:paraId="57B74BDF">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0.04t/a</w:t>
            </w:r>
          </w:p>
        </w:tc>
        <w:tc>
          <w:tcPr>
            <w:tcW w:w="1819" w:type="dxa"/>
            <w:shd w:val="clear" w:color="auto" w:fill="auto"/>
            <w:noWrap w:val="0"/>
            <w:vAlign w:val="center"/>
          </w:tcPr>
          <w:p w14:paraId="7FE50E42">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w:t>
            </w:r>
            <w:r>
              <w:rPr>
                <w:rFonts w:hint="eastAsia" w:ascii="Times New Roman" w:cs="Times New Roman"/>
                <w:snapToGrid w:val="0"/>
                <w:color w:val="auto"/>
                <w:spacing w:val="-6"/>
                <w:kern w:val="21"/>
                <w:sz w:val="24"/>
                <w:szCs w:val="24"/>
                <w:highlight w:val="none"/>
                <w:lang w:val="en-US" w:eastAsia="zh-CN"/>
              </w:rPr>
              <w:t>4</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676" w:type="dxa"/>
            <w:shd w:val="clear" w:color="auto" w:fill="auto"/>
            <w:noWrap w:val="0"/>
            <w:vAlign w:val="center"/>
          </w:tcPr>
          <w:p w14:paraId="6A9E2369">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w:t>
            </w:r>
            <w:r>
              <w:rPr>
                <w:rFonts w:hint="eastAsia" w:ascii="Times New Roman" w:cs="Times New Roman"/>
                <w:snapToGrid w:val="0"/>
                <w:color w:val="auto"/>
                <w:spacing w:val="-6"/>
                <w:kern w:val="21"/>
                <w:sz w:val="24"/>
                <w:szCs w:val="24"/>
                <w:highlight w:val="none"/>
                <w:lang w:val="en-US" w:eastAsia="zh-CN"/>
              </w:rPr>
              <w:t>3</w:t>
            </w:r>
            <w:r>
              <w:rPr>
                <w:rFonts w:hint="eastAsia" w:ascii="Times New Roman" w:hAnsi="Times New Roman" w:eastAsia="宋体" w:cs="Times New Roman"/>
                <w:snapToGrid w:val="0"/>
                <w:color w:val="auto"/>
                <w:spacing w:val="-6"/>
                <w:kern w:val="21"/>
                <w:sz w:val="24"/>
                <w:szCs w:val="24"/>
                <w:highlight w:val="none"/>
                <w:lang w:val="en-US" w:eastAsia="zh-CN"/>
              </w:rPr>
              <w:t>6t/a</w:t>
            </w:r>
          </w:p>
        </w:tc>
      </w:tr>
      <w:tr w14:paraId="543A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86" w:type="dxa"/>
            <w:vMerge w:val="continue"/>
            <w:noWrap w:val="0"/>
            <w:vAlign w:val="center"/>
          </w:tcPr>
          <w:p w14:paraId="5767192B">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rPr>
            </w:pPr>
          </w:p>
        </w:tc>
        <w:tc>
          <w:tcPr>
            <w:tcW w:w="2094" w:type="dxa"/>
            <w:shd w:val="clear" w:color="auto" w:fill="auto"/>
            <w:noWrap w:val="0"/>
            <w:vAlign w:val="center"/>
          </w:tcPr>
          <w:p w14:paraId="7849A17E">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集尘灰</w:t>
            </w:r>
          </w:p>
        </w:tc>
        <w:tc>
          <w:tcPr>
            <w:tcW w:w="1623" w:type="dxa"/>
            <w:shd w:val="clear" w:color="auto" w:fill="auto"/>
            <w:noWrap w:val="0"/>
            <w:vAlign w:val="center"/>
          </w:tcPr>
          <w:p w14:paraId="0C0F010F">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0.9875</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228" w:type="dxa"/>
            <w:noWrap w:val="0"/>
            <w:vAlign w:val="center"/>
          </w:tcPr>
          <w:p w14:paraId="446FF745">
            <w:pPr>
              <w:pStyle w:val="56"/>
              <w:keepNext w:val="0"/>
              <w:keepLines/>
              <w:pageBreakBefore w:val="0"/>
              <w:widowControl w:val="0"/>
              <w:kinsoku/>
              <w:wordWrap/>
              <w:overflowPunct/>
              <w:topLinePunct w:val="0"/>
              <w:autoSpaceDE/>
              <w:autoSpaceDN/>
              <w:bidi w:val="0"/>
              <w:adjustRightInd/>
              <w:snapToGrid/>
              <w:spacing w:before="48" w:beforeLines="15" w:after="48" w:afterLines="15"/>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eastAsia" w:hAnsi="Times New Roman" w:cs="Times New Roman"/>
                <w:b w:val="0"/>
                <w:bCs w:val="0"/>
                <w:color w:val="auto"/>
                <w:kern w:val="2"/>
                <w:sz w:val="24"/>
                <w:szCs w:val="24"/>
                <w:highlight w:val="none"/>
                <w:u w:val="none"/>
                <w:lang w:val="en-US" w:eastAsia="zh-CN" w:bidi="ar-SA"/>
              </w:rPr>
              <w:t>/</w:t>
            </w:r>
          </w:p>
        </w:tc>
        <w:tc>
          <w:tcPr>
            <w:tcW w:w="1406" w:type="dxa"/>
            <w:shd w:val="clear" w:color="auto" w:fill="auto"/>
            <w:noWrap w:val="0"/>
            <w:vAlign w:val="center"/>
          </w:tcPr>
          <w:p w14:paraId="5384D65F">
            <w:pPr>
              <w:pStyle w:val="56"/>
              <w:keepNext w:val="0"/>
              <w:keepLines/>
              <w:pageBreakBefore w:val="0"/>
              <w:widowControl w:val="0"/>
              <w:kinsoku/>
              <w:wordWrap/>
              <w:overflowPunct/>
              <w:topLinePunct w:val="0"/>
              <w:autoSpaceDE/>
              <w:autoSpaceDN/>
              <w:bidi w:val="0"/>
              <w:adjustRightInd/>
              <w:snapToGrid/>
              <w:spacing w:before="48" w:beforeLines="15" w:after="48" w:afterLines="15"/>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eastAsia" w:hAnsi="Times New Roman" w:cs="Times New Roman"/>
                <w:b w:val="0"/>
                <w:bCs w:val="0"/>
                <w:color w:val="auto"/>
                <w:kern w:val="2"/>
                <w:sz w:val="24"/>
                <w:szCs w:val="24"/>
                <w:highlight w:val="none"/>
                <w:u w:val="none"/>
                <w:lang w:val="en-US" w:eastAsia="zh-CN" w:bidi="ar-SA"/>
              </w:rPr>
              <w:t>/</w:t>
            </w:r>
          </w:p>
        </w:tc>
        <w:tc>
          <w:tcPr>
            <w:tcW w:w="1519" w:type="dxa"/>
            <w:shd w:val="clear" w:color="auto" w:fill="auto"/>
            <w:noWrap w:val="0"/>
            <w:vAlign w:val="center"/>
          </w:tcPr>
          <w:p w14:paraId="70D3C752">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5.3561</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237" w:type="dxa"/>
            <w:shd w:val="clear" w:color="auto" w:fill="auto"/>
            <w:noWrap w:val="0"/>
            <w:vAlign w:val="center"/>
          </w:tcPr>
          <w:p w14:paraId="062D56A2">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0.9875</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819" w:type="dxa"/>
            <w:shd w:val="clear" w:color="auto" w:fill="auto"/>
            <w:noWrap w:val="0"/>
            <w:vAlign w:val="center"/>
          </w:tcPr>
          <w:p w14:paraId="178028E2">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5.3561</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676" w:type="dxa"/>
            <w:shd w:val="clear" w:color="auto" w:fill="auto"/>
            <w:noWrap w:val="0"/>
            <w:vAlign w:val="center"/>
          </w:tcPr>
          <w:p w14:paraId="3665A3A1">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r>
              <w:rPr>
                <w:rFonts w:hint="eastAsia" w:ascii="Times New Roman" w:cs="Times New Roman"/>
                <w:snapToGrid w:val="0"/>
                <w:color w:val="auto"/>
                <w:spacing w:val="-6"/>
                <w:kern w:val="21"/>
                <w:sz w:val="24"/>
                <w:szCs w:val="24"/>
                <w:highlight w:val="none"/>
                <w:lang w:val="en-US" w:eastAsia="zh-CN"/>
              </w:rPr>
              <w:t>4.3686</w:t>
            </w:r>
            <w:r>
              <w:rPr>
                <w:rFonts w:hint="eastAsia" w:ascii="Times New Roman" w:hAnsi="Times New Roman" w:eastAsia="宋体" w:cs="Times New Roman"/>
                <w:snapToGrid w:val="0"/>
                <w:color w:val="auto"/>
                <w:spacing w:val="-6"/>
                <w:kern w:val="21"/>
                <w:sz w:val="24"/>
                <w:szCs w:val="24"/>
                <w:highlight w:val="none"/>
                <w:lang w:val="en-US" w:eastAsia="zh-CN"/>
              </w:rPr>
              <w:t>t/a</w:t>
            </w:r>
          </w:p>
        </w:tc>
      </w:tr>
      <w:tr w14:paraId="0BEE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186" w:type="dxa"/>
            <w:vMerge w:val="continue"/>
            <w:noWrap w:val="0"/>
            <w:vAlign w:val="center"/>
          </w:tcPr>
          <w:p w14:paraId="0F071863">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2094" w:type="dxa"/>
            <w:shd w:val="clear" w:color="auto" w:fill="auto"/>
            <w:noWrap w:val="0"/>
            <w:vAlign w:val="center"/>
          </w:tcPr>
          <w:p w14:paraId="26C648CF">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除尘器废布袋</w:t>
            </w:r>
          </w:p>
        </w:tc>
        <w:tc>
          <w:tcPr>
            <w:tcW w:w="1623" w:type="dxa"/>
            <w:shd w:val="clear" w:color="auto" w:fill="auto"/>
            <w:noWrap w:val="0"/>
            <w:vAlign w:val="center"/>
          </w:tcPr>
          <w:p w14:paraId="13C782EC">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w:t>
            </w:r>
          </w:p>
        </w:tc>
        <w:tc>
          <w:tcPr>
            <w:tcW w:w="1228" w:type="dxa"/>
            <w:noWrap w:val="0"/>
            <w:vAlign w:val="center"/>
          </w:tcPr>
          <w:p w14:paraId="173CC05D">
            <w:pPr>
              <w:pStyle w:val="56"/>
              <w:keepNext w:val="0"/>
              <w:keepLines/>
              <w:pageBreakBefore w:val="0"/>
              <w:widowControl w:val="0"/>
              <w:kinsoku/>
              <w:wordWrap/>
              <w:overflowPunct/>
              <w:topLinePunct w:val="0"/>
              <w:autoSpaceDE/>
              <w:autoSpaceDN/>
              <w:bidi w:val="0"/>
              <w:adjustRightInd/>
              <w:snapToGrid/>
              <w:spacing w:before="48" w:beforeLines="15" w:after="48" w:afterLines="15"/>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eastAsia" w:hAnsi="Times New Roman" w:cs="Times New Roman"/>
                <w:b w:val="0"/>
                <w:bCs w:val="0"/>
                <w:color w:val="auto"/>
                <w:kern w:val="2"/>
                <w:sz w:val="24"/>
                <w:szCs w:val="24"/>
                <w:highlight w:val="none"/>
                <w:u w:val="none"/>
                <w:lang w:val="en-US" w:eastAsia="zh-CN" w:bidi="ar-SA"/>
              </w:rPr>
              <w:t>/</w:t>
            </w:r>
          </w:p>
        </w:tc>
        <w:tc>
          <w:tcPr>
            <w:tcW w:w="1406" w:type="dxa"/>
            <w:shd w:val="clear" w:color="auto" w:fill="auto"/>
            <w:noWrap w:val="0"/>
            <w:vAlign w:val="center"/>
          </w:tcPr>
          <w:p w14:paraId="69BF0239">
            <w:pPr>
              <w:pStyle w:val="56"/>
              <w:keepNext w:val="0"/>
              <w:keepLines/>
              <w:pageBreakBefore w:val="0"/>
              <w:widowControl w:val="0"/>
              <w:kinsoku/>
              <w:wordWrap/>
              <w:overflowPunct/>
              <w:topLinePunct w:val="0"/>
              <w:autoSpaceDE/>
              <w:autoSpaceDN/>
              <w:bidi w:val="0"/>
              <w:adjustRightInd/>
              <w:snapToGrid/>
              <w:spacing w:before="48" w:beforeLines="15" w:after="48" w:afterLines="15"/>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eastAsia" w:hAnsi="Times New Roman" w:cs="Times New Roman"/>
                <w:b w:val="0"/>
                <w:bCs w:val="0"/>
                <w:color w:val="auto"/>
                <w:kern w:val="2"/>
                <w:sz w:val="24"/>
                <w:szCs w:val="24"/>
                <w:highlight w:val="none"/>
                <w:u w:val="none"/>
                <w:lang w:val="en-US" w:eastAsia="zh-CN" w:bidi="ar-SA"/>
              </w:rPr>
              <w:t>/</w:t>
            </w:r>
          </w:p>
        </w:tc>
        <w:tc>
          <w:tcPr>
            <w:tcW w:w="1519" w:type="dxa"/>
            <w:shd w:val="clear" w:color="auto" w:fill="auto"/>
            <w:noWrap w:val="0"/>
            <w:vAlign w:val="center"/>
          </w:tcPr>
          <w:p w14:paraId="73847E27">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default" w:ascii="Times New Roman" w:hAnsi="Times New Roman" w:eastAsia="宋体" w:cs="Times New Roman"/>
                <w:snapToGrid w:val="0"/>
                <w:color w:val="auto"/>
                <w:spacing w:val="-6"/>
                <w:kern w:val="21"/>
                <w:sz w:val="24"/>
                <w:szCs w:val="24"/>
                <w:highlight w:val="none"/>
                <w:lang w:val="en-US" w:eastAsia="zh-CN"/>
              </w:rPr>
              <w:t>2个/a</w:t>
            </w:r>
          </w:p>
        </w:tc>
        <w:tc>
          <w:tcPr>
            <w:tcW w:w="1237" w:type="dxa"/>
            <w:shd w:val="clear" w:color="auto" w:fill="auto"/>
            <w:noWrap w:val="0"/>
            <w:vAlign w:val="center"/>
          </w:tcPr>
          <w:p w14:paraId="44879E13">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w:t>
            </w:r>
          </w:p>
        </w:tc>
        <w:tc>
          <w:tcPr>
            <w:tcW w:w="1819" w:type="dxa"/>
            <w:shd w:val="clear" w:color="auto" w:fill="auto"/>
            <w:noWrap w:val="0"/>
            <w:vAlign w:val="center"/>
          </w:tcPr>
          <w:p w14:paraId="3F084E33">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default" w:ascii="Times New Roman" w:hAnsi="Times New Roman" w:eastAsia="宋体" w:cs="Times New Roman"/>
                <w:snapToGrid w:val="0"/>
                <w:color w:val="auto"/>
                <w:spacing w:val="-6"/>
                <w:kern w:val="21"/>
                <w:sz w:val="24"/>
                <w:szCs w:val="24"/>
                <w:highlight w:val="none"/>
                <w:lang w:val="en-US" w:eastAsia="zh-CN"/>
              </w:rPr>
              <w:t>2个/a</w:t>
            </w:r>
          </w:p>
        </w:tc>
        <w:tc>
          <w:tcPr>
            <w:tcW w:w="1676" w:type="dxa"/>
            <w:shd w:val="clear" w:color="auto" w:fill="auto"/>
            <w:noWrap w:val="0"/>
            <w:vAlign w:val="center"/>
          </w:tcPr>
          <w:p w14:paraId="1435409B">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r>
              <w:rPr>
                <w:rFonts w:hint="default" w:ascii="Times New Roman" w:hAnsi="Times New Roman" w:eastAsia="宋体" w:cs="Times New Roman"/>
                <w:snapToGrid w:val="0"/>
                <w:color w:val="auto"/>
                <w:spacing w:val="-6"/>
                <w:kern w:val="21"/>
                <w:sz w:val="24"/>
                <w:szCs w:val="24"/>
                <w:highlight w:val="none"/>
                <w:lang w:val="en-US" w:eastAsia="zh-CN"/>
              </w:rPr>
              <w:t>2个/a</w:t>
            </w:r>
          </w:p>
        </w:tc>
      </w:tr>
      <w:tr w14:paraId="1C6E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186" w:type="dxa"/>
            <w:vMerge w:val="restart"/>
            <w:noWrap w:val="0"/>
            <w:vAlign w:val="center"/>
          </w:tcPr>
          <w:p w14:paraId="3328F338">
            <w:pPr>
              <w:keepNext w:val="0"/>
              <w:keepLines w:val="0"/>
              <w:pageBreakBefore w:val="0"/>
              <w:widowControl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cs="Times New Roman"/>
                <w:snapToGrid w:val="0"/>
                <w:color w:val="auto"/>
                <w:kern w:val="21"/>
                <w:sz w:val="24"/>
                <w:szCs w:val="24"/>
                <w:highlight w:val="none"/>
                <w:lang w:val="en-US" w:eastAsia="zh-CN"/>
              </w:rPr>
              <w:t>危险废物</w:t>
            </w:r>
          </w:p>
        </w:tc>
        <w:tc>
          <w:tcPr>
            <w:tcW w:w="2094" w:type="dxa"/>
            <w:shd w:val="clear" w:color="auto" w:fill="auto"/>
            <w:noWrap w:val="0"/>
            <w:vAlign w:val="center"/>
          </w:tcPr>
          <w:p w14:paraId="03EB1308">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废机油</w:t>
            </w:r>
          </w:p>
        </w:tc>
        <w:tc>
          <w:tcPr>
            <w:tcW w:w="1623" w:type="dxa"/>
            <w:shd w:val="clear" w:color="auto" w:fill="auto"/>
            <w:noWrap w:val="0"/>
            <w:vAlign w:val="center"/>
          </w:tcPr>
          <w:p w14:paraId="2B5F1B39">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0.0</w:t>
            </w:r>
            <w:r>
              <w:rPr>
                <w:rFonts w:hint="eastAsia" w:ascii="Times New Roman" w:cs="Times New Roman"/>
                <w:snapToGrid w:val="0"/>
                <w:color w:val="auto"/>
                <w:spacing w:val="-6"/>
                <w:kern w:val="21"/>
                <w:sz w:val="24"/>
                <w:szCs w:val="24"/>
                <w:highlight w:val="none"/>
                <w:lang w:val="en-US" w:eastAsia="zh-CN"/>
              </w:rPr>
              <w:t>02</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228" w:type="dxa"/>
            <w:noWrap w:val="0"/>
            <w:vAlign w:val="center"/>
          </w:tcPr>
          <w:p w14:paraId="518207F6">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1406" w:type="dxa"/>
            <w:shd w:val="clear" w:color="auto" w:fill="auto"/>
            <w:noWrap w:val="0"/>
            <w:vAlign w:val="center"/>
          </w:tcPr>
          <w:p w14:paraId="47E2A9C3">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1519" w:type="dxa"/>
            <w:shd w:val="clear" w:color="auto" w:fill="auto"/>
            <w:noWrap w:val="0"/>
            <w:vAlign w:val="center"/>
          </w:tcPr>
          <w:p w14:paraId="5F723A6F">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0.002</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237" w:type="dxa"/>
            <w:shd w:val="clear" w:color="auto" w:fill="auto"/>
            <w:noWrap w:val="0"/>
            <w:vAlign w:val="center"/>
          </w:tcPr>
          <w:p w14:paraId="74358EF1">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0.0</w:t>
            </w:r>
            <w:r>
              <w:rPr>
                <w:rFonts w:hint="eastAsia" w:ascii="Times New Roman" w:cs="Times New Roman"/>
                <w:snapToGrid w:val="0"/>
                <w:color w:val="auto"/>
                <w:spacing w:val="-6"/>
                <w:kern w:val="21"/>
                <w:sz w:val="24"/>
                <w:szCs w:val="24"/>
                <w:highlight w:val="none"/>
                <w:lang w:val="en-US" w:eastAsia="zh-CN"/>
              </w:rPr>
              <w:t>02</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819" w:type="dxa"/>
            <w:shd w:val="clear" w:color="auto" w:fill="auto"/>
            <w:noWrap w:val="0"/>
            <w:vAlign w:val="center"/>
          </w:tcPr>
          <w:p w14:paraId="7E4F3FC0">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0.002</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676" w:type="dxa"/>
            <w:shd w:val="clear" w:color="auto" w:fill="auto"/>
            <w:noWrap w:val="0"/>
            <w:vAlign w:val="center"/>
          </w:tcPr>
          <w:p w14:paraId="51DDE4DD">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w:t>
            </w:r>
          </w:p>
        </w:tc>
      </w:tr>
      <w:tr w14:paraId="5503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186" w:type="dxa"/>
            <w:vMerge w:val="continue"/>
            <w:noWrap w:val="0"/>
            <w:vAlign w:val="center"/>
          </w:tcPr>
          <w:p w14:paraId="2A397514">
            <w:pPr>
              <w:keepNext w:val="0"/>
              <w:keepLines w:val="0"/>
              <w:pageBreakBefore w:val="0"/>
              <w:widowControl w:val="0"/>
              <w:kinsoku/>
              <w:wordWrap/>
              <w:overflowPunct/>
              <w:topLinePunct w:val="0"/>
              <w:autoSpaceDE/>
              <w:autoSpaceDN/>
              <w:bidi w:val="0"/>
              <w:adjustRightInd/>
              <w:snapToGrid/>
              <w:spacing w:before="48" w:beforeLines="15" w:after="48" w:afterLines="15"/>
              <w:jc w:val="center"/>
              <w:textAlignment w:val="auto"/>
              <w:rPr>
                <w:rFonts w:hint="eastAsia" w:ascii="Times New Roman" w:cs="Times New Roman"/>
                <w:snapToGrid w:val="0"/>
                <w:color w:val="auto"/>
                <w:kern w:val="21"/>
                <w:sz w:val="24"/>
                <w:szCs w:val="24"/>
                <w:highlight w:val="none"/>
                <w:lang w:val="en-US" w:eastAsia="zh-CN"/>
              </w:rPr>
            </w:pPr>
          </w:p>
        </w:tc>
        <w:tc>
          <w:tcPr>
            <w:tcW w:w="2094" w:type="dxa"/>
            <w:shd w:val="clear" w:color="auto" w:fill="auto"/>
            <w:noWrap w:val="0"/>
            <w:vAlign w:val="center"/>
          </w:tcPr>
          <w:p w14:paraId="096CC4CF">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cs="Times New Roman"/>
                <w:snapToGrid w:val="0"/>
                <w:color w:val="auto"/>
                <w:kern w:val="21"/>
                <w:sz w:val="24"/>
                <w:szCs w:val="24"/>
                <w:highlight w:val="none"/>
                <w:lang w:val="en-US" w:eastAsia="zh-CN"/>
              </w:rPr>
              <w:t>废防锈油</w:t>
            </w:r>
          </w:p>
        </w:tc>
        <w:tc>
          <w:tcPr>
            <w:tcW w:w="1623" w:type="dxa"/>
            <w:shd w:val="clear" w:color="auto" w:fill="auto"/>
            <w:noWrap w:val="0"/>
            <w:vAlign w:val="center"/>
          </w:tcPr>
          <w:p w14:paraId="798E75AE">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w:t>
            </w:r>
          </w:p>
        </w:tc>
        <w:tc>
          <w:tcPr>
            <w:tcW w:w="1228" w:type="dxa"/>
            <w:noWrap w:val="0"/>
            <w:vAlign w:val="center"/>
          </w:tcPr>
          <w:p w14:paraId="3E1F1B4C">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1406" w:type="dxa"/>
            <w:shd w:val="clear" w:color="auto" w:fill="auto"/>
            <w:noWrap w:val="0"/>
            <w:vAlign w:val="center"/>
          </w:tcPr>
          <w:p w14:paraId="1769EE5C">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1519" w:type="dxa"/>
            <w:shd w:val="clear" w:color="auto" w:fill="auto"/>
            <w:noWrap w:val="0"/>
            <w:vAlign w:val="center"/>
          </w:tcPr>
          <w:p w14:paraId="391BE79E">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0.035t/a</w:t>
            </w:r>
          </w:p>
        </w:tc>
        <w:tc>
          <w:tcPr>
            <w:tcW w:w="1237" w:type="dxa"/>
            <w:shd w:val="clear" w:color="auto" w:fill="auto"/>
            <w:noWrap w:val="0"/>
            <w:vAlign w:val="center"/>
          </w:tcPr>
          <w:p w14:paraId="48074070">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w:t>
            </w:r>
          </w:p>
        </w:tc>
        <w:tc>
          <w:tcPr>
            <w:tcW w:w="1819" w:type="dxa"/>
            <w:shd w:val="clear" w:color="auto" w:fill="auto"/>
            <w:noWrap w:val="0"/>
            <w:vAlign w:val="center"/>
          </w:tcPr>
          <w:p w14:paraId="45E40802">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0.035t/a</w:t>
            </w:r>
          </w:p>
        </w:tc>
        <w:tc>
          <w:tcPr>
            <w:tcW w:w="1676" w:type="dxa"/>
            <w:shd w:val="clear" w:color="auto" w:fill="auto"/>
            <w:noWrap w:val="0"/>
            <w:vAlign w:val="center"/>
          </w:tcPr>
          <w:p w14:paraId="1110EDE1">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+0.035t/a</w:t>
            </w:r>
          </w:p>
        </w:tc>
      </w:tr>
      <w:tr w14:paraId="7650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186" w:type="dxa"/>
            <w:vMerge w:val="continue"/>
          </w:tcPr>
          <w:p w14:paraId="20926F97">
            <w:pPr>
              <w:keepNext w:val="0"/>
              <w:keepLines w:val="0"/>
              <w:pageBreakBefore w:val="0"/>
              <w:widowControl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snapToGrid w:val="0"/>
                <w:color w:val="auto"/>
                <w:kern w:val="21"/>
                <w:sz w:val="24"/>
                <w:szCs w:val="24"/>
                <w:highlight w:val="none"/>
                <w:lang w:val="en-US" w:eastAsia="zh-CN"/>
              </w:rPr>
            </w:pPr>
          </w:p>
        </w:tc>
        <w:tc>
          <w:tcPr>
            <w:tcW w:w="2094" w:type="dxa"/>
            <w:shd w:val="clear" w:color="auto" w:fill="auto"/>
            <w:vAlign w:val="center"/>
          </w:tcPr>
          <w:p w14:paraId="34E569FB">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废</w:t>
            </w:r>
            <w:r>
              <w:rPr>
                <w:rFonts w:hint="eastAsia" w:ascii="Times New Roman" w:hAnsi="Times New Roman" w:eastAsia="宋体" w:cs="Times New Roman"/>
                <w:snapToGrid w:val="0"/>
                <w:color w:val="auto"/>
                <w:kern w:val="21"/>
                <w:sz w:val="24"/>
                <w:szCs w:val="24"/>
                <w:highlight w:val="none"/>
                <w:lang w:val="en-US" w:eastAsia="zh-CN"/>
              </w:rPr>
              <w:t>切削</w:t>
            </w:r>
            <w:r>
              <w:rPr>
                <w:rFonts w:hint="default" w:ascii="Times New Roman" w:hAnsi="Times New Roman" w:eastAsia="宋体" w:cs="Times New Roman"/>
                <w:snapToGrid w:val="0"/>
                <w:color w:val="auto"/>
                <w:kern w:val="21"/>
                <w:sz w:val="24"/>
                <w:szCs w:val="24"/>
                <w:highlight w:val="none"/>
                <w:lang w:val="en-US" w:eastAsia="zh-CN"/>
              </w:rPr>
              <w:t>液</w:t>
            </w:r>
          </w:p>
        </w:tc>
        <w:tc>
          <w:tcPr>
            <w:tcW w:w="1623" w:type="dxa"/>
            <w:shd w:val="clear" w:color="auto" w:fill="auto"/>
            <w:vAlign w:val="center"/>
          </w:tcPr>
          <w:p w14:paraId="40BEFA5C">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0.15t/a</w:t>
            </w:r>
          </w:p>
        </w:tc>
        <w:tc>
          <w:tcPr>
            <w:tcW w:w="1228" w:type="dxa"/>
          </w:tcPr>
          <w:p w14:paraId="2CF6867C">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1406" w:type="dxa"/>
            <w:shd w:val="clear" w:color="auto" w:fill="auto"/>
            <w:vAlign w:val="top"/>
          </w:tcPr>
          <w:p w14:paraId="4EA1A21F">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0" w:type="auto"/>
            <w:shd w:val="clear" w:color="auto" w:fill="auto"/>
            <w:vAlign w:val="center"/>
          </w:tcPr>
          <w:p w14:paraId="72CE6877">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0.2t/a</w:t>
            </w:r>
          </w:p>
        </w:tc>
        <w:tc>
          <w:tcPr>
            <w:tcW w:w="1237" w:type="dxa"/>
            <w:shd w:val="clear" w:color="auto" w:fill="auto"/>
            <w:vAlign w:val="center"/>
          </w:tcPr>
          <w:p w14:paraId="1E3E478F">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0.15t/a</w:t>
            </w:r>
          </w:p>
        </w:tc>
        <w:tc>
          <w:tcPr>
            <w:tcW w:w="1819" w:type="dxa"/>
            <w:shd w:val="clear" w:color="auto" w:fill="auto"/>
            <w:vAlign w:val="center"/>
          </w:tcPr>
          <w:p w14:paraId="173AC5AE">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0.2t/a</w:t>
            </w:r>
          </w:p>
        </w:tc>
        <w:tc>
          <w:tcPr>
            <w:tcW w:w="1676" w:type="dxa"/>
            <w:shd w:val="clear" w:color="auto" w:fill="auto"/>
            <w:vAlign w:val="center"/>
          </w:tcPr>
          <w:p w14:paraId="273F1BAF">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+0.</w:t>
            </w:r>
            <w:r>
              <w:rPr>
                <w:rFonts w:hint="eastAsia" w:ascii="Times New Roman" w:cs="Times New Roman"/>
                <w:snapToGrid w:val="0"/>
                <w:color w:val="auto"/>
                <w:spacing w:val="-6"/>
                <w:kern w:val="21"/>
                <w:sz w:val="24"/>
                <w:szCs w:val="24"/>
                <w:highlight w:val="none"/>
                <w:lang w:val="en-US" w:eastAsia="zh-CN"/>
              </w:rPr>
              <w:t>05</w:t>
            </w:r>
            <w:r>
              <w:rPr>
                <w:rFonts w:hint="eastAsia" w:ascii="Times New Roman" w:hAnsi="Times New Roman" w:eastAsia="宋体" w:cs="Times New Roman"/>
                <w:snapToGrid w:val="0"/>
                <w:color w:val="auto"/>
                <w:spacing w:val="-6"/>
                <w:kern w:val="21"/>
                <w:sz w:val="24"/>
                <w:szCs w:val="24"/>
                <w:highlight w:val="none"/>
                <w:lang w:val="en-US" w:eastAsia="zh-CN"/>
              </w:rPr>
              <w:t>t/a</w:t>
            </w:r>
          </w:p>
        </w:tc>
      </w:tr>
      <w:tr w14:paraId="5A36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186" w:type="dxa"/>
            <w:vMerge w:val="continue"/>
          </w:tcPr>
          <w:p w14:paraId="0BF2B2BE">
            <w:pPr>
              <w:keepNext w:val="0"/>
              <w:keepLines w:val="0"/>
              <w:pageBreakBefore w:val="0"/>
              <w:widowControl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snapToGrid w:val="0"/>
                <w:color w:val="auto"/>
                <w:kern w:val="21"/>
                <w:sz w:val="24"/>
                <w:szCs w:val="24"/>
                <w:highlight w:val="none"/>
                <w:lang w:val="en-US" w:eastAsia="zh-CN"/>
              </w:rPr>
            </w:pPr>
          </w:p>
        </w:tc>
        <w:tc>
          <w:tcPr>
            <w:tcW w:w="2094" w:type="dxa"/>
            <w:shd w:val="clear" w:color="auto" w:fill="auto"/>
            <w:vAlign w:val="center"/>
          </w:tcPr>
          <w:p w14:paraId="1491A744">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废包装桶</w:t>
            </w:r>
          </w:p>
        </w:tc>
        <w:tc>
          <w:tcPr>
            <w:tcW w:w="1623" w:type="dxa"/>
            <w:shd w:val="clear" w:color="auto" w:fill="auto"/>
            <w:vAlign w:val="center"/>
          </w:tcPr>
          <w:p w14:paraId="03B4F930">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0.011</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228" w:type="dxa"/>
          </w:tcPr>
          <w:p w14:paraId="549BA724">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1406" w:type="dxa"/>
            <w:shd w:val="clear" w:color="auto" w:fill="auto"/>
            <w:vAlign w:val="top"/>
          </w:tcPr>
          <w:p w14:paraId="6F87CD0F">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0" w:type="auto"/>
            <w:shd w:val="clear" w:color="auto" w:fill="auto"/>
            <w:vAlign w:val="center"/>
          </w:tcPr>
          <w:p w14:paraId="3156738B">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0.076</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237" w:type="dxa"/>
            <w:shd w:val="clear" w:color="auto" w:fill="auto"/>
            <w:vAlign w:val="center"/>
          </w:tcPr>
          <w:p w14:paraId="48D67511">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0.011</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819" w:type="dxa"/>
            <w:shd w:val="clear" w:color="auto" w:fill="auto"/>
            <w:vAlign w:val="center"/>
          </w:tcPr>
          <w:p w14:paraId="2E4A47B8">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0.076</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1676" w:type="dxa"/>
            <w:shd w:val="clear" w:color="auto" w:fill="auto"/>
            <w:vAlign w:val="center"/>
          </w:tcPr>
          <w:p w14:paraId="4EC20169">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+0.065</w:t>
            </w:r>
            <w:r>
              <w:rPr>
                <w:rFonts w:hint="eastAsia" w:ascii="Times New Roman" w:hAnsi="Times New Roman" w:eastAsia="宋体" w:cs="Times New Roman"/>
                <w:snapToGrid w:val="0"/>
                <w:color w:val="auto"/>
                <w:spacing w:val="-6"/>
                <w:kern w:val="21"/>
                <w:sz w:val="24"/>
                <w:szCs w:val="24"/>
                <w:highlight w:val="none"/>
                <w:lang w:val="en-US" w:eastAsia="zh-CN"/>
              </w:rPr>
              <w:t>t/a</w:t>
            </w:r>
          </w:p>
        </w:tc>
      </w:tr>
      <w:tr w14:paraId="66D7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186" w:type="dxa"/>
            <w:vMerge w:val="continue"/>
          </w:tcPr>
          <w:p w14:paraId="5B39038F">
            <w:pPr>
              <w:keepNext w:val="0"/>
              <w:keepLines w:val="0"/>
              <w:pageBreakBefore w:val="0"/>
              <w:widowControl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snapToGrid w:val="0"/>
                <w:color w:val="auto"/>
                <w:kern w:val="21"/>
                <w:sz w:val="24"/>
                <w:szCs w:val="24"/>
                <w:highlight w:val="none"/>
                <w:lang w:val="en-US" w:eastAsia="zh-CN"/>
              </w:rPr>
            </w:pPr>
          </w:p>
        </w:tc>
        <w:tc>
          <w:tcPr>
            <w:tcW w:w="0" w:type="auto"/>
            <w:shd w:val="clear" w:color="auto" w:fill="auto"/>
            <w:vAlign w:val="center"/>
          </w:tcPr>
          <w:p w14:paraId="44746134">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废活性炭</w:t>
            </w:r>
          </w:p>
        </w:tc>
        <w:tc>
          <w:tcPr>
            <w:tcW w:w="0" w:type="auto"/>
            <w:shd w:val="clear" w:color="auto" w:fill="auto"/>
            <w:vAlign w:val="center"/>
          </w:tcPr>
          <w:p w14:paraId="572E0E7A">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p>
        </w:tc>
        <w:tc>
          <w:tcPr>
            <w:tcW w:w="0" w:type="auto"/>
          </w:tcPr>
          <w:p w14:paraId="29DC393F">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0" w:type="auto"/>
            <w:shd w:val="clear" w:color="auto" w:fill="auto"/>
            <w:vAlign w:val="top"/>
          </w:tcPr>
          <w:p w14:paraId="47B745F7">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0" w:type="auto"/>
            <w:shd w:val="clear" w:color="auto" w:fill="auto"/>
            <w:vAlign w:val="center"/>
          </w:tcPr>
          <w:p w14:paraId="5DD526B6">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1.3516</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0" w:type="auto"/>
            <w:shd w:val="clear" w:color="auto" w:fill="auto"/>
            <w:vAlign w:val="center"/>
          </w:tcPr>
          <w:p w14:paraId="06A716A4">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p>
        </w:tc>
        <w:tc>
          <w:tcPr>
            <w:tcW w:w="0" w:type="auto"/>
            <w:shd w:val="clear" w:color="auto" w:fill="auto"/>
            <w:vAlign w:val="center"/>
          </w:tcPr>
          <w:p w14:paraId="402E7040">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1.3516</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0" w:type="auto"/>
            <w:shd w:val="clear" w:color="auto" w:fill="auto"/>
            <w:vAlign w:val="center"/>
          </w:tcPr>
          <w:p w14:paraId="49A8CB64">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r>
              <w:rPr>
                <w:rFonts w:hint="eastAsia" w:ascii="Times New Roman" w:cs="Times New Roman"/>
                <w:snapToGrid w:val="0"/>
                <w:color w:val="auto"/>
                <w:spacing w:val="-6"/>
                <w:kern w:val="21"/>
                <w:sz w:val="24"/>
                <w:szCs w:val="24"/>
                <w:highlight w:val="none"/>
                <w:lang w:val="en-US" w:eastAsia="zh-CN"/>
              </w:rPr>
              <w:t>1.3516</w:t>
            </w:r>
            <w:r>
              <w:rPr>
                <w:rFonts w:hint="eastAsia" w:ascii="Times New Roman" w:hAnsi="Times New Roman" w:eastAsia="宋体" w:cs="Times New Roman"/>
                <w:snapToGrid w:val="0"/>
                <w:color w:val="auto"/>
                <w:spacing w:val="-6"/>
                <w:kern w:val="21"/>
                <w:sz w:val="24"/>
                <w:szCs w:val="24"/>
                <w:highlight w:val="none"/>
                <w:lang w:val="en-US" w:eastAsia="zh-CN"/>
              </w:rPr>
              <w:t>t/a</w:t>
            </w:r>
          </w:p>
        </w:tc>
      </w:tr>
      <w:tr w14:paraId="74BF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186" w:type="dxa"/>
            <w:vMerge w:val="continue"/>
          </w:tcPr>
          <w:p w14:paraId="7455DBC3">
            <w:pPr>
              <w:keepNext w:val="0"/>
              <w:keepLines w:val="0"/>
              <w:pageBreakBefore w:val="0"/>
              <w:widowControl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snapToGrid w:val="0"/>
                <w:color w:val="auto"/>
                <w:kern w:val="21"/>
                <w:sz w:val="24"/>
                <w:szCs w:val="24"/>
                <w:highlight w:val="none"/>
                <w:lang w:val="en-US" w:eastAsia="zh-CN"/>
              </w:rPr>
            </w:pPr>
          </w:p>
        </w:tc>
        <w:tc>
          <w:tcPr>
            <w:tcW w:w="0" w:type="auto"/>
            <w:shd w:val="clear" w:color="auto" w:fill="auto"/>
            <w:vAlign w:val="center"/>
          </w:tcPr>
          <w:p w14:paraId="4F25BD52">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cs="Times New Roman"/>
                <w:snapToGrid w:val="0"/>
                <w:color w:val="auto"/>
                <w:kern w:val="21"/>
                <w:sz w:val="24"/>
                <w:szCs w:val="24"/>
                <w:highlight w:val="none"/>
                <w:lang w:val="en-US" w:eastAsia="zh-CN"/>
              </w:rPr>
              <w:t>废分子筛</w:t>
            </w:r>
          </w:p>
        </w:tc>
        <w:tc>
          <w:tcPr>
            <w:tcW w:w="0" w:type="auto"/>
            <w:shd w:val="clear" w:color="auto" w:fill="auto"/>
            <w:vAlign w:val="center"/>
          </w:tcPr>
          <w:p w14:paraId="4A55BC37">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p>
        </w:tc>
        <w:tc>
          <w:tcPr>
            <w:tcW w:w="0" w:type="auto"/>
          </w:tcPr>
          <w:p w14:paraId="5215D2BB">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cs="Times New Roman"/>
                <w:color w:val="auto"/>
                <w:kern w:val="2"/>
                <w:sz w:val="24"/>
                <w:szCs w:val="24"/>
                <w:highlight w:val="none"/>
                <w:vertAlign w:val="baseline"/>
                <w:lang w:val="en-US" w:eastAsia="zh-CN" w:bidi="ar-SA"/>
              </w:rPr>
            </w:pPr>
            <w:r>
              <w:rPr>
                <w:rFonts w:hint="eastAsia" w:ascii="Times New Roman" w:hAnsi="Times New Roman" w:eastAsia="宋体" w:cs="Times New Roman"/>
                <w:snapToGrid w:val="0"/>
                <w:color w:val="auto"/>
                <w:spacing w:val="-6"/>
                <w:kern w:val="21"/>
                <w:sz w:val="24"/>
                <w:szCs w:val="24"/>
                <w:highlight w:val="none"/>
                <w:lang w:val="en-US" w:eastAsia="zh-CN"/>
              </w:rPr>
              <w:t>/</w:t>
            </w:r>
          </w:p>
        </w:tc>
        <w:tc>
          <w:tcPr>
            <w:tcW w:w="0" w:type="auto"/>
            <w:shd w:val="clear" w:color="auto" w:fill="auto"/>
            <w:vAlign w:val="top"/>
          </w:tcPr>
          <w:p w14:paraId="3A81457F">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eastAsia" w:cs="Times New Roman"/>
                <w:color w:val="auto"/>
                <w:kern w:val="2"/>
                <w:sz w:val="24"/>
                <w:szCs w:val="24"/>
                <w:highlight w:val="none"/>
                <w:vertAlign w:val="baseline"/>
                <w:lang w:val="en-US" w:eastAsia="zh-CN" w:bidi="ar-SA"/>
              </w:rPr>
            </w:pPr>
            <w:r>
              <w:rPr>
                <w:rFonts w:hint="eastAsia" w:ascii="Times New Roman" w:hAnsi="Times New Roman" w:eastAsia="宋体" w:cs="Times New Roman"/>
                <w:snapToGrid w:val="0"/>
                <w:color w:val="auto"/>
                <w:spacing w:val="-6"/>
                <w:kern w:val="21"/>
                <w:sz w:val="24"/>
                <w:szCs w:val="24"/>
                <w:highlight w:val="none"/>
                <w:lang w:val="en-US" w:eastAsia="zh-CN"/>
              </w:rPr>
              <w:t>/</w:t>
            </w:r>
          </w:p>
        </w:tc>
        <w:tc>
          <w:tcPr>
            <w:tcW w:w="0" w:type="auto"/>
            <w:shd w:val="clear" w:color="auto" w:fill="auto"/>
            <w:vAlign w:val="center"/>
          </w:tcPr>
          <w:p w14:paraId="567900C3">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0.3203</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0" w:type="auto"/>
            <w:shd w:val="clear" w:color="auto" w:fill="auto"/>
            <w:vAlign w:val="center"/>
          </w:tcPr>
          <w:p w14:paraId="6E634860">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w:t>
            </w:r>
          </w:p>
        </w:tc>
        <w:tc>
          <w:tcPr>
            <w:tcW w:w="0" w:type="auto"/>
            <w:shd w:val="clear" w:color="auto" w:fill="auto"/>
            <w:vAlign w:val="center"/>
          </w:tcPr>
          <w:p w14:paraId="05BCD9B0">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0.3203</w:t>
            </w:r>
            <w:r>
              <w:rPr>
                <w:rFonts w:hint="eastAsia" w:ascii="Times New Roman" w:hAnsi="Times New Roman" w:eastAsia="宋体" w:cs="Times New Roman"/>
                <w:snapToGrid w:val="0"/>
                <w:color w:val="auto"/>
                <w:spacing w:val="-6"/>
                <w:kern w:val="21"/>
                <w:sz w:val="24"/>
                <w:szCs w:val="24"/>
                <w:highlight w:val="none"/>
                <w:lang w:val="en-US" w:eastAsia="zh-CN"/>
              </w:rPr>
              <w:t>t/a</w:t>
            </w:r>
          </w:p>
        </w:tc>
        <w:tc>
          <w:tcPr>
            <w:tcW w:w="0" w:type="auto"/>
            <w:shd w:val="clear" w:color="auto" w:fill="auto"/>
            <w:vAlign w:val="center"/>
          </w:tcPr>
          <w:p w14:paraId="69A936E5">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eastAsia" w:ascii="Times New Roman" w:hAnsi="Times New Roman" w:eastAsia="宋体" w:cs="Times New Roman"/>
                <w:snapToGrid w:val="0"/>
                <w:color w:val="auto"/>
                <w:spacing w:val="-6"/>
                <w:kern w:val="21"/>
                <w:sz w:val="24"/>
                <w:szCs w:val="24"/>
                <w:highlight w:val="none"/>
                <w:lang w:val="en-US" w:eastAsia="zh-CN"/>
              </w:rPr>
            </w:pPr>
            <w:r>
              <w:rPr>
                <w:rFonts w:hint="eastAsia" w:ascii="Times New Roman" w:cs="Times New Roman"/>
                <w:snapToGrid w:val="0"/>
                <w:color w:val="auto"/>
                <w:spacing w:val="-6"/>
                <w:kern w:val="21"/>
                <w:sz w:val="24"/>
                <w:szCs w:val="24"/>
                <w:highlight w:val="none"/>
                <w:lang w:val="en-US" w:eastAsia="zh-CN"/>
              </w:rPr>
              <w:t>0.3203</w:t>
            </w:r>
            <w:r>
              <w:rPr>
                <w:rFonts w:hint="eastAsia" w:ascii="Times New Roman" w:hAnsi="Times New Roman" w:eastAsia="宋体" w:cs="Times New Roman"/>
                <w:snapToGrid w:val="0"/>
                <w:color w:val="auto"/>
                <w:spacing w:val="-6"/>
                <w:kern w:val="21"/>
                <w:sz w:val="24"/>
                <w:szCs w:val="24"/>
                <w:highlight w:val="none"/>
                <w:lang w:val="en-US" w:eastAsia="zh-CN"/>
              </w:rPr>
              <w:t>t/a</w:t>
            </w:r>
          </w:p>
        </w:tc>
      </w:tr>
      <w:tr w14:paraId="6085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0" w:type="auto"/>
          </w:tcPr>
          <w:p w14:paraId="58C00471">
            <w:pPr>
              <w:keepNext w:val="0"/>
              <w:keepLines w:val="0"/>
              <w:pageBreakBefore w:val="0"/>
              <w:widowControl w:val="0"/>
              <w:kinsoku/>
              <w:wordWrap/>
              <w:overflowPunct/>
              <w:topLinePunct w:val="0"/>
              <w:autoSpaceDE/>
              <w:autoSpaceDN/>
              <w:bidi w:val="0"/>
              <w:adjustRightInd/>
              <w:snapToGrid/>
              <w:spacing w:before="48" w:beforeLines="15" w:after="48" w:afterLines="15"/>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职工生活</w:t>
            </w:r>
          </w:p>
        </w:tc>
        <w:tc>
          <w:tcPr>
            <w:tcW w:w="0" w:type="auto"/>
            <w:shd w:val="clear" w:color="auto" w:fill="auto"/>
            <w:vAlign w:val="center"/>
          </w:tcPr>
          <w:p w14:paraId="65046712">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生活垃圾</w:t>
            </w:r>
          </w:p>
        </w:tc>
        <w:tc>
          <w:tcPr>
            <w:tcW w:w="0" w:type="auto"/>
            <w:shd w:val="clear" w:color="auto" w:fill="auto"/>
            <w:vAlign w:val="center"/>
          </w:tcPr>
          <w:p w14:paraId="4CE3F8C4">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3t/a</w:t>
            </w:r>
          </w:p>
        </w:tc>
        <w:tc>
          <w:tcPr>
            <w:tcW w:w="0" w:type="auto"/>
          </w:tcPr>
          <w:p w14:paraId="560A7BF2">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0" w:type="auto"/>
            <w:shd w:val="clear" w:color="auto" w:fill="auto"/>
            <w:vAlign w:val="top"/>
          </w:tcPr>
          <w:p w14:paraId="7F83518B">
            <w:pPr>
              <w:keepNext w:val="0"/>
              <w:keepLines w:val="0"/>
              <w:pageBreakBefore w:val="0"/>
              <w:widowControl w:val="0"/>
              <w:kinsoku/>
              <w:wordWrap/>
              <w:overflowPunct/>
              <w:topLinePunct w:val="0"/>
              <w:autoSpaceDE/>
              <w:autoSpaceDN/>
              <w:bidi w:val="0"/>
              <w:adjustRightInd/>
              <w:snapToGrid/>
              <w:spacing w:before="48" w:beforeLines="15" w:after="48" w:afterLines="15"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0" w:type="auto"/>
            <w:shd w:val="clear" w:color="auto" w:fill="auto"/>
            <w:vAlign w:val="center"/>
          </w:tcPr>
          <w:p w14:paraId="743C01B0">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4.5t/a</w:t>
            </w:r>
          </w:p>
        </w:tc>
        <w:tc>
          <w:tcPr>
            <w:tcW w:w="0" w:type="auto"/>
            <w:shd w:val="clear" w:color="auto" w:fill="auto"/>
            <w:vAlign w:val="center"/>
          </w:tcPr>
          <w:p w14:paraId="1739A050">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3t/a</w:t>
            </w:r>
          </w:p>
        </w:tc>
        <w:tc>
          <w:tcPr>
            <w:tcW w:w="0" w:type="auto"/>
            <w:shd w:val="clear" w:color="auto" w:fill="auto"/>
            <w:vAlign w:val="center"/>
          </w:tcPr>
          <w:p w14:paraId="22B28CAF">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4.5t/a</w:t>
            </w:r>
          </w:p>
        </w:tc>
        <w:tc>
          <w:tcPr>
            <w:tcW w:w="0" w:type="auto"/>
            <w:shd w:val="clear" w:color="auto" w:fill="auto"/>
            <w:vAlign w:val="center"/>
          </w:tcPr>
          <w:p w14:paraId="5281D879">
            <w:pPr>
              <w:pStyle w:val="49"/>
              <w:keepNext w:val="0"/>
              <w:keepLines w:val="0"/>
              <w:pageBreakBefore w:val="0"/>
              <w:widowControl w:val="0"/>
              <w:kinsoku/>
              <w:wordWrap/>
              <w:overflowPunct/>
              <w:topLinePunct w:val="0"/>
              <w:autoSpaceDE/>
              <w:autoSpaceDN/>
              <w:bidi w:val="0"/>
              <w:adjustRightInd w:val="0"/>
              <w:snapToGrid w:val="0"/>
              <w:spacing w:before="48" w:beforeLines="15" w:after="48" w:afterLines="15" w:line="240" w:lineRule="auto"/>
              <w:textAlignment w:val="auto"/>
              <w:rPr>
                <w:rFonts w:hint="default" w:ascii="Times New Roman" w:hAnsi="Times New Roman" w:eastAsia="宋体" w:cs="Times New Roman"/>
                <w:snapToGrid w:val="0"/>
                <w:color w:val="auto"/>
                <w:spacing w:val="-6"/>
                <w:kern w:val="21"/>
                <w:sz w:val="24"/>
                <w:szCs w:val="24"/>
                <w:highlight w:val="none"/>
                <w:lang w:val="en-US" w:eastAsia="zh-CN"/>
              </w:rPr>
            </w:pPr>
            <w:r>
              <w:rPr>
                <w:rFonts w:hint="eastAsia" w:ascii="Times New Roman" w:hAnsi="Times New Roman" w:eastAsia="宋体" w:cs="Times New Roman"/>
                <w:snapToGrid w:val="0"/>
                <w:color w:val="auto"/>
                <w:spacing w:val="-6"/>
                <w:kern w:val="21"/>
                <w:sz w:val="24"/>
                <w:szCs w:val="24"/>
                <w:highlight w:val="none"/>
                <w:lang w:val="en-US" w:eastAsia="zh-CN"/>
              </w:rPr>
              <w:t>+1.5t/a</w:t>
            </w:r>
          </w:p>
        </w:tc>
      </w:tr>
    </w:tbl>
    <w:p w14:paraId="2B7B8B79">
      <w:pPr>
        <w:pStyle w:val="49"/>
        <w:spacing w:before="192" w:beforeLines="80" w:after="24"/>
        <w:jc w:val="left"/>
        <w:rPr>
          <w:rFonts w:hint="default" w:ascii="Times New Roman" w:hAnsi="Times New Roman" w:eastAsia="宋体" w:cs="Times New Roman"/>
          <w:snapToGrid w:val="0"/>
          <w:color w:val="auto"/>
          <w:spacing w:val="-6"/>
          <w:kern w:val="21"/>
          <w:szCs w:val="21"/>
          <w:highlight w:val="none"/>
        </w:rPr>
        <w:sectPr>
          <w:footerReference r:id="rId7" w:type="default"/>
          <w:pgSz w:w="16838" w:h="11906" w:orient="landscape"/>
          <w:pgMar w:top="1701" w:right="1701" w:bottom="1531" w:left="1701" w:header="851" w:footer="851" w:gutter="0"/>
          <w:pgNumType w:fmt="decimal"/>
          <w:cols w:space="720" w:num="1"/>
          <w:docGrid w:linePitch="312" w:charSpace="0"/>
        </w:sect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14:paraId="306D3465">
      <w:pPr>
        <w:pStyle w:val="4"/>
        <w:rPr>
          <w:rFonts w:hint="default"/>
          <w:color w:val="auto"/>
          <w:lang w:val="en-US" w:eastAsia="zh-CN"/>
        </w:rPr>
      </w:pPr>
      <w:bookmarkStart w:id="68" w:name="_GoBack"/>
      <w:bookmarkEnd w:id="68"/>
    </w:p>
    <w:sectPr>
      <w:footerReference r:id="rId8" w:type="default"/>
      <w:pgSz w:w="11906" w:h="16838"/>
      <w:pgMar w:top="1440" w:right="1800" w:bottom="1440" w:left="1800"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p.ā萀">
    <w:altName w:val="宋体"/>
    <w:panose1 w:val="00000000000000000000"/>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3350C">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38962">
    <w:pPr>
      <w:pStyle w:val="21"/>
      <w:framePr w:wrap="around" w:vAnchor="text" w:hAnchor="margin" w:xAlign="center" w:y="1"/>
      <w:rPr>
        <w:rStyle w:val="32"/>
      </w:rPr>
    </w:pPr>
    <w:r>
      <w:fldChar w:fldCharType="begin"/>
    </w:r>
    <w:r>
      <w:rPr>
        <w:rStyle w:val="32"/>
      </w:rPr>
      <w:instrText xml:space="preserve">PAGE  </w:instrText>
    </w:r>
    <w:r>
      <w:fldChar w:fldCharType="end"/>
    </w:r>
  </w:p>
  <w:p w14:paraId="679EB8DA">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D9AEF">
    <w:pPr>
      <w:pStyle w:val="21"/>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DDBC53">
                          <w:pPr>
                            <w:pStyle w:val="21"/>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6QKcsBAACcAwAADgAAAGRycy9lMm9Eb2MueG1srVPNjtMwEL4j8Q6W&#10;79RppUV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A0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W+kCnLAQAAnAMAAA4AAAAAAAAAAQAgAAAAHgEAAGRycy9lMm9E&#10;b2MueG1sUEsFBgAAAAAGAAYAWQEAAFsFAAAAAA==&#10;">
              <v:fill on="f" focussize="0,0"/>
              <v:stroke on="f"/>
              <v:imagedata o:title=""/>
              <o:lock v:ext="edit" aspectratio="f"/>
              <v:textbox inset="0mm,0mm,0mm,0mm" style="mso-fit-shape-to-text:t;">
                <w:txbxContent>
                  <w:p w14:paraId="76DDBC53">
                    <w:pPr>
                      <w:pStyle w:val="21"/>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9D9A1">
    <w:pPr>
      <w:pStyle w:val="21"/>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A214D">
                          <w:pPr>
                            <w:pStyle w:val="21"/>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013A214D">
                    <w:pPr>
                      <w:pStyle w:val="21"/>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A96FC">
    <w:pPr>
      <w:pStyle w:val="21"/>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536AD0">
                          <w:pPr>
                            <w:pStyle w:val="21"/>
                          </w:pPr>
                          <w:r>
                            <w:t xml:space="preserve">— </w:t>
                          </w:r>
                          <w:r>
                            <w:fldChar w:fldCharType="begin"/>
                          </w:r>
                          <w:r>
                            <w:instrText xml:space="preserve"> PAGE  \* MERGEFORMAT </w:instrText>
                          </w:r>
                          <w:r>
                            <w:fldChar w:fldCharType="separate"/>
                          </w:r>
                          <w:r>
                            <w:t>35</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0EbruEBAADBAwAADgAAAGRycy9lMm9Eb2MueG1srVPNjtMwEL4j8Q6W&#10;7zRphaCqmq6AahESAqSFB3Adp7HkP3mmTcoDwBtw4sKd5+pz7NhJurB72cNekvHM+Jv5vhmvr3pr&#10;2FFF0N5VfD4rOVNO+lq7fcW/fb1+seQMULhaGO9UxU8K+NXm+bN1F1Zq4VtvahUZgThYdaHiLWJY&#10;FQXIVlkBMx+Uo2DjoxVIx7gv6ig6QremWJTlq6LzsQ7RSwVA3u0Q5CNifAygbxot1dbLg1UOB9So&#10;jECiBK0OwDe526ZREj83DShkpuLEFPOXipC9S99isxarfRSh1XJsQTymhXucrNCOil6gtgIFO0T9&#10;AMpqGT34BmfS22IgkhUhFvPynjY3rQgqcyGpIVxEh6eDlZ+OXyLTdcVfcuaEpYGff/08//57/vOD&#10;zcvF66RQF2BFiTeBUrF/63vam8kP5EzE+yba9CdKjOKk7+mir+qRyXRpuVguSwpJik0Hwi/urocI&#10;+F55y5JR8UgDzLqK40fAIXVKSdWcv9bG5CEa95+DMJOnSL0PPSYL+10/Etr5+kR86CVQndbH75x1&#10;tAcVd7T2nJkPjmROKzMZcTJ2kyGcpIsVR84G8x0Oq3UIUe/bvGypKQhvDkidZgKpjaH22B1NNksw&#10;bmFanX/POevu5W1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XQRuu4QEAAMEDAAAOAAAA&#10;AAAAAAEAIAAAAB4BAABkcnMvZTJvRG9jLnhtbFBLBQYAAAAABgAGAFkBAABxBQAAAAA=&#10;">
              <v:fill on="f" focussize="0,0"/>
              <v:stroke on="f"/>
              <v:imagedata o:title=""/>
              <o:lock v:ext="edit" aspectratio="f"/>
              <v:textbox inset="0mm,0mm,0mm,0mm" style="mso-fit-shape-to-text:t;">
                <w:txbxContent>
                  <w:p w14:paraId="5B536AD0">
                    <w:pPr>
                      <w:pStyle w:val="21"/>
                    </w:pPr>
                    <w:r>
                      <w:t xml:space="preserve">— </w:t>
                    </w:r>
                    <w:r>
                      <w:fldChar w:fldCharType="begin"/>
                    </w:r>
                    <w:r>
                      <w:instrText xml:space="preserve"> PAGE  \* MERGEFORMAT </w:instrText>
                    </w:r>
                    <w:r>
                      <w:fldChar w:fldCharType="separate"/>
                    </w:r>
                    <w:r>
                      <w:t>35</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188FB">
    <w:pPr>
      <w:pStyle w:val="21"/>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FB053F"/>
    <w:multiLevelType w:val="multilevel"/>
    <w:tmpl w:val="15FB053F"/>
    <w:lvl w:ilvl="0" w:tentative="0">
      <w:start w:val="1"/>
      <w:numFmt w:val="decimal"/>
      <w:lvlText w:val="第%1章  "/>
      <w:lvlJc w:val="left"/>
      <w:pPr>
        <w:ind w:left="420" w:hanging="420"/>
      </w:pPr>
      <w:rPr>
        <w:rFonts w:hint="default" w:ascii="Times New Roman" w:hAnsi="Times New Roman" w:eastAsia="黑体" w:cs="Times New Roman"/>
        <w:i w:val="0"/>
        <w:iCs w:val="0"/>
        <w:caps w:val="0"/>
        <w:smallCaps w:val="0"/>
        <w:strike w:val="0"/>
        <w:dstrike w:val="0"/>
        <w:outline w:val="0"/>
        <w:shadow w:val="0"/>
        <w:emboss w:val="0"/>
        <w:imprint w:val="0"/>
        <w:vanish w:val="0"/>
        <w:color w:val="000000"/>
        <w:spacing w:val="0"/>
        <w:position w:val="0"/>
        <w:u w:val="none"/>
        <w:vertAlign w:val="baseline"/>
      </w:rPr>
    </w:lvl>
    <w:lvl w:ilvl="1" w:tentative="0">
      <w:start w:val="1"/>
      <w:numFmt w:val="decimal"/>
      <w:isLgl/>
      <w:suff w:val="nothing"/>
      <w:lvlText w:val="%1.%2"/>
      <w:lvlJc w:val="left"/>
      <w:pPr>
        <w:ind w:left="0" w:firstLine="0"/>
      </w:pPr>
    </w:lvl>
    <w:lvl w:ilvl="2" w:tentative="0">
      <w:start w:val="1"/>
      <w:numFmt w:val="decimal"/>
      <w:isLgl/>
      <w:suff w:val="nothing"/>
      <w:lvlText w:val="%1.%2.%3"/>
      <w:lvlJc w:val="left"/>
      <w:pPr>
        <w:ind w:left="0" w:firstLine="0"/>
      </w:pPr>
      <w:rPr>
        <w:rFonts w:hint="eastAsia" w:ascii="Times New Roman" w:hAnsi="Times New Roman" w:cs="Times New Roman"/>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7"/>
      <w:isLgl/>
      <w:suff w:val="nothing"/>
      <w:lvlText w:val="%1.%2.%3.%4"/>
      <w:lvlJc w:val="left"/>
      <w:pPr>
        <w:ind w:left="2552" w:firstLine="0"/>
      </w:p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yZDI3MDE0MDY4NmRhZGQxYTUyODY4ODM0ZmE0OWIifQ=="/>
    <w:docVar w:name="KSO_WPS_MARK_KEY" w:val="dd5dbc24-c7c0-4ccc-b988-b1782864b810"/>
  </w:docVars>
  <w:rsids>
    <w:rsidRoot w:val="00172A27"/>
    <w:rsid w:val="000060B3"/>
    <w:rsid w:val="0004364B"/>
    <w:rsid w:val="00061B1F"/>
    <w:rsid w:val="000733C4"/>
    <w:rsid w:val="00074783"/>
    <w:rsid w:val="0008070B"/>
    <w:rsid w:val="000810AC"/>
    <w:rsid w:val="00081A02"/>
    <w:rsid w:val="00082231"/>
    <w:rsid w:val="00092D38"/>
    <w:rsid w:val="0009377B"/>
    <w:rsid w:val="000969AD"/>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0E47"/>
    <w:rsid w:val="00151675"/>
    <w:rsid w:val="00157435"/>
    <w:rsid w:val="00172990"/>
    <w:rsid w:val="0017504D"/>
    <w:rsid w:val="0017671A"/>
    <w:rsid w:val="00177422"/>
    <w:rsid w:val="00184590"/>
    <w:rsid w:val="001870D1"/>
    <w:rsid w:val="0018781E"/>
    <w:rsid w:val="0019262D"/>
    <w:rsid w:val="001A1B35"/>
    <w:rsid w:val="001A48A2"/>
    <w:rsid w:val="001A6F61"/>
    <w:rsid w:val="001B72B8"/>
    <w:rsid w:val="001C054B"/>
    <w:rsid w:val="001C69B3"/>
    <w:rsid w:val="001D5595"/>
    <w:rsid w:val="001D7874"/>
    <w:rsid w:val="001D7F22"/>
    <w:rsid w:val="001F0F17"/>
    <w:rsid w:val="001F3347"/>
    <w:rsid w:val="001F69E4"/>
    <w:rsid w:val="001F70C7"/>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3A2A"/>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B643A"/>
    <w:rsid w:val="003C28DE"/>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C19B4"/>
    <w:rsid w:val="004E2611"/>
    <w:rsid w:val="004E43BF"/>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45991"/>
    <w:rsid w:val="006748B8"/>
    <w:rsid w:val="006775C3"/>
    <w:rsid w:val="0069290A"/>
    <w:rsid w:val="0069775A"/>
    <w:rsid w:val="00697813"/>
    <w:rsid w:val="006A3EE8"/>
    <w:rsid w:val="006A72BF"/>
    <w:rsid w:val="006B03F2"/>
    <w:rsid w:val="006B37DC"/>
    <w:rsid w:val="006B4F68"/>
    <w:rsid w:val="006B6D1F"/>
    <w:rsid w:val="006C0592"/>
    <w:rsid w:val="006C0D19"/>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2A08"/>
    <w:rsid w:val="00976328"/>
    <w:rsid w:val="0097680D"/>
    <w:rsid w:val="00982438"/>
    <w:rsid w:val="0098404C"/>
    <w:rsid w:val="00985283"/>
    <w:rsid w:val="00995992"/>
    <w:rsid w:val="009A03E5"/>
    <w:rsid w:val="009A0F3B"/>
    <w:rsid w:val="009A1BB4"/>
    <w:rsid w:val="009A2628"/>
    <w:rsid w:val="009A3200"/>
    <w:rsid w:val="009B0897"/>
    <w:rsid w:val="009B304F"/>
    <w:rsid w:val="009B7BD9"/>
    <w:rsid w:val="009C7DD5"/>
    <w:rsid w:val="009E227D"/>
    <w:rsid w:val="009E5019"/>
    <w:rsid w:val="00A04F1B"/>
    <w:rsid w:val="00A0501B"/>
    <w:rsid w:val="00A14947"/>
    <w:rsid w:val="00A3295D"/>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E43C4"/>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B102D"/>
    <w:rsid w:val="01290F7E"/>
    <w:rsid w:val="01293007"/>
    <w:rsid w:val="0132783D"/>
    <w:rsid w:val="013B4944"/>
    <w:rsid w:val="01410453"/>
    <w:rsid w:val="01416DF2"/>
    <w:rsid w:val="014B08FF"/>
    <w:rsid w:val="015D1E09"/>
    <w:rsid w:val="015D4C7D"/>
    <w:rsid w:val="0160034F"/>
    <w:rsid w:val="017159CD"/>
    <w:rsid w:val="018D077E"/>
    <w:rsid w:val="01A050EF"/>
    <w:rsid w:val="01B3761F"/>
    <w:rsid w:val="01C20BC1"/>
    <w:rsid w:val="01C815A0"/>
    <w:rsid w:val="01D408F4"/>
    <w:rsid w:val="01DA23AF"/>
    <w:rsid w:val="01F10C3F"/>
    <w:rsid w:val="01FA65AD"/>
    <w:rsid w:val="020212C9"/>
    <w:rsid w:val="02025461"/>
    <w:rsid w:val="022D1BCE"/>
    <w:rsid w:val="02510197"/>
    <w:rsid w:val="02581525"/>
    <w:rsid w:val="025F05AA"/>
    <w:rsid w:val="02663C42"/>
    <w:rsid w:val="0267770B"/>
    <w:rsid w:val="02697903"/>
    <w:rsid w:val="02806969"/>
    <w:rsid w:val="02874AEA"/>
    <w:rsid w:val="028D47CD"/>
    <w:rsid w:val="02904C53"/>
    <w:rsid w:val="029A38EC"/>
    <w:rsid w:val="02B32C00"/>
    <w:rsid w:val="02B345BE"/>
    <w:rsid w:val="02B524D4"/>
    <w:rsid w:val="02B9179C"/>
    <w:rsid w:val="02BC1126"/>
    <w:rsid w:val="02CC44A1"/>
    <w:rsid w:val="02D035CE"/>
    <w:rsid w:val="02E85017"/>
    <w:rsid w:val="02F46455"/>
    <w:rsid w:val="02F96569"/>
    <w:rsid w:val="03131216"/>
    <w:rsid w:val="034B4BE6"/>
    <w:rsid w:val="03653EFA"/>
    <w:rsid w:val="0380080A"/>
    <w:rsid w:val="03800D34"/>
    <w:rsid w:val="038A1BB2"/>
    <w:rsid w:val="03975AC9"/>
    <w:rsid w:val="03A43F52"/>
    <w:rsid w:val="03AB668D"/>
    <w:rsid w:val="03B21730"/>
    <w:rsid w:val="03B6004F"/>
    <w:rsid w:val="03B629A7"/>
    <w:rsid w:val="03C2759E"/>
    <w:rsid w:val="03C30622"/>
    <w:rsid w:val="03DA48E8"/>
    <w:rsid w:val="03DA561E"/>
    <w:rsid w:val="03EA7B21"/>
    <w:rsid w:val="04051239"/>
    <w:rsid w:val="041862B6"/>
    <w:rsid w:val="041B0A5C"/>
    <w:rsid w:val="042D2AA3"/>
    <w:rsid w:val="04392F34"/>
    <w:rsid w:val="043A5387"/>
    <w:rsid w:val="04452AEF"/>
    <w:rsid w:val="04551653"/>
    <w:rsid w:val="04552DBC"/>
    <w:rsid w:val="045D7DA4"/>
    <w:rsid w:val="0472010C"/>
    <w:rsid w:val="04812FB5"/>
    <w:rsid w:val="04870534"/>
    <w:rsid w:val="049A2516"/>
    <w:rsid w:val="04BD5452"/>
    <w:rsid w:val="04C2712A"/>
    <w:rsid w:val="04C64E6C"/>
    <w:rsid w:val="04CE40FE"/>
    <w:rsid w:val="04F75026"/>
    <w:rsid w:val="05002B6F"/>
    <w:rsid w:val="051A0D14"/>
    <w:rsid w:val="052146CB"/>
    <w:rsid w:val="05485061"/>
    <w:rsid w:val="0559183C"/>
    <w:rsid w:val="056C79FF"/>
    <w:rsid w:val="05924D4E"/>
    <w:rsid w:val="05A52CD4"/>
    <w:rsid w:val="05B94836"/>
    <w:rsid w:val="05D36833"/>
    <w:rsid w:val="05E27A84"/>
    <w:rsid w:val="05F83EAE"/>
    <w:rsid w:val="061B56DC"/>
    <w:rsid w:val="063E7D85"/>
    <w:rsid w:val="064268D3"/>
    <w:rsid w:val="067508F8"/>
    <w:rsid w:val="0687062B"/>
    <w:rsid w:val="068B375E"/>
    <w:rsid w:val="069B7255"/>
    <w:rsid w:val="06A1221F"/>
    <w:rsid w:val="06C06AFB"/>
    <w:rsid w:val="06CD24E2"/>
    <w:rsid w:val="06DD3335"/>
    <w:rsid w:val="06E55FF1"/>
    <w:rsid w:val="06EE2458"/>
    <w:rsid w:val="06F757DA"/>
    <w:rsid w:val="070B125C"/>
    <w:rsid w:val="07293586"/>
    <w:rsid w:val="07295285"/>
    <w:rsid w:val="07313E5D"/>
    <w:rsid w:val="074D224E"/>
    <w:rsid w:val="0751514F"/>
    <w:rsid w:val="07550729"/>
    <w:rsid w:val="07636392"/>
    <w:rsid w:val="076F17EB"/>
    <w:rsid w:val="07770C56"/>
    <w:rsid w:val="07893F2F"/>
    <w:rsid w:val="07A31495"/>
    <w:rsid w:val="07AE4AAE"/>
    <w:rsid w:val="07B436A2"/>
    <w:rsid w:val="07B83724"/>
    <w:rsid w:val="07CD0095"/>
    <w:rsid w:val="07E145F3"/>
    <w:rsid w:val="07ED44BE"/>
    <w:rsid w:val="07F81CA6"/>
    <w:rsid w:val="080B2B96"/>
    <w:rsid w:val="08145EEF"/>
    <w:rsid w:val="0819091D"/>
    <w:rsid w:val="082A74C0"/>
    <w:rsid w:val="08393BA7"/>
    <w:rsid w:val="083C44DC"/>
    <w:rsid w:val="083D71F3"/>
    <w:rsid w:val="08492BE2"/>
    <w:rsid w:val="085F5FBF"/>
    <w:rsid w:val="0869426C"/>
    <w:rsid w:val="086C27E2"/>
    <w:rsid w:val="08713027"/>
    <w:rsid w:val="088B6211"/>
    <w:rsid w:val="088C7A16"/>
    <w:rsid w:val="08B03E69"/>
    <w:rsid w:val="08BB280E"/>
    <w:rsid w:val="08BF5E5A"/>
    <w:rsid w:val="08C01BD2"/>
    <w:rsid w:val="09075A53"/>
    <w:rsid w:val="092217DD"/>
    <w:rsid w:val="092F2631"/>
    <w:rsid w:val="09361431"/>
    <w:rsid w:val="093A7294"/>
    <w:rsid w:val="09450B89"/>
    <w:rsid w:val="0973464C"/>
    <w:rsid w:val="0983332C"/>
    <w:rsid w:val="0989039D"/>
    <w:rsid w:val="09903C9B"/>
    <w:rsid w:val="09B259BF"/>
    <w:rsid w:val="09B32763"/>
    <w:rsid w:val="09B730DA"/>
    <w:rsid w:val="09BE4364"/>
    <w:rsid w:val="09BE6112"/>
    <w:rsid w:val="09CE4371"/>
    <w:rsid w:val="09EC7123"/>
    <w:rsid w:val="09EF0969"/>
    <w:rsid w:val="09FF0C0A"/>
    <w:rsid w:val="0A16799A"/>
    <w:rsid w:val="0A263993"/>
    <w:rsid w:val="0A2D3AC2"/>
    <w:rsid w:val="0A342878"/>
    <w:rsid w:val="0A416995"/>
    <w:rsid w:val="0A5E16A3"/>
    <w:rsid w:val="0A707311"/>
    <w:rsid w:val="0A844711"/>
    <w:rsid w:val="0AA7129C"/>
    <w:rsid w:val="0AA755DF"/>
    <w:rsid w:val="0AA7572D"/>
    <w:rsid w:val="0AAA2B3A"/>
    <w:rsid w:val="0AB37B0F"/>
    <w:rsid w:val="0ABA0A13"/>
    <w:rsid w:val="0AC92FC0"/>
    <w:rsid w:val="0AD16AA6"/>
    <w:rsid w:val="0AE71698"/>
    <w:rsid w:val="0B120D44"/>
    <w:rsid w:val="0B132FB7"/>
    <w:rsid w:val="0B182B91"/>
    <w:rsid w:val="0B2B3C7B"/>
    <w:rsid w:val="0B3568A8"/>
    <w:rsid w:val="0B403211"/>
    <w:rsid w:val="0B487EF8"/>
    <w:rsid w:val="0B6158EF"/>
    <w:rsid w:val="0B640F3B"/>
    <w:rsid w:val="0B7A42BB"/>
    <w:rsid w:val="0B81792A"/>
    <w:rsid w:val="0B852A6C"/>
    <w:rsid w:val="0B935523"/>
    <w:rsid w:val="0BA409CB"/>
    <w:rsid w:val="0BAB3A91"/>
    <w:rsid w:val="0BAC3645"/>
    <w:rsid w:val="0BCB4B16"/>
    <w:rsid w:val="0BD27BF6"/>
    <w:rsid w:val="0BE91440"/>
    <w:rsid w:val="0BEE2322"/>
    <w:rsid w:val="0C2C7CAB"/>
    <w:rsid w:val="0C385765"/>
    <w:rsid w:val="0C3B3C7D"/>
    <w:rsid w:val="0C3C5A98"/>
    <w:rsid w:val="0C632FA1"/>
    <w:rsid w:val="0CA2166D"/>
    <w:rsid w:val="0CAB2EAE"/>
    <w:rsid w:val="0CAC4948"/>
    <w:rsid w:val="0CB657C6"/>
    <w:rsid w:val="0CD30126"/>
    <w:rsid w:val="0CE033FE"/>
    <w:rsid w:val="0CE1517F"/>
    <w:rsid w:val="0CE95B9C"/>
    <w:rsid w:val="0D0227BA"/>
    <w:rsid w:val="0D0C188A"/>
    <w:rsid w:val="0D154C07"/>
    <w:rsid w:val="0D1627CD"/>
    <w:rsid w:val="0D1D3A97"/>
    <w:rsid w:val="0D216903"/>
    <w:rsid w:val="0D3A05F9"/>
    <w:rsid w:val="0D3C681D"/>
    <w:rsid w:val="0D546BB5"/>
    <w:rsid w:val="0D621C7D"/>
    <w:rsid w:val="0D67049B"/>
    <w:rsid w:val="0D6945E7"/>
    <w:rsid w:val="0D951880"/>
    <w:rsid w:val="0D9C676A"/>
    <w:rsid w:val="0DA27AF9"/>
    <w:rsid w:val="0DA62716"/>
    <w:rsid w:val="0DAF2782"/>
    <w:rsid w:val="0DB1440D"/>
    <w:rsid w:val="0DB60928"/>
    <w:rsid w:val="0DD01D6C"/>
    <w:rsid w:val="0DD71FA0"/>
    <w:rsid w:val="0DDA5DF1"/>
    <w:rsid w:val="0DE21D2C"/>
    <w:rsid w:val="0DFA512C"/>
    <w:rsid w:val="0DFD10CA"/>
    <w:rsid w:val="0DFD257E"/>
    <w:rsid w:val="0E265732"/>
    <w:rsid w:val="0E5F5565"/>
    <w:rsid w:val="0E73034D"/>
    <w:rsid w:val="0E7F74F5"/>
    <w:rsid w:val="0E8872EF"/>
    <w:rsid w:val="0E903FD6"/>
    <w:rsid w:val="0EDE0650"/>
    <w:rsid w:val="0EE228A3"/>
    <w:rsid w:val="0F0F11BE"/>
    <w:rsid w:val="0F13775A"/>
    <w:rsid w:val="0F1472F8"/>
    <w:rsid w:val="0F1B5DB5"/>
    <w:rsid w:val="0F1C04C6"/>
    <w:rsid w:val="0F256C33"/>
    <w:rsid w:val="0F2B5329"/>
    <w:rsid w:val="0F2C283F"/>
    <w:rsid w:val="0F565203"/>
    <w:rsid w:val="0F5F45FE"/>
    <w:rsid w:val="0F7A0392"/>
    <w:rsid w:val="0F9A112B"/>
    <w:rsid w:val="0F9C52EC"/>
    <w:rsid w:val="0FA50043"/>
    <w:rsid w:val="0FAB4565"/>
    <w:rsid w:val="0FB5250C"/>
    <w:rsid w:val="0FBA737B"/>
    <w:rsid w:val="0FCE1079"/>
    <w:rsid w:val="0FD3043D"/>
    <w:rsid w:val="0FDC3796"/>
    <w:rsid w:val="0FDD5B33"/>
    <w:rsid w:val="0FE01D2B"/>
    <w:rsid w:val="0FE4089C"/>
    <w:rsid w:val="0FFA4B5D"/>
    <w:rsid w:val="0FFC28FA"/>
    <w:rsid w:val="0FFF06E6"/>
    <w:rsid w:val="10120F66"/>
    <w:rsid w:val="1022071F"/>
    <w:rsid w:val="10223337"/>
    <w:rsid w:val="102C18A7"/>
    <w:rsid w:val="10423ABD"/>
    <w:rsid w:val="10580C09"/>
    <w:rsid w:val="10667503"/>
    <w:rsid w:val="106D2F64"/>
    <w:rsid w:val="10822281"/>
    <w:rsid w:val="108A31F2"/>
    <w:rsid w:val="108C1CE9"/>
    <w:rsid w:val="10A5627E"/>
    <w:rsid w:val="10B4201D"/>
    <w:rsid w:val="10B63710"/>
    <w:rsid w:val="10C20BDE"/>
    <w:rsid w:val="10CA7655"/>
    <w:rsid w:val="10E647F0"/>
    <w:rsid w:val="10F10820"/>
    <w:rsid w:val="10FF17E1"/>
    <w:rsid w:val="11001D1C"/>
    <w:rsid w:val="110F3DBA"/>
    <w:rsid w:val="111C2F7A"/>
    <w:rsid w:val="113A211D"/>
    <w:rsid w:val="114809B7"/>
    <w:rsid w:val="11551A52"/>
    <w:rsid w:val="11572595"/>
    <w:rsid w:val="11665CA1"/>
    <w:rsid w:val="117417AC"/>
    <w:rsid w:val="118E7EDA"/>
    <w:rsid w:val="11D30BC8"/>
    <w:rsid w:val="11F1104F"/>
    <w:rsid w:val="11F1573F"/>
    <w:rsid w:val="120627E3"/>
    <w:rsid w:val="120D3217"/>
    <w:rsid w:val="121005F6"/>
    <w:rsid w:val="121F796A"/>
    <w:rsid w:val="123A101D"/>
    <w:rsid w:val="124F46F3"/>
    <w:rsid w:val="125663C2"/>
    <w:rsid w:val="125A3242"/>
    <w:rsid w:val="12633CFA"/>
    <w:rsid w:val="12705F50"/>
    <w:rsid w:val="127759F8"/>
    <w:rsid w:val="127E6D86"/>
    <w:rsid w:val="12B55D3A"/>
    <w:rsid w:val="12B741BA"/>
    <w:rsid w:val="12BC3B0B"/>
    <w:rsid w:val="12C66400"/>
    <w:rsid w:val="12C80B70"/>
    <w:rsid w:val="12DE15D3"/>
    <w:rsid w:val="12DE784D"/>
    <w:rsid w:val="131B58EC"/>
    <w:rsid w:val="13286CF2"/>
    <w:rsid w:val="132C67E2"/>
    <w:rsid w:val="13542DF6"/>
    <w:rsid w:val="135E2714"/>
    <w:rsid w:val="137249D0"/>
    <w:rsid w:val="13951726"/>
    <w:rsid w:val="139A39FC"/>
    <w:rsid w:val="139E4B49"/>
    <w:rsid w:val="13C94031"/>
    <w:rsid w:val="13F23EA3"/>
    <w:rsid w:val="13FD75DE"/>
    <w:rsid w:val="13FE2B7B"/>
    <w:rsid w:val="14096B23"/>
    <w:rsid w:val="141E07E5"/>
    <w:rsid w:val="14396509"/>
    <w:rsid w:val="14431591"/>
    <w:rsid w:val="145F20C7"/>
    <w:rsid w:val="14707C73"/>
    <w:rsid w:val="14761576"/>
    <w:rsid w:val="147C1FA1"/>
    <w:rsid w:val="147C72F5"/>
    <w:rsid w:val="14AF3F13"/>
    <w:rsid w:val="14B26303"/>
    <w:rsid w:val="14CF5677"/>
    <w:rsid w:val="14D7452C"/>
    <w:rsid w:val="14DD2C3C"/>
    <w:rsid w:val="14DE573A"/>
    <w:rsid w:val="1523759D"/>
    <w:rsid w:val="152A7179"/>
    <w:rsid w:val="153656F6"/>
    <w:rsid w:val="15376AB1"/>
    <w:rsid w:val="15474BF8"/>
    <w:rsid w:val="154F1D37"/>
    <w:rsid w:val="15535828"/>
    <w:rsid w:val="157A17B1"/>
    <w:rsid w:val="15830FE0"/>
    <w:rsid w:val="15897537"/>
    <w:rsid w:val="158C7C41"/>
    <w:rsid w:val="159E5049"/>
    <w:rsid w:val="15AB60E4"/>
    <w:rsid w:val="15E92769"/>
    <w:rsid w:val="15FF01DE"/>
    <w:rsid w:val="16087E1D"/>
    <w:rsid w:val="160B6B83"/>
    <w:rsid w:val="16242F2C"/>
    <w:rsid w:val="164C4E8A"/>
    <w:rsid w:val="165A53BA"/>
    <w:rsid w:val="166149F5"/>
    <w:rsid w:val="166B13D0"/>
    <w:rsid w:val="16755EBF"/>
    <w:rsid w:val="167C538B"/>
    <w:rsid w:val="16907088"/>
    <w:rsid w:val="16C1790F"/>
    <w:rsid w:val="16C57C0B"/>
    <w:rsid w:val="16E82FA6"/>
    <w:rsid w:val="16F01959"/>
    <w:rsid w:val="16F21AF1"/>
    <w:rsid w:val="170171BF"/>
    <w:rsid w:val="175400B6"/>
    <w:rsid w:val="176522C3"/>
    <w:rsid w:val="176C2134"/>
    <w:rsid w:val="17701D14"/>
    <w:rsid w:val="17735226"/>
    <w:rsid w:val="1780534F"/>
    <w:rsid w:val="17A061EA"/>
    <w:rsid w:val="17C2636B"/>
    <w:rsid w:val="17C76AD9"/>
    <w:rsid w:val="17D15BAA"/>
    <w:rsid w:val="17D86F39"/>
    <w:rsid w:val="17F007A2"/>
    <w:rsid w:val="180A4B46"/>
    <w:rsid w:val="186B56B7"/>
    <w:rsid w:val="186D1358"/>
    <w:rsid w:val="18707171"/>
    <w:rsid w:val="18802F6A"/>
    <w:rsid w:val="18813750"/>
    <w:rsid w:val="188855D4"/>
    <w:rsid w:val="189F624C"/>
    <w:rsid w:val="18D10D48"/>
    <w:rsid w:val="18F02060"/>
    <w:rsid w:val="18F35B70"/>
    <w:rsid w:val="18FE477D"/>
    <w:rsid w:val="190212E1"/>
    <w:rsid w:val="196140EA"/>
    <w:rsid w:val="196273C8"/>
    <w:rsid w:val="196A6FCE"/>
    <w:rsid w:val="1986540C"/>
    <w:rsid w:val="19992AC0"/>
    <w:rsid w:val="199C7AF2"/>
    <w:rsid w:val="19F471D5"/>
    <w:rsid w:val="19FB6F0E"/>
    <w:rsid w:val="1A1C66C0"/>
    <w:rsid w:val="1A255D39"/>
    <w:rsid w:val="1A42393B"/>
    <w:rsid w:val="1A4A5EE9"/>
    <w:rsid w:val="1A514D80"/>
    <w:rsid w:val="1A533D05"/>
    <w:rsid w:val="1A562397"/>
    <w:rsid w:val="1A911621"/>
    <w:rsid w:val="1A9A5F2B"/>
    <w:rsid w:val="1AA02905"/>
    <w:rsid w:val="1AA72BF2"/>
    <w:rsid w:val="1AAD45DE"/>
    <w:rsid w:val="1AAD645B"/>
    <w:rsid w:val="1AAE5D2F"/>
    <w:rsid w:val="1ACE2D82"/>
    <w:rsid w:val="1AF23A1D"/>
    <w:rsid w:val="1AF44089"/>
    <w:rsid w:val="1B01472B"/>
    <w:rsid w:val="1B046F80"/>
    <w:rsid w:val="1B067716"/>
    <w:rsid w:val="1B0857CA"/>
    <w:rsid w:val="1B1D686F"/>
    <w:rsid w:val="1B28788F"/>
    <w:rsid w:val="1B2B55D1"/>
    <w:rsid w:val="1B3267B5"/>
    <w:rsid w:val="1B40161D"/>
    <w:rsid w:val="1B441859"/>
    <w:rsid w:val="1B48001A"/>
    <w:rsid w:val="1B6603B7"/>
    <w:rsid w:val="1B6606B1"/>
    <w:rsid w:val="1B703008"/>
    <w:rsid w:val="1B8B477F"/>
    <w:rsid w:val="1B8D5566"/>
    <w:rsid w:val="1BAE5D6E"/>
    <w:rsid w:val="1BC41B0D"/>
    <w:rsid w:val="1BC81E14"/>
    <w:rsid w:val="1C3861F8"/>
    <w:rsid w:val="1C4306F9"/>
    <w:rsid w:val="1C4E2AAE"/>
    <w:rsid w:val="1C5E7925"/>
    <w:rsid w:val="1C686599"/>
    <w:rsid w:val="1C7F121E"/>
    <w:rsid w:val="1C9378D2"/>
    <w:rsid w:val="1CBD522A"/>
    <w:rsid w:val="1CFD070F"/>
    <w:rsid w:val="1D1316E8"/>
    <w:rsid w:val="1D185D98"/>
    <w:rsid w:val="1D2247B2"/>
    <w:rsid w:val="1D311C2E"/>
    <w:rsid w:val="1D344C11"/>
    <w:rsid w:val="1D5F6196"/>
    <w:rsid w:val="1D6132A5"/>
    <w:rsid w:val="1D7B74D6"/>
    <w:rsid w:val="1D8E56D5"/>
    <w:rsid w:val="1DEB1048"/>
    <w:rsid w:val="1DEF0B38"/>
    <w:rsid w:val="1E0635E5"/>
    <w:rsid w:val="1E231590"/>
    <w:rsid w:val="1E296228"/>
    <w:rsid w:val="1E396257"/>
    <w:rsid w:val="1E4569AA"/>
    <w:rsid w:val="1E4B7042"/>
    <w:rsid w:val="1E7A43DA"/>
    <w:rsid w:val="1E8436C3"/>
    <w:rsid w:val="1E8C6387"/>
    <w:rsid w:val="1E94348E"/>
    <w:rsid w:val="1EAD74D5"/>
    <w:rsid w:val="1EAF7DCF"/>
    <w:rsid w:val="1EB06519"/>
    <w:rsid w:val="1EB3600A"/>
    <w:rsid w:val="1F046865"/>
    <w:rsid w:val="1F183E41"/>
    <w:rsid w:val="1F345D75"/>
    <w:rsid w:val="1F3537A6"/>
    <w:rsid w:val="1F384822"/>
    <w:rsid w:val="1F5028F5"/>
    <w:rsid w:val="1F5870AC"/>
    <w:rsid w:val="1F5E221F"/>
    <w:rsid w:val="1F645556"/>
    <w:rsid w:val="1F813A12"/>
    <w:rsid w:val="1FCF6E73"/>
    <w:rsid w:val="1FE15CF4"/>
    <w:rsid w:val="1FE7539E"/>
    <w:rsid w:val="1FF8397B"/>
    <w:rsid w:val="20463726"/>
    <w:rsid w:val="20671BE0"/>
    <w:rsid w:val="206C46C2"/>
    <w:rsid w:val="20825C93"/>
    <w:rsid w:val="20963CB8"/>
    <w:rsid w:val="209A17FE"/>
    <w:rsid w:val="20A81A1B"/>
    <w:rsid w:val="20B07FB6"/>
    <w:rsid w:val="20B646FB"/>
    <w:rsid w:val="20BE2980"/>
    <w:rsid w:val="20D752E8"/>
    <w:rsid w:val="20E344E6"/>
    <w:rsid w:val="21046880"/>
    <w:rsid w:val="210D57AF"/>
    <w:rsid w:val="2127683B"/>
    <w:rsid w:val="213B74B1"/>
    <w:rsid w:val="214B28F5"/>
    <w:rsid w:val="215A2310"/>
    <w:rsid w:val="216830DB"/>
    <w:rsid w:val="21780E44"/>
    <w:rsid w:val="2186530F"/>
    <w:rsid w:val="218C245D"/>
    <w:rsid w:val="21B7196D"/>
    <w:rsid w:val="21CC31CC"/>
    <w:rsid w:val="21DE318A"/>
    <w:rsid w:val="21EF5B80"/>
    <w:rsid w:val="221943D6"/>
    <w:rsid w:val="221F7512"/>
    <w:rsid w:val="222A3421"/>
    <w:rsid w:val="2235037E"/>
    <w:rsid w:val="224B3688"/>
    <w:rsid w:val="22561186"/>
    <w:rsid w:val="22576990"/>
    <w:rsid w:val="22735C53"/>
    <w:rsid w:val="227635D6"/>
    <w:rsid w:val="228D1FBC"/>
    <w:rsid w:val="229A4409"/>
    <w:rsid w:val="22CC57F4"/>
    <w:rsid w:val="22F47480"/>
    <w:rsid w:val="2309444A"/>
    <w:rsid w:val="230961F8"/>
    <w:rsid w:val="231037AF"/>
    <w:rsid w:val="2322375E"/>
    <w:rsid w:val="232966B0"/>
    <w:rsid w:val="2330414C"/>
    <w:rsid w:val="233A0AA7"/>
    <w:rsid w:val="23470B85"/>
    <w:rsid w:val="235024AF"/>
    <w:rsid w:val="23765883"/>
    <w:rsid w:val="23846E83"/>
    <w:rsid w:val="239E69EA"/>
    <w:rsid w:val="23A81FEE"/>
    <w:rsid w:val="23B97095"/>
    <w:rsid w:val="23C97053"/>
    <w:rsid w:val="23DE1C48"/>
    <w:rsid w:val="23E73F76"/>
    <w:rsid w:val="23E97DD8"/>
    <w:rsid w:val="23F21382"/>
    <w:rsid w:val="23F7480E"/>
    <w:rsid w:val="23FA00FA"/>
    <w:rsid w:val="23FD01D9"/>
    <w:rsid w:val="240210CD"/>
    <w:rsid w:val="240B0AAB"/>
    <w:rsid w:val="240D1D18"/>
    <w:rsid w:val="241035B6"/>
    <w:rsid w:val="241A54DB"/>
    <w:rsid w:val="24204103"/>
    <w:rsid w:val="242A07F4"/>
    <w:rsid w:val="242E1C8E"/>
    <w:rsid w:val="24343749"/>
    <w:rsid w:val="24394821"/>
    <w:rsid w:val="24816262"/>
    <w:rsid w:val="248E5BBF"/>
    <w:rsid w:val="249577B8"/>
    <w:rsid w:val="24973427"/>
    <w:rsid w:val="24A4217B"/>
    <w:rsid w:val="24A73F1B"/>
    <w:rsid w:val="24A73F4E"/>
    <w:rsid w:val="24A845B4"/>
    <w:rsid w:val="24BF09F7"/>
    <w:rsid w:val="24C3687B"/>
    <w:rsid w:val="24CA5E5B"/>
    <w:rsid w:val="24CE3E08"/>
    <w:rsid w:val="24E318DF"/>
    <w:rsid w:val="250670F7"/>
    <w:rsid w:val="252D53FE"/>
    <w:rsid w:val="252D5AA5"/>
    <w:rsid w:val="25305A0C"/>
    <w:rsid w:val="25397DD0"/>
    <w:rsid w:val="254B70B5"/>
    <w:rsid w:val="25577B0A"/>
    <w:rsid w:val="255810F9"/>
    <w:rsid w:val="25626093"/>
    <w:rsid w:val="257302A1"/>
    <w:rsid w:val="258B383C"/>
    <w:rsid w:val="25914ACA"/>
    <w:rsid w:val="25AE3087"/>
    <w:rsid w:val="25B368EF"/>
    <w:rsid w:val="25D23219"/>
    <w:rsid w:val="25DB061E"/>
    <w:rsid w:val="25EA2F9C"/>
    <w:rsid w:val="25EB42DB"/>
    <w:rsid w:val="25EC2D81"/>
    <w:rsid w:val="26007394"/>
    <w:rsid w:val="260D473D"/>
    <w:rsid w:val="26103A10"/>
    <w:rsid w:val="262241EA"/>
    <w:rsid w:val="2631412E"/>
    <w:rsid w:val="264F486A"/>
    <w:rsid w:val="2668214E"/>
    <w:rsid w:val="26955FF5"/>
    <w:rsid w:val="269F0C21"/>
    <w:rsid w:val="26A015DD"/>
    <w:rsid w:val="26B172D2"/>
    <w:rsid w:val="26BC7A25"/>
    <w:rsid w:val="26C1503C"/>
    <w:rsid w:val="26DE174A"/>
    <w:rsid w:val="26F13E46"/>
    <w:rsid w:val="26FB67A0"/>
    <w:rsid w:val="271C2272"/>
    <w:rsid w:val="272A2BE1"/>
    <w:rsid w:val="27405716"/>
    <w:rsid w:val="274F0FA6"/>
    <w:rsid w:val="275859A0"/>
    <w:rsid w:val="27624780"/>
    <w:rsid w:val="277057A2"/>
    <w:rsid w:val="27826312"/>
    <w:rsid w:val="279D5271"/>
    <w:rsid w:val="27BA5D13"/>
    <w:rsid w:val="27C363C1"/>
    <w:rsid w:val="27DD7C53"/>
    <w:rsid w:val="280B4F0E"/>
    <w:rsid w:val="28135739"/>
    <w:rsid w:val="281A4D04"/>
    <w:rsid w:val="2829733C"/>
    <w:rsid w:val="284D6B87"/>
    <w:rsid w:val="28505197"/>
    <w:rsid w:val="285401FD"/>
    <w:rsid w:val="285F2D5E"/>
    <w:rsid w:val="28656773"/>
    <w:rsid w:val="286D7229"/>
    <w:rsid w:val="28724840"/>
    <w:rsid w:val="28A6451F"/>
    <w:rsid w:val="28A87BD4"/>
    <w:rsid w:val="28B1662D"/>
    <w:rsid w:val="28B35596"/>
    <w:rsid w:val="28C50E13"/>
    <w:rsid w:val="28CE4182"/>
    <w:rsid w:val="28CE5D75"/>
    <w:rsid w:val="28D76D98"/>
    <w:rsid w:val="28E514B5"/>
    <w:rsid w:val="28F64025"/>
    <w:rsid w:val="29127DD1"/>
    <w:rsid w:val="291E496A"/>
    <w:rsid w:val="29206EB8"/>
    <w:rsid w:val="29214603"/>
    <w:rsid w:val="29595666"/>
    <w:rsid w:val="295D104C"/>
    <w:rsid w:val="295D729E"/>
    <w:rsid w:val="29874881"/>
    <w:rsid w:val="299E231A"/>
    <w:rsid w:val="29A254BC"/>
    <w:rsid w:val="29AC5B2F"/>
    <w:rsid w:val="29C94741"/>
    <w:rsid w:val="29DA0CCD"/>
    <w:rsid w:val="29E324B7"/>
    <w:rsid w:val="29E325E0"/>
    <w:rsid w:val="29E90B31"/>
    <w:rsid w:val="2A0B0AA8"/>
    <w:rsid w:val="2A3D2C2B"/>
    <w:rsid w:val="2A44220C"/>
    <w:rsid w:val="2A452503"/>
    <w:rsid w:val="2A4A1A01"/>
    <w:rsid w:val="2A65507C"/>
    <w:rsid w:val="2A81520E"/>
    <w:rsid w:val="2A88034A"/>
    <w:rsid w:val="2A9767DF"/>
    <w:rsid w:val="2A9A007E"/>
    <w:rsid w:val="2AA36DE9"/>
    <w:rsid w:val="2AC33130"/>
    <w:rsid w:val="2ADE440E"/>
    <w:rsid w:val="2AEC657A"/>
    <w:rsid w:val="2AF43C32"/>
    <w:rsid w:val="2AF94DA4"/>
    <w:rsid w:val="2B1C5C3D"/>
    <w:rsid w:val="2B1C5F8E"/>
    <w:rsid w:val="2B353846"/>
    <w:rsid w:val="2B4A3852"/>
    <w:rsid w:val="2B4C7BA5"/>
    <w:rsid w:val="2B502307"/>
    <w:rsid w:val="2B5460C0"/>
    <w:rsid w:val="2B5F091D"/>
    <w:rsid w:val="2B7E52A9"/>
    <w:rsid w:val="2B966A97"/>
    <w:rsid w:val="2BA936A8"/>
    <w:rsid w:val="2BA9790F"/>
    <w:rsid w:val="2BE91FAB"/>
    <w:rsid w:val="2C001A9E"/>
    <w:rsid w:val="2C245B05"/>
    <w:rsid w:val="2C315A5A"/>
    <w:rsid w:val="2C4B1C25"/>
    <w:rsid w:val="2C676789"/>
    <w:rsid w:val="2C851DE9"/>
    <w:rsid w:val="2C86216E"/>
    <w:rsid w:val="2C8955F1"/>
    <w:rsid w:val="2C950AFD"/>
    <w:rsid w:val="2CB60BE6"/>
    <w:rsid w:val="2CBA3E66"/>
    <w:rsid w:val="2CED42EB"/>
    <w:rsid w:val="2CFA3DDA"/>
    <w:rsid w:val="2D184861"/>
    <w:rsid w:val="2D197980"/>
    <w:rsid w:val="2D482013"/>
    <w:rsid w:val="2D4D7880"/>
    <w:rsid w:val="2D7476A8"/>
    <w:rsid w:val="2D940DB4"/>
    <w:rsid w:val="2D9E56F5"/>
    <w:rsid w:val="2D9E66A8"/>
    <w:rsid w:val="2DC84277"/>
    <w:rsid w:val="2DD74B25"/>
    <w:rsid w:val="2DE1198E"/>
    <w:rsid w:val="2DE54A0A"/>
    <w:rsid w:val="2DF9330D"/>
    <w:rsid w:val="2E0917A2"/>
    <w:rsid w:val="2E241C36"/>
    <w:rsid w:val="2E372D33"/>
    <w:rsid w:val="2E444588"/>
    <w:rsid w:val="2E586286"/>
    <w:rsid w:val="2E627104"/>
    <w:rsid w:val="2E644C2A"/>
    <w:rsid w:val="2E666BF4"/>
    <w:rsid w:val="2E667F96"/>
    <w:rsid w:val="2E8226AB"/>
    <w:rsid w:val="2E95347B"/>
    <w:rsid w:val="2EAE5EE7"/>
    <w:rsid w:val="2EB94691"/>
    <w:rsid w:val="2ECD42B5"/>
    <w:rsid w:val="2ECD75AB"/>
    <w:rsid w:val="2ECE6805"/>
    <w:rsid w:val="2EFE3BA2"/>
    <w:rsid w:val="2F073867"/>
    <w:rsid w:val="2F1B5927"/>
    <w:rsid w:val="2F2B0335"/>
    <w:rsid w:val="2F3621B9"/>
    <w:rsid w:val="2F3A0F72"/>
    <w:rsid w:val="2F5734BD"/>
    <w:rsid w:val="2F593715"/>
    <w:rsid w:val="2F5A379A"/>
    <w:rsid w:val="2F6934C8"/>
    <w:rsid w:val="2F7E2EA4"/>
    <w:rsid w:val="2F9C6646"/>
    <w:rsid w:val="2F9E416C"/>
    <w:rsid w:val="2FAE7398"/>
    <w:rsid w:val="2FB83480"/>
    <w:rsid w:val="2FBD1134"/>
    <w:rsid w:val="2FD065E6"/>
    <w:rsid w:val="2FD96870"/>
    <w:rsid w:val="3009544A"/>
    <w:rsid w:val="302E779A"/>
    <w:rsid w:val="30495BCA"/>
    <w:rsid w:val="304C703A"/>
    <w:rsid w:val="30580BC9"/>
    <w:rsid w:val="30817D16"/>
    <w:rsid w:val="309B06AC"/>
    <w:rsid w:val="30C3032E"/>
    <w:rsid w:val="30DC4F4C"/>
    <w:rsid w:val="31197F4E"/>
    <w:rsid w:val="311E2ED7"/>
    <w:rsid w:val="311F308B"/>
    <w:rsid w:val="31293F09"/>
    <w:rsid w:val="313F54DB"/>
    <w:rsid w:val="315619EE"/>
    <w:rsid w:val="315C449C"/>
    <w:rsid w:val="316E2808"/>
    <w:rsid w:val="3170390B"/>
    <w:rsid w:val="31837ABD"/>
    <w:rsid w:val="31905D36"/>
    <w:rsid w:val="319F0414"/>
    <w:rsid w:val="31A0241D"/>
    <w:rsid w:val="31AA6DF8"/>
    <w:rsid w:val="31B82709"/>
    <w:rsid w:val="31CD2378"/>
    <w:rsid w:val="31D05482"/>
    <w:rsid w:val="31D2634F"/>
    <w:rsid w:val="31D9748F"/>
    <w:rsid w:val="31E3055C"/>
    <w:rsid w:val="31E42843"/>
    <w:rsid w:val="32144A72"/>
    <w:rsid w:val="32277BE9"/>
    <w:rsid w:val="323E5B9E"/>
    <w:rsid w:val="32400B34"/>
    <w:rsid w:val="32485CD0"/>
    <w:rsid w:val="32496611"/>
    <w:rsid w:val="32595421"/>
    <w:rsid w:val="327B7A5D"/>
    <w:rsid w:val="329E6876"/>
    <w:rsid w:val="32EC3440"/>
    <w:rsid w:val="32FD323A"/>
    <w:rsid w:val="330002EB"/>
    <w:rsid w:val="330B7D6A"/>
    <w:rsid w:val="33152997"/>
    <w:rsid w:val="3319003C"/>
    <w:rsid w:val="332930F1"/>
    <w:rsid w:val="332F7931"/>
    <w:rsid w:val="333015F2"/>
    <w:rsid w:val="33321433"/>
    <w:rsid w:val="333326F8"/>
    <w:rsid w:val="333746BC"/>
    <w:rsid w:val="33464AAD"/>
    <w:rsid w:val="334B6320"/>
    <w:rsid w:val="337B3321"/>
    <w:rsid w:val="338623F7"/>
    <w:rsid w:val="3390201E"/>
    <w:rsid w:val="339F3544"/>
    <w:rsid w:val="33AD7074"/>
    <w:rsid w:val="33B31A2C"/>
    <w:rsid w:val="33CD3C73"/>
    <w:rsid w:val="33D934D4"/>
    <w:rsid w:val="33EF31E8"/>
    <w:rsid w:val="33EF4F96"/>
    <w:rsid w:val="33FE2F6A"/>
    <w:rsid w:val="34015F0C"/>
    <w:rsid w:val="34092494"/>
    <w:rsid w:val="340D13B6"/>
    <w:rsid w:val="340E07E5"/>
    <w:rsid w:val="34235BF7"/>
    <w:rsid w:val="3437108B"/>
    <w:rsid w:val="344F5EC1"/>
    <w:rsid w:val="34607C42"/>
    <w:rsid w:val="34637732"/>
    <w:rsid w:val="346F257B"/>
    <w:rsid w:val="34780B0C"/>
    <w:rsid w:val="34812180"/>
    <w:rsid w:val="34A9783B"/>
    <w:rsid w:val="34C61E47"/>
    <w:rsid w:val="34FD1935"/>
    <w:rsid w:val="34FD36E3"/>
    <w:rsid w:val="35125815"/>
    <w:rsid w:val="3518054B"/>
    <w:rsid w:val="351C1D9B"/>
    <w:rsid w:val="352A3AB6"/>
    <w:rsid w:val="3542559A"/>
    <w:rsid w:val="354E3F3E"/>
    <w:rsid w:val="355330C5"/>
    <w:rsid w:val="355D23D3"/>
    <w:rsid w:val="35662AAC"/>
    <w:rsid w:val="3577352C"/>
    <w:rsid w:val="357C039E"/>
    <w:rsid w:val="358C5FA8"/>
    <w:rsid w:val="35A50348"/>
    <w:rsid w:val="35A72820"/>
    <w:rsid w:val="35B9585C"/>
    <w:rsid w:val="35C15DF1"/>
    <w:rsid w:val="35CB282C"/>
    <w:rsid w:val="35E0072C"/>
    <w:rsid w:val="35E86141"/>
    <w:rsid w:val="35EB79DF"/>
    <w:rsid w:val="35F5260C"/>
    <w:rsid w:val="35F86739"/>
    <w:rsid w:val="35FE5964"/>
    <w:rsid w:val="36074A7F"/>
    <w:rsid w:val="36370E76"/>
    <w:rsid w:val="364041CF"/>
    <w:rsid w:val="36445382"/>
    <w:rsid w:val="36496FA8"/>
    <w:rsid w:val="3656097F"/>
    <w:rsid w:val="36626A7A"/>
    <w:rsid w:val="366856E6"/>
    <w:rsid w:val="36923549"/>
    <w:rsid w:val="369342FF"/>
    <w:rsid w:val="369A13DD"/>
    <w:rsid w:val="369D33CF"/>
    <w:rsid w:val="36B168CF"/>
    <w:rsid w:val="36B75FBF"/>
    <w:rsid w:val="36B978C7"/>
    <w:rsid w:val="36B97ADD"/>
    <w:rsid w:val="36BD0C45"/>
    <w:rsid w:val="36C546D4"/>
    <w:rsid w:val="36C657E4"/>
    <w:rsid w:val="36E518D6"/>
    <w:rsid w:val="370C3F9E"/>
    <w:rsid w:val="371F5B92"/>
    <w:rsid w:val="372E2279"/>
    <w:rsid w:val="37673189"/>
    <w:rsid w:val="376B73F5"/>
    <w:rsid w:val="376D5CED"/>
    <w:rsid w:val="377D6D5D"/>
    <w:rsid w:val="378A39CB"/>
    <w:rsid w:val="37904CE2"/>
    <w:rsid w:val="37A03745"/>
    <w:rsid w:val="37A77E8B"/>
    <w:rsid w:val="37B24C58"/>
    <w:rsid w:val="37CD3932"/>
    <w:rsid w:val="37D95311"/>
    <w:rsid w:val="37E00298"/>
    <w:rsid w:val="37F10604"/>
    <w:rsid w:val="381F5EBD"/>
    <w:rsid w:val="38342FC3"/>
    <w:rsid w:val="38567AE9"/>
    <w:rsid w:val="3860407E"/>
    <w:rsid w:val="386C3059"/>
    <w:rsid w:val="3870051C"/>
    <w:rsid w:val="38733A8E"/>
    <w:rsid w:val="38A01F21"/>
    <w:rsid w:val="38B302F9"/>
    <w:rsid w:val="38B92017"/>
    <w:rsid w:val="38BA6ED9"/>
    <w:rsid w:val="38C764E2"/>
    <w:rsid w:val="38CF35E8"/>
    <w:rsid w:val="38D47941"/>
    <w:rsid w:val="38F12CD3"/>
    <w:rsid w:val="38F419B2"/>
    <w:rsid w:val="38F94775"/>
    <w:rsid w:val="38FA1026"/>
    <w:rsid w:val="38FD3079"/>
    <w:rsid w:val="391D7376"/>
    <w:rsid w:val="39290F4A"/>
    <w:rsid w:val="392971ED"/>
    <w:rsid w:val="392D1F05"/>
    <w:rsid w:val="39325651"/>
    <w:rsid w:val="395A0729"/>
    <w:rsid w:val="396F0AB0"/>
    <w:rsid w:val="397A7B42"/>
    <w:rsid w:val="398A3201"/>
    <w:rsid w:val="39A03FA4"/>
    <w:rsid w:val="39AB7A42"/>
    <w:rsid w:val="39B73B31"/>
    <w:rsid w:val="39C37745"/>
    <w:rsid w:val="39E85870"/>
    <w:rsid w:val="3A0B3D5E"/>
    <w:rsid w:val="3A212C7F"/>
    <w:rsid w:val="3A2312DB"/>
    <w:rsid w:val="3A4A1178"/>
    <w:rsid w:val="3A5F086E"/>
    <w:rsid w:val="3A872856"/>
    <w:rsid w:val="3A927640"/>
    <w:rsid w:val="3AA5073F"/>
    <w:rsid w:val="3AA83853"/>
    <w:rsid w:val="3AB35324"/>
    <w:rsid w:val="3ACB2FDB"/>
    <w:rsid w:val="3B00217F"/>
    <w:rsid w:val="3B015364"/>
    <w:rsid w:val="3B222A67"/>
    <w:rsid w:val="3B2B1978"/>
    <w:rsid w:val="3B3763D1"/>
    <w:rsid w:val="3B547DD5"/>
    <w:rsid w:val="3B7104A4"/>
    <w:rsid w:val="3B8763FC"/>
    <w:rsid w:val="3B892174"/>
    <w:rsid w:val="3B976459"/>
    <w:rsid w:val="3BC856E6"/>
    <w:rsid w:val="3BD67F32"/>
    <w:rsid w:val="3BD771D7"/>
    <w:rsid w:val="3BE473AB"/>
    <w:rsid w:val="3BF94F15"/>
    <w:rsid w:val="3BFE7BFC"/>
    <w:rsid w:val="3C0D42CA"/>
    <w:rsid w:val="3C1109F3"/>
    <w:rsid w:val="3C124AB9"/>
    <w:rsid w:val="3C2F6E1E"/>
    <w:rsid w:val="3C4B215E"/>
    <w:rsid w:val="3C4B742A"/>
    <w:rsid w:val="3C4E0CC8"/>
    <w:rsid w:val="3C4F64BA"/>
    <w:rsid w:val="3C577B7C"/>
    <w:rsid w:val="3C5920BD"/>
    <w:rsid w:val="3C6A0DFB"/>
    <w:rsid w:val="3C6B1109"/>
    <w:rsid w:val="3C7509B0"/>
    <w:rsid w:val="3C7E0814"/>
    <w:rsid w:val="3C834E15"/>
    <w:rsid w:val="3CA400E4"/>
    <w:rsid w:val="3CA52FCF"/>
    <w:rsid w:val="3CB87E25"/>
    <w:rsid w:val="3CC03E16"/>
    <w:rsid w:val="3CC50CC1"/>
    <w:rsid w:val="3CDA245A"/>
    <w:rsid w:val="3CE60F00"/>
    <w:rsid w:val="3CEC29BB"/>
    <w:rsid w:val="3D1E06B7"/>
    <w:rsid w:val="3D3B749E"/>
    <w:rsid w:val="3D736C38"/>
    <w:rsid w:val="3D7B40E5"/>
    <w:rsid w:val="3D8B48D8"/>
    <w:rsid w:val="3DAD3A25"/>
    <w:rsid w:val="3DB66B25"/>
    <w:rsid w:val="3DDA2813"/>
    <w:rsid w:val="3DFF671E"/>
    <w:rsid w:val="3E04753C"/>
    <w:rsid w:val="3E0E6961"/>
    <w:rsid w:val="3E136D50"/>
    <w:rsid w:val="3E285C74"/>
    <w:rsid w:val="3E4B1963"/>
    <w:rsid w:val="3E5527E2"/>
    <w:rsid w:val="3E666AFD"/>
    <w:rsid w:val="3EAE391C"/>
    <w:rsid w:val="3EDA0523"/>
    <w:rsid w:val="3EE6287E"/>
    <w:rsid w:val="3F09519C"/>
    <w:rsid w:val="3F252B4C"/>
    <w:rsid w:val="3F4E4BB7"/>
    <w:rsid w:val="3F5D4F76"/>
    <w:rsid w:val="3FC75019"/>
    <w:rsid w:val="3FD87226"/>
    <w:rsid w:val="3FE43E1D"/>
    <w:rsid w:val="3FEA7805"/>
    <w:rsid w:val="3FF81676"/>
    <w:rsid w:val="40045389"/>
    <w:rsid w:val="400A563D"/>
    <w:rsid w:val="4013200C"/>
    <w:rsid w:val="401550F0"/>
    <w:rsid w:val="40402D06"/>
    <w:rsid w:val="404971E7"/>
    <w:rsid w:val="40661CBD"/>
    <w:rsid w:val="407A6407"/>
    <w:rsid w:val="40833636"/>
    <w:rsid w:val="409C31D7"/>
    <w:rsid w:val="40A21FC1"/>
    <w:rsid w:val="40B21200"/>
    <w:rsid w:val="40B557B9"/>
    <w:rsid w:val="40C310C1"/>
    <w:rsid w:val="40ED4F53"/>
    <w:rsid w:val="40FE2CBD"/>
    <w:rsid w:val="41160006"/>
    <w:rsid w:val="41293E09"/>
    <w:rsid w:val="41377F7D"/>
    <w:rsid w:val="416163D3"/>
    <w:rsid w:val="418D7E95"/>
    <w:rsid w:val="418F600A"/>
    <w:rsid w:val="419E7FFC"/>
    <w:rsid w:val="41C430A4"/>
    <w:rsid w:val="41C77552"/>
    <w:rsid w:val="41E77BF5"/>
    <w:rsid w:val="4200449D"/>
    <w:rsid w:val="421F113C"/>
    <w:rsid w:val="42315D90"/>
    <w:rsid w:val="423A3BCC"/>
    <w:rsid w:val="424E557E"/>
    <w:rsid w:val="424E57D2"/>
    <w:rsid w:val="42565831"/>
    <w:rsid w:val="42660B19"/>
    <w:rsid w:val="42734FE4"/>
    <w:rsid w:val="42764AD5"/>
    <w:rsid w:val="429C09DF"/>
    <w:rsid w:val="42A47894"/>
    <w:rsid w:val="42B26C49"/>
    <w:rsid w:val="42BD0DA1"/>
    <w:rsid w:val="43030A5E"/>
    <w:rsid w:val="432B3B11"/>
    <w:rsid w:val="43305190"/>
    <w:rsid w:val="433A6FE6"/>
    <w:rsid w:val="43480868"/>
    <w:rsid w:val="4350713C"/>
    <w:rsid w:val="435A1684"/>
    <w:rsid w:val="436653E0"/>
    <w:rsid w:val="438D0F7F"/>
    <w:rsid w:val="439458A8"/>
    <w:rsid w:val="43AF1E3B"/>
    <w:rsid w:val="43B9111D"/>
    <w:rsid w:val="43C33385"/>
    <w:rsid w:val="43C4431A"/>
    <w:rsid w:val="43C91349"/>
    <w:rsid w:val="43CC70A2"/>
    <w:rsid w:val="43CE3973"/>
    <w:rsid w:val="43E51F12"/>
    <w:rsid w:val="43F45D3F"/>
    <w:rsid w:val="44191BBB"/>
    <w:rsid w:val="4420119C"/>
    <w:rsid w:val="44202F4A"/>
    <w:rsid w:val="44514CB2"/>
    <w:rsid w:val="445C32C7"/>
    <w:rsid w:val="44692B43"/>
    <w:rsid w:val="446B0669"/>
    <w:rsid w:val="447B4624"/>
    <w:rsid w:val="448160DE"/>
    <w:rsid w:val="44957529"/>
    <w:rsid w:val="449D07CE"/>
    <w:rsid w:val="44A1408B"/>
    <w:rsid w:val="44AD0C81"/>
    <w:rsid w:val="44B951CC"/>
    <w:rsid w:val="44C1768E"/>
    <w:rsid w:val="44CD14E0"/>
    <w:rsid w:val="44CE29A6"/>
    <w:rsid w:val="44DC4D1E"/>
    <w:rsid w:val="44DF289A"/>
    <w:rsid w:val="44E73A68"/>
    <w:rsid w:val="44F20B0B"/>
    <w:rsid w:val="44FF34A7"/>
    <w:rsid w:val="45022238"/>
    <w:rsid w:val="450665E4"/>
    <w:rsid w:val="452E5F4C"/>
    <w:rsid w:val="45303661"/>
    <w:rsid w:val="455B51DE"/>
    <w:rsid w:val="45612018"/>
    <w:rsid w:val="4570109D"/>
    <w:rsid w:val="45841FCF"/>
    <w:rsid w:val="458623B5"/>
    <w:rsid w:val="458946E9"/>
    <w:rsid w:val="4597548E"/>
    <w:rsid w:val="45A47C0E"/>
    <w:rsid w:val="45B45546"/>
    <w:rsid w:val="45BE2A1A"/>
    <w:rsid w:val="45C76627"/>
    <w:rsid w:val="45CC3151"/>
    <w:rsid w:val="45DC7014"/>
    <w:rsid w:val="460D10DC"/>
    <w:rsid w:val="46110AC8"/>
    <w:rsid w:val="46202C50"/>
    <w:rsid w:val="4622744D"/>
    <w:rsid w:val="462C476F"/>
    <w:rsid w:val="464D0671"/>
    <w:rsid w:val="46552F9B"/>
    <w:rsid w:val="46577FD6"/>
    <w:rsid w:val="4668335E"/>
    <w:rsid w:val="467B090B"/>
    <w:rsid w:val="467B5EA4"/>
    <w:rsid w:val="467D28D5"/>
    <w:rsid w:val="468972BA"/>
    <w:rsid w:val="468B4FF2"/>
    <w:rsid w:val="469C7200"/>
    <w:rsid w:val="469D71AF"/>
    <w:rsid w:val="46A318EC"/>
    <w:rsid w:val="46A75876"/>
    <w:rsid w:val="46AA21D0"/>
    <w:rsid w:val="46D955A7"/>
    <w:rsid w:val="470F1087"/>
    <w:rsid w:val="47133957"/>
    <w:rsid w:val="47240FA3"/>
    <w:rsid w:val="47486A40"/>
    <w:rsid w:val="47605E29"/>
    <w:rsid w:val="476D64A6"/>
    <w:rsid w:val="47A07E0C"/>
    <w:rsid w:val="47AF7897"/>
    <w:rsid w:val="47B3246E"/>
    <w:rsid w:val="47CA7D9C"/>
    <w:rsid w:val="47E45FCC"/>
    <w:rsid w:val="47E81FD1"/>
    <w:rsid w:val="48366852"/>
    <w:rsid w:val="483A2895"/>
    <w:rsid w:val="48482A6F"/>
    <w:rsid w:val="485D651B"/>
    <w:rsid w:val="486E60C4"/>
    <w:rsid w:val="4870272E"/>
    <w:rsid w:val="48710218"/>
    <w:rsid w:val="48733F90"/>
    <w:rsid w:val="489376C9"/>
    <w:rsid w:val="48977A36"/>
    <w:rsid w:val="48AD4952"/>
    <w:rsid w:val="48B81796"/>
    <w:rsid w:val="48CF15B0"/>
    <w:rsid w:val="48D5786F"/>
    <w:rsid w:val="48E72288"/>
    <w:rsid w:val="48E85470"/>
    <w:rsid w:val="48F80C4E"/>
    <w:rsid w:val="494476DB"/>
    <w:rsid w:val="498427CA"/>
    <w:rsid w:val="49AD702E"/>
    <w:rsid w:val="49B52043"/>
    <w:rsid w:val="49B92CD9"/>
    <w:rsid w:val="49D40A5E"/>
    <w:rsid w:val="49D62A28"/>
    <w:rsid w:val="49DC7715"/>
    <w:rsid w:val="49FB634E"/>
    <w:rsid w:val="4A023139"/>
    <w:rsid w:val="4A120904"/>
    <w:rsid w:val="4A162F2F"/>
    <w:rsid w:val="4A1E7F2C"/>
    <w:rsid w:val="4A34774F"/>
    <w:rsid w:val="4A4F5EAD"/>
    <w:rsid w:val="4A504307"/>
    <w:rsid w:val="4A6A3171"/>
    <w:rsid w:val="4A7B576F"/>
    <w:rsid w:val="4A852144"/>
    <w:rsid w:val="4AA20B5D"/>
    <w:rsid w:val="4AA2290B"/>
    <w:rsid w:val="4ACC7D39"/>
    <w:rsid w:val="4AF4409C"/>
    <w:rsid w:val="4AF561A9"/>
    <w:rsid w:val="4B410375"/>
    <w:rsid w:val="4B4614E8"/>
    <w:rsid w:val="4B585BB2"/>
    <w:rsid w:val="4B642884"/>
    <w:rsid w:val="4B6B0F4E"/>
    <w:rsid w:val="4B725FDE"/>
    <w:rsid w:val="4B771FE9"/>
    <w:rsid w:val="4B9009B5"/>
    <w:rsid w:val="4BA6467C"/>
    <w:rsid w:val="4BAB4322"/>
    <w:rsid w:val="4BC30D8B"/>
    <w:rsid w:val="4BE13907"/>
    <w:rsid w:val="4BE156B5"/>
    <w:rsid w:val="4C4A0649"/>
    <w:rsid w:val="4C7E5ECA"/>
    <w:rsid w:val="4C876AA5"/>
    <w:rsid w:val="4C96024D"/>
    <w:rsid w:val="4C9646F1"/>
    <w:rsid w:val="4CAC32FA"/>
    <w:rsid w:val="4CB132D9"/>
    <w:rsid w:val="4CB46196"/>
    <w:rsid w:val="4CBF70ED"/>
    <w:rsid w:val="4CE0596C"/>
    <w:rsid w:val="4D0E00FB"/>
    <w:rsid w:val="4D176606"/>
    <w:rsid w:val="4D26669D"/>
    <w:rsid w:val="4D2F41FE"/>
    <w:rsid w:val="4D4005FB"/>
    <w:rsid w:val="4D442D10"/>
    <w:rsid w:val="4D4B2839"/>
    <w:rsid w:val="4D4E28D6"/>
    <w:rsid w:val="4D5C1F46"/>
    <w:rsid w:val="4D65545D"/>
    <w:rsid w:val="4D777A71"/>
    <w:rsid w:val="4D857D45"/>
    <w:rsid w:val="4D8A55C0"/>
    <w:rsid w:val="4D8D0A96"/>
    <w:rsid w:val="4DA30E74"/>
    <w:rsid w:val="4DA42AAD"/>
    <w:rsid w:val="4DBD412F"/>
    <w:rsid w:val="4DD743CD"/>
    <w:rsid w:val="4DEA5F7B"/>
    <w:rsid w:val="4DEC4FB0"/>
    <w:rsid w:val="4DF23BA9"/>
    <w:rsid w:val="4DF55553"/>
    <w:rsid w:val="4E072242"/>
    <w:rsid w:val="4E075D8A"/>
    <w:rsid w:val="4E1E674C"/>
    <w:rsid w:val="4E1F107E"/>
    <w:rsid w:val="4E217FEA"/>
    <w:rsid w:val="4E265F6E"/>
    <w:rsid w:val="4E292C73"/>
    <w:rsid w:val="4E637623"/>
    <w:rsid w:val="4E95295F"/>
    <w:rsid w:val="4EAA4A05"/>
    <w:rsid w:val="4EB1136E"/>
    <w:rsid w:val="4EBA3B83"/>
    <w:rsid w:val="4EC00FAD"/>
    <w:rsid w:val="4ED1637D"/>
    <w:rsid w:val="4F036AC8"/>
    <w:rsid w:val="4F0B0812"/>
    <w:rsid w:val="4F0F2043"/>
    <w:rsid w:val="4F124025"/>
    <w:rsid w:val="4F151068"/>
    <w:rsid w:val="4F153361"/>
    <w:rsid w:val="4F1657B4"/>
    <w:rsid w:val="4F1D6A04"/>
    <w:rsid w:val="4F416B96"/>
    <w:rsid w:val="4F574ADC"/>
    <w:rsid w:val="4F5C2D8F"/>
    <w:rsid w:val="4F5F37F3"/>
    <w:rsid w:val="4F6F6FE0"/>
    <w:rsid w:val="4F9111A0"/>
    <w:rsid w:val="4F913674"/>
    <w:rsid w:val="4F9843DC"/>
    <w:rsid w:val="4F9A62A6"/>
    <w:rsid w:val="4FC62A8C"/>
    <w:rsid w:val="4FE20F0D"/>
    <w:rsid w:val="4FE51552"/>
    <w:rsid w:val="4FE906E1"/>
    <w:rsid w:val="50160C0C"/>
    <w:rsid w:val="50330A02"/>
    <w:rsid w:val="50504C4B"/>
    <w:rsid w:val="508023F2"/>
    <w:rsid w:val="50937573"/>
    <w:rsid w:val="509C6E7C"/>
    <w:rsid w:val="50AB003F"/>
    <w:rsid w:val="50BB1AC3"/>
    <w:rsid w:val="50BE453F"/>
    <w:rsid w:val="50C9296A"/>
    <w:rsid w:val="50D457E8"/>
    <w:rsid w:val="50ED2406"/>
    <w:rsid w:val="50FB2D75"/>
    <w:rsid w:val="510C6D30"/>
    <w:rsid w:val="51112598"/>
    <w:rsid w:val="513F00B0"/>
    <w:rsid w:val="51470974"/>
    <w:rsid w:val="514A5AAA"/>
    <w:rsid w:val="5162104E"/>
    <w:rsid w:val="51627812"/>
    <w:rsid w:val="517C3451"/>
    <w:rsid w:val="518965D2"/>
    <w:rsid w:val="51A52CE0"/>
    <w:rsid w:val="51A972D7"/>
    <w:rsid w:val="51B573C7"/>
    <w:rsid w:val="51BC5D04"/>
    <w:rsid w:val="51C900D6"/>
    <w:rsid w:val="51F07A9F"/>
    <w:rsid w:val="52020133"/>
    <w:rsid w:val="520A30CD"/>
    <w:rsid w:val="522B768A"/>
    <w:rsid w:val="52326C6A"/>
    <w:rsid w:val="52350508"/>
    <w:rsid w:val="52365464"/>
    <w:rsid w:val="52405741"/>
    <w:rsid w:val="526478D3"/>
    <w:rsid w:val="52713F81"/>
    <w:rsid w:val="52B4767F"/>
    <w:rsid w:val="52CA0866"/>
    <w:rsid w:val="52DE7352"/>
    <w:rsid w:val="52EC506B"/>
    <w:rsid w:val="530B2F4E"/>
    <w:rsid w:val="533D58C6"/>
    <w:rsid w:val="536C5EBC"/>
    <w:rsid w:val="53860F02"/>
    <w:rsid w:val="53A039CC"/>
    <w:rsid w:val="53A1505A"/>
    <w:rsid w:val="53BF62DB"/>
    <w:rsid w:val="53C65F27"/>
    <w:rsid w:val="53D802AF"/>
    <w:rsid w:val="53E43268"/>
    <w:rsid w:val="53F8558E"/>
    <w:rsid w:val="54063E08"/>
    <w:rsid w:val="540A39B6"/>
    <w:rsid w:val="541B72D5"/>
    <w:rsid w:val="543437E8"/>
    <w:rsid w:val="5447484C"/>
    <w:rsid w:val="545D7C33"/>
    <w:rsid w:val="54684BC5"/>
    <w:rsid w:val="549F478F"/>
    <w:rsid w:val="54B56068"/>
    <w:rsid w:val="54CF07A0"/>
    <w:rsid w:val="54D5124F"/>
    <w:rsid w:val="54ED46B7"/>
    <w:rsid w:val="54F31C6C"/>
    <w:rsid w:val="54F73313"/>
    <w:rsid w:val="54F80955"/>
    <w:rsid w:val="54F84646"/>
    <w:rsid w:val="551663CF"/>
    <w:rsid w:val="55242A03"/>
    <w:rsid w:val="55242E4B"/>
    <w:rsid w:val="552A1E7A"/>
    <w:rsid w:val="552F56E3"/>
    <w:rsid w:val="555170A7"/>
    <w:rsid w:val="55660A8B"/>
    <w:rsid w:val="55765484"/>
    <w:rsid w:val="557B4484"/>
    <w:rsid w:val="557B5238"/>
    <w:rsid w:val="5587536D"/>
    <w:rsid w:val="559B174B"/>
    <w:rsid w:val="55B94FAC"/>
    <w:rsid w:val="55C612F5"/>
    <w:rsid w:val="55CE0CF4"/>
    <w:rsid w:val="55CE4284"/>
    <w:rsid w:val="55E02539"/>
    <w:rsid w:val="561A2659"/>
    <w:rsid w:val="566030AC"/>
    <w:rsid w:val="56617B1E"/>
    <w:rsid w:val="568E689F"/>
    <w:rsid w:val="569972B8"/>
    <w:rsid w:val="569B4C61"/>
    <w:rsid w:val="56B22A9C"/>
    <w:rsid w:val="56B85264"/>
    <w:rsid w:val="56C34335"/>
    <w:rsid w:val="56CA327A"/>
    <w:rsid w:val="56D95DC1"/>
    <w:rsid w:val="56E20B7B"/>
    <w:rsid w:val="571132F2"/>
    <w:rsid w:val="571F1838"/>
    <w:rsid w:val="573945F7"/>
    <w:rsid w:val="57430FD1"/>
    <w:rsid w:val="576B045F"/>
    <w:rsid w:val="57880FE9"/>
    <w:rsid w:val="57AC2BE5"/>
    <w:rsid w:val="57AD1ABB"/>
    <w:rsid w:val="57B72A76"/>
    <w:rsid w:val="57B7562D"/>
    <w:rsid w:val="57C3426C"/>
    <w:rsid w:val="57C75741"/>
    <w:rsid w:val="57CE1F93"/>
    <w:rsid w:val="57DB56AE"/>
    <w:rsid w:val="57EE3633"/>
    <w:rsid w:val="57FA1FD8"/>
    <w:rsid w:val="57FB6A2F"/>
    <w:rsid w:val="57FC55AA"/>
    <w:rsid w:val="58005114"/>
    <w:rsid w:val="580B5808"/>
    <w:rsid w:val="584E40D2"/>
    <w:rsid w:val="588743D1"/>
    <w:rsid w:val="5887701A"/>
    <w:rsid w:val="588E2C7A"/>
    <w:rsid w:val="58AF314D"/>
    <w:rsid w:val="58D2085F"/>
    <w:rsid w:val="58DE14B0"/>
    <w:rsid w:val="58DE5456"/>
    <w:rsid w:val="58E6780D"/>
    <w:rsid w:val="59090B79"/>
    <w:rsid w:val="591745D1"/>
    <w:rsid w:val="591E185F"/>
    <w:rsid w:val="59212B72"/>
    <w:rsid w:val="592941F7"/>
    <w:rsid w:val="59394879"/>
    <w:rsid w:val="598E6861"/>
    <w:rsid w:val="599C5F74"/>
    <w:rsid w:val="59A957BE"/>
    <w:rsid w:val="59AA17DC"/>
    <w:rsid w:val="59AA358A"/>
    <w:rsid w:val="59AF294E"/>
    <w:rsid w:val="59C0439F"/>
    <w:rsid w:val="59C77C98"/>
    <w:rsid w:val="5A01435F"/>
    <w:rsid w:val="5A0233C6"/>
    <w:rsid w:val="5A144EA7"/>
    <w:rsid w:val="5A1530F9"/>
    <w:rsid w:val="5A160C1F"/>
    <w:rsid w:val="5A5D684E"/>
    <w:rsid w:val="5A81253D"/>
    <w:rsid w:val="5A8D7349"/>
    <w:rsid w:val="5A9332F0"/>
    <w:rsid w:val="5AA30F9C"/>
    <w:rsid w:val="5AB0697E"/>
    <w:rsid w:val="5AB714F1"/>
    <w:rsid w:val="5ABE2233"/>
    <w:rsid w:val="5ACE32A8"/>
    <w:rsid w:val="5ADA1C4D"/>
    <w:rsid w:val="5AEE6774"/>
    <w:rsid w:val="5B07329F"/>
    <w:rsid w:val="5B140210"/>
    <w:rsid w:val="5B2A2BD4"/>
    <w:rsid w:val="5B2D6220"/>
    <w:rsid w:val="5B570E13"/>
    <w:rsid w:val="5B5E0B95"/>
    <w:rsid w:val="5B6D0D13"/>
    <w:rsid w:val="5BA11CDC"/>
    <w:rsid w:val="5BAD110F"/>
    <w:rsid w:val="5BC50747"/>
    <w:rsid w:val="5BDF5B06"/>
    <w:rsid w:val="5BDF5D95"/>
    <w:rsid w:val="5BF57851"/>
    <w:rsid w:val="5BFE7528"/>
    <w:rsid w:val="5C0748B8"/>
    <w:rsid w:val="5C0F1DCA"/>
    <w:rsid w:val="5C171949"/>
    <w:rsid w:val="5C2057A0"/>
    <w:rsid w:val="5C30098F"/>
    <w:rsid w:val="5C3F26AF"/>
    <w:rsid w:val="5C571BBC"/>
    <w:rsid w:val="5C5B6DBD"/>
    <w:rsid w:val="5C5D48E3"/>
    <w:rsid w:val="5C7B25A9"/>
    <w:rsid w:val="5C824DB3"/>
    <w:rsid w:val="5C983B6D"/>
    <w:rsid w:val="5CA910B0"/>
    <w:rsid w:val="5CC051CE"/>
    <w:rsid w:val="5CC97269"/>
    <w:rsid w:val="5CD85A7F"/>
    <w:rsid w:val="5CE95CC1"/>
    <w:rsid w:val="5CEE378D"/>
    <w:rsid w:val="5D2378DB"/>
    <w:rsid w:val="5D26450E"/>
    <w:rsid w:val="5D580ADA"/>
    <w:rsid w:val="5D5E4630"/>
    <w:rsid w:val="5D9777F9"/>
    <w:rsid w:val="5DAC2D75"/>
    <w:rsid w:val="5DCA5FA9"/>
    <w:rsid w:val="5DCC7F73"/>
    <w:rsid w:val="5DE84681"/>
    <w:rsid w:val="5E242673"/>
    <w:rsid w:val="5E2467F1"/>
    <w:rsid w:val="5E2D4789"/>
    <w:rsid w:val="5E361890"/>
    <w:rsid w:val="5E3D7C33"/>
    <w:rsid w:val="5E446EBF"/>
    <w:rsid w:val="5E563CE0"/>
    <w:rsid w:val="5E62353E"/>
    <w:rsid w:val="5E767EDE"/>
    <w:rsid w:val="5E79352B"/>
    <w:rsid w:val="5E8410F4"/>
    <w:rsid w:val="5E8D26AE"/>
    <w:rsid w:val="5E9F5687"/>
    <w:rsid w:val="5EA900AA"/>
    <w:rsid w:val="5EC17640"/>
    <w:rsid w:val="5EC7698C"/>
    <w:rsid w:val="5EE46637"/>
    <w:rsid w:val="5F180399"/>
    <w:rsid w:val="5F1A2B43"/>
    <w:rsid w:val="5F251B25"/>
    <w:rsid w:val="5F6146EB"/>
    <w:rsid w:val="5F6366B5"/>
    <w:rsid w:val="5F6A4DA4"/>
    <w:rsid w:val="5F7563E8"/>
    <w:rsid w:val="5F781A34"/>
    <w:rsid w:val="5F864151"/>
    <w:rsid w:val="5F962DD4"/>
    <w:rsid w:val="5F985EB2"/>
    <w:rsid w:val="5F9F3EE1"/>
    <w:rsid w:val="5FA82319"/>
    <w:rsid w:val="5FB07420"/>
    <w:rsid w:val="5FB56A02"/>
    <w:rsid w:val="5FB837BB"/>
    <w:rsid w:val="5FBD7995"/>
    <w:rsid w:val="5FC37153"/>
    <w:rsid w:val="5FC65CF0"/>
    <w:rsid w:val="5FF47D19"/>
    <w:rsid w:val="60362905"/>
    <w:rsid w:val="605E399C"/>
    <w:rsid w:val="6064568D"/>
    <w:rsid w:val="606770FD"/>
    <w:rsid w:val="60854409"/>
    <w:rsid w:val="609F4BBB"/>
    <w:rsid w:val="60AA0313"/>
    <w:rsid w:val="60CC405A"/>
    <w:rsid w:val="60DA5C6B"/>
    <w:rsid w:val="60EC6236"/>
    <w:rsid w:val="610462CE"/>
    <w:rsid w:val="610572F8"/>
    <w:rsid w:val="611973CB"/>
    <w:rsid w:val="611A0FF5"/>
    <w:rsid w:val="611A2DA3"/>
    <w:rsid w:val="611E100C"/>
    <w:rsid w:val="61225FAC"/>
    <w:rsid w:val="61355E2F"/>
    <w:rsid w:val="61360CF6"/>
    <w:rsid w:val="614222FA"/>
    <w:rsid w:val="61493FFC"/>
    <w:rsid w:val="615F4C5A"/>
    <w:rsid w:val="616008C7"/>
    <w:rsid w:val="61665FE8"/>
    <w:rsid w:val="616768A5"/>
    <w:rsid w:val="619F7579"/>
    <w:rsid w:val="61A44D62"/>
    <w:rsid w:val="61A74C68"/>
    <w:rsid w:val="61B94FE1"/>
    <w:rsid w:val="61E02300"/>
    <w:rsid w:val="61E215D8"/>
    <w:rsid w:val="61E909C7"/>
    <w:rsid w:val="61EC7E6A"/>
    <w:rsid w:val="62075A8E"/>
    <w:rsid w:val="621B3775"/>
    <w:rsid w:val="621C1E14"/>
    <w:rsid w:val="621D6901"/>
    <w:rsid w:val="62224346"/>
    <w:rsid w:val="622444B3"/>
    <w:rsid w:val="62364782"/>
    <w:rsid w:val="62552FA9"/>
    <w:rsid w:val="626562A0"/>
    <w:rsid w:val="62864595"/>
    <w:rsid w:val="628A3F58"/>
    <w:rsid w:val="628A7090"/>
    <w:rsid w:val="62A218AA"/>
    <w:rsid w:val="62C21944"/>
    <w:rsid w:val="62C82CA0"/>
    <w:rsid w:val="62CD2097"/>
    <w:rsid w:val="62D357E6"/>
    <w:rsid w:val="62EB4F4D"/>
    <w:rsid w:val="62F53596"/>
    <w:rsid w:val="630E4B89"/>
    <w:rsid w:val="630F140E"/>
    <w:rsid w:val="630F79C6"/>
    <w:rsid w:val="63285CDF"/>
    <w:rsid w:val="633013C5"/>
    <w:rsid w:val="6344220F"/>
    <w:rsid w:val="6344382F"/>
    <w:rsid w:val="637846F9"/>
    <w:rsid w:val="637F5A87"/>
    <w:rsid w:val="63894210"/>
    <w:rsid w:val="6394356A"/>
    <w:rsid w:val="63997DA2"/>
    <w:rsid w:val="639F3A33"/>
    <w:rsid w:val="63A1458D"/>
    <w:rsid w:val="63A55D83"/>
    <w:rsid w:val="63B079EF"/>
    <w:rsid w:val="63C61B2C"/>
    <w:rsid w:val="63CD67F3"/>
    <w:rsid w:val="63D074BD"/>
    <w:rsid w:val="63D40BE9"/>
    <w:rsid w:val="63DA49F4"/>
    <w:rsid w:val="63DD27CD"/>
    <w:rsid w:val="63F7408D"/>
    <w:rsid w:val="63F7561D"/>
    <w:rsid w:val="63FC4C7F"/>
    <w:rsid w:val="63FE21B2"/>
    <w:rsid w:val="64102431"/>
    <w:rsid w:val="64175CC0"/>
    <w:rsid w:val="64267CB1"/>
    <w:rsid w:val="643C1282"/>
    <w:rsid w:val="645140B1"/>
    <w:rsid w:val="647C1FC7"/>
    <w:rsid w:val="6482490F"/>
    <w:rsid w:val="648E1784"/>
    <w:rsid w:val="64921199"/>
    <w:rsid w:val="64970F01"/>
    <w:rsid w:val="649D3D5A"/>
    <w:rsid w:val="64A5243A"/>
    <w:rsid w:val="64A671CC"/>
    <w:rsid w:val="64AC28AC"/>
    <w:rsid w:val="64B145FA"/>
    <w:rsid w:val="64CA4AE0"/>
    <w:rsid w:val="64CB7A5C"/>
    <w:rsid w:val="64EE4527"/>
    <w:rsid w:val="64F45E6E"/>
    <w:rsid w:val="64F531DE"/>
    <w:rsid w:val="64F81CAE"/>
    <w:rsid w:val="64FA54FF"/>
    <w:rsid w:val="64FD3F3A"/>
    <w:rsid w:val="650A18AE"/>
    <w:rsid w:val="65181CEF"/>
    <w:rsid w:val="65240694"/>
    <w:rsid w:val="65373578"/>
    <w:rsid w:val="6558033E"/>
    <w:rsid w:val="657333CA"/>
    <w:rsid w:val="6585041D"/>
    <w:rsid w:val="65921AA2"/>
    <w:rsid w:val="659C011A"/>
    <w:rsid w:val="659C5742"/>
    <w:rsid w:val="65A11CE5"/>
    <w:rsid w:val="65BB295F"/>
    <w:rsid w:val="65D8147F"/>
    <w:rsid w:val="65DE3067"/>
    <w:rsid w:val="66061B48"/>
    <w:rsid w:val="66214968"/>
    <w:rsid w:val="66807B4C"/>
    <w:rsid w:val="66983057"/>
    <w:rsid w:val="66A001EE"/>
    <w:rsid w:val="66C35C8B"/>
    <w:rsid w:val="66C51E60"/>
    <w:rsid w:val="66DC126B"/>
    <w:rsid w:val="66E62694"/>
    <w:rsid w:val="66F72BF1"/>
    <w:rsid w:val="66F916AD"/>
    <w:rsid w:val="671F124A"/>
    <w:rsid w:val="672C6851"/>
    <w:rsid w:val="67355A2B"/>
    <w:rsid w:val="674D05F7"/>
    <w:rsid w:val="674F3F22"/>
    <w:rsid w:val="676C6E71"/>
    <w:rsid w:val="677A33C6"/>
    <w:rsid w:val="6784366C"/>
    <w:rsid w:val="678F6D64"/>
    <w:rsid w:val="67983707"/>
    <w:rsid w:val="67A4786A"/>
    <w:rsid w:val="67B928B6"/>
    <w:rsid w:val="67C43A69"/>
    <w:rsid w:val="67D06D8C"/>
    <w:rsid w:val="67E27EDC"/>
    <w:rsid w:val="67EE31DB"/>
    <w:rsid w:val="67F27091"/>
    <w:rsid w:val="67FA392E"/>
    <w:rsid w:val="681A77FC"/>
    <w:rsid w:val="681D15F5"/>
    <w:rsid w:val="681F6961"/>
    <w:rsid w:val="6832131A"/>
    <w:rsid w:val="68331AA5"/>
    <w:rsid w:val="68394E57"/>
    <w:rsid w:val="683D1B0A"/>
    <w:rsid w:val="684737EF"/>
    <w:rsid w:val="684D1CB0"/>
    <w:rsid w:val="68531686"/>
    <w:rsid w:val="6860283C"/>
    <w:rsid w:val="68610A2F"/>
    <w:rsid w:val="68680898"/>
    <w:rsid w:val="686B30B6"/>
    <w:rsid w:val="686D031F"/>
    <w:rsid w:val="68721717"/>
    <w:rsid w:val="68725BBA"/>
    <w:rsid w:val="68805514"/>
    <w:rsid w:val="68823B6F"/>
    <w:rsid w:val="68896A60"/>
    <w:rsid w:val="68C77CB4"/>
    <w:rsid w:val="68DA4B98"/>
    <w:rsid w:val="68E17B3C"/>
    <w:rsid w:val="68F931D7"/>
    <w:rsid w:val="690F6F65"/>
    <w:rsid w:val="69316E2F"/>
    <w:rsid w:val="69401815"/>
    <w:rsid w:val="694110E9"/>
    <w:rsid w:val="694E2071"/>
    <w:rsid w:val="69766163"/>
    <w:rsid w:val="697A3B33"/>
    <w:rsid w:val="699022E4"/>
    <w:rsid w:val="699B6A4B"/>
    <w:rsid w:val="69BE49D5"/>
    <w:rsid w:val="69C2047C"/>
    <w:rsid w:val="69D44760"/>
    <w:rsid w:val="69D627FC"/>
    <w:rsid w:val="69D81A4D"/>
    <w:rsid w:val="69E43369"/>
    <w:rsid w:val="69EF2EC2"/>
    <w:rsid w:val="69F83B9D"/>
    <w:rsid w:val="6A024404"/>
    <w:rsid w:val="6A03754B"/>
    <w:rsid w:val="6A1077E2"/>
    <w:rsid w:val="6A4F36E8"/>
    <w:rsid w:val="6A520EC7"/>
    <w:rsid w:val="6A8F78EE"/>
    <w:rsid w:val="6AA858C3"/>
    <w:rsid w:val="6AC54E80"/>
    <w:rsid w:val="6AD401AE"/>
    <w:rsid w:val="6AD4713C"/>
    <w:rsid w:val="6AE52674"/>
    <w:rsid w:val="6AF87E20"/>
    <w:rsid w:val="6B090866"/>
    <w:rsid w:val="6B110DD4"/>
    <w:rsid w:val="6B177DA2"/>
    <w:rsid w:val="6B202324"/>
    <w:rsid w:val="6B322639"/>
    <w:rsid w:val="6B3978E5"/>
    <w:rsid w:val="6B594E10"/>
    <w:rsid w:val="6B6C5A40"/>
    <w:rsid w:val="6B824366"/>
    <w:rsid w:val="6B880771"/>
    <w:rsid w:val="6BA3608B"/>
    <w:rsid w:val="6BA75B7B"/>
    <w:rsid w:val="6BD050D2"/>
    <w:rsid w:val="6BF23F2C"/>
    <w:rsid w:val="6BF53287"/>
    <w:rsid w:val="6C0905E4"/>
    <w:rsid w:val="6C0B3D1A"/>
    <w:rsid w:val="6C0D2EC2"/>
    <w:rsid w:val="6C1D5310"/>
    <w:rsid w:val="6C264CF2"/>
    <w:rsid w:val="6C2C0273"/>
    <w:rsid w:val="6C484DA7"/>
    <w:rsid w:val="6C507FC1"/>
    <w:rsid w:val="6C5C0714"/>
    <w:rsid w:val="6C636C38"/>
    <w:rsid w:val="6C6E0447"/>
    <w:rsid w:val="6C7A1410"/>
    <w:rsid w:val="6C905D74"/>
    <w:rsid w:val="6C9F6852"/>
    <w:rsid w:val="6C9F7582"/>
    <w:rsid w:val="6CAD52E9"/>
    <w:rsid w:val="6CB63947"/>
    <w:rsid w:val="6CC162CF"/>
    <w:rsid w:val="6CE77C96"/>
    <w:rsid w:val="6CF42EE0"/>
    <w:rsid w:val="6CFC0D94"/>
    <w:rsid w:val="6D064B23"/>
    <w:rsid w:val="6D0B122D"/>
    <w:rsid w:val="6D1E1E6D"/>
    <w:rsid w:val="6D2154B9"/>
    <w:rsid w:val="6D3C0545"/>
    <w:rsid w:val="6D6B2FDE"/>
    <w:rsid w:val="6D7221B9"/>
    <w:rsid w:val="6D7A797B"/>
    <w:rsid w:val="6D7C2448"/>
    <w:rsid w:val="6D98755A"/>
    <w:rsid w:val="6D9B1C9B"/>
    <w:rsid w:val="6DB34098"/>
    <w:rsid w:val="6DB545B6"/>
    <w:rsid w:val="6DC43A83"/>
    <w:rsid w:val="6DE02FB4"/>
    <w:rsid w:val="6DE267A6"/>
    <w:rsid w:val="6DEB0407"/>
    <w:rsid w:val="6DEF55B7"/>
    <w:rsid w:val="6E05302D"/>
    <w:rsid w:val="6E111B06"/>
    <w:rsid w:val="6E121F69"/>
    <w:rsid w:val="6E3D27C7"/>
    <w:rsid w:val="6E514CED"/>
    <w:rsid w:val="6E587601"/>
    <w:rsid w:val="6E63733A"/>
    <w:rsid w:val="6E6F065C"/>
    <w:rsid w:val="6E82642B"/>
    <w:rsid w:val="6E8E6B7E"/>
    <w:rsid w:val="6EB505AF"/>
    <w:rsid w:val="6EB563D5"/>
    <w:rsid w:val="6EBE04E3"/>
    <w:rsid w:val="6ED92677"/>
    <w:rsid w:val="6EDC4883"/>
    <w:rsid w:val="6F03131A"/>
    <w:rsid w:val="6F062BB9"/>
    <w:rsid w:val="6F100805"/>
    <w:rsid w:val="6F103A37"/>
    <w:rsid w:val="6F1F0BDE"/>
    <w:rsid w:val="6F225983"/>
    <w:rsid w:val="6F240E42"/>
    <w:rsid w:val="6F293E3A"/>
    <w:rsid w:val="6F2C7FEA"/>
    <w:rsid w:val="6F5837CB"/>
    <w:rsid w:val="6F7044D6"/>
    <w:rsid w:val="6F7E3097"/>
    <w:rsid w:val="6FAC19B2"/>
    <w:rsid w:val="6FD510A7"/>
    <w:rsid w:val="6FF179AF"/>
    <w:rsid w:val="6FFC3167"/>
    <w:rsid w:val="6FFC5590"/>
    <w:rsid w:val="700C2451"/>
    <w:rsid w:val="7017472C"/>
    <w:rsid w:val="701A0E55"/>
    <w:rsid w:val="704233A7"/>
    <w:rsid w:val="704904F9"/>
    <w:rsid w:val="706731CF"/>
    <w:rsid w:val="706D1DD0"/>
    <w:rsid w:val="70856B87"/>
    <w:rsid w:val="70903082"/>
    <w:rsid w:val="70911320"/>
    <w:rsid w:val="70980188"/>
    <w:rsid w:val="709F62CC"/>
    <w:rsid w:val="70A42689"/>
    <w:rsid w:val="70AD6ED1"/>
    <w:rsid w:val="70C47EA1"/>
    <w:rsid w:val="70CA4485"/>
    <w:rsid w:val="70D527EE"/>
    <w:rsid w:val="70EC758A"/>
    <w:rsid w:val="71007FB7"/>
    <w:rsid w:val="71031AA6"/>
    <w:rsid w:val="710B733B"/>
    <w:rsid w:val="710E5161"/>
    <w:rsid w:val="715B5300"/>
    <w:rsid w:val="716B764B"/>
    <w:rsid w:val="71714726"/>
    <w:rsid w:val="718129CA"/>
    <w:rsid w:val="71957B08"/>
    <w:rsid w:val="719C01AD"/>
    <w:rsid w:val="71B25FE4"/>
    <w:rsid w:val="71B26AD7"/>
    <w:rsid w:val="71BB3492"/>
    <w:rsid w:val="71BE3FDD"/>
    <w:rsid w:val="71C83CCF"/>
    <w:rsid w:val="71CD20B4"/>
    <w:rsid w:val="71D27F8A"/>
    <w:rsid w:val="71EC253A"/>
    <w:rsid w:val="72273572"/>
    <w:rsid w:val="72440855"/>
    <w:rsid w:val="724D0AFE"/>
    <w:rsid w:val="72553024"/>
    <w:rsid w:val="72587BCF"/>
    <w:rsid w:val="72614513"/>
    <w:rsid w:val="726148AD"/>
    <w:rsid w:val="727618F3"/>
    <w:rsid w:val="728132C4"/>
    <w:rsid w:val="7284777D"/>
    <w:rsid w:val="728630EE"/>
    <w:rsid w:val="728F6156"/>
    <w:rsid w:val="72AB7DF9"/>
    <w:rsid w:val="72B34E05"/>
    <w:rsid w:val="72C07CD4"/>
    <w:rsid w:val="72C753C1"/>
    <w:rsid w:val="72DC25AE"/>
    <w:rsid w:val="72DF7588"/>
    <w:rsid w:val="72F35B4A"/>
    <w:rsid w:val="72F902E5"/>
    <w:rsid w:val="73122968"/>
    <w:rsid w:val="73190BFC"/>
    <w:rsid w:val="731F5D5E"/>
    <w:rsid w:val="732E0930"/>
    <w:rsid w:val="73351CBE"/>
    <w:rsid w:val="734270F1"/>
    <w:rsid w:val="73467931"/>
    <w:rsid w:val="73591E51"/>
    <w:rsid w:val="736764A6"/>
    <w:rsid w:val="73962B79"/>
    <w:rsid w:val="73C278BA"/>
    <w:rsid w:val="73C51AD5"/>
    <w:rsid w:val="73D019E7"/>
    <w:rsid w:val="73E01CD3"/>
    <w:rsid w:val="73E50F67"/>
    <w:rsid w:val="73E86D31"/>
    <w:rsid w:val="73EA2B84"/>
    <w:rsid w:val="73F441D3"/>
    <w:rsid w:val="74024296"/>
    <w:rsid w:val="740B2F05"/>
    <w:rsid w:val="74142394"/>
    <w:rsid w:val="741E793C"/>
    <w:rsid w:val="7420471D"/>
    <w:rsid w:val="745E3944"/>
    <w:rsid w:val="7486453C"/>
    <w:rsid w:val="7499627D"/>
    <w:rsid w:val="74A86D37"/>
    <w:rsid w:val="74BD6EAF"/>
    <w:rsid w:val="74E40210"/>
    <w:rsid w:val="74F945F1"/>
    <w:rsid w:val="752718BC"/>
    <w:rsid w:val="752E6D8D"/>
    <w:rsid w:val="75521FEA"/>
    <w:rsid w:val="75556648"/>
    <w:rsid w:val="75727C06"/>
    <w:rsid w:val="75954C5D"/>
    <w:rsid w:val="75956A44"/>
    <w:rsid w:val="7598410E"/>
    <w:rsid w:val="75A03D67"/>
    <w:rsid w:val="75A849CA"/>
    <w:rsid w:val="75B65EDC"/>
    <w:rsid w:val="75D7705D"/>
    <w:rsid w:val="75EB0D5A"/>
    <w:rsid w:val="75FF0362"/>
    <w:rsid w:val="760F4A49"/>
    <w:rsid w:val="7618125D"/>
    <w:rsid w:val="761D06A0"/>
    <w:rsid w:val="76214447"/>
    <w:rsid w:val="7635099D"/>
    <w:rsid w:val="763C25A1"/>
    <w:rsid w:val="766F54E7"/>
    <w:rsid w:val="7674673D"/>
    <w:rsid w:val="767E7DFB"/>
    <w:rsid w:val="76C03F95"/>
    <w:rsid w:val="76C43A85"/>
    <w:rsid w:val="76E77774"/>
    <w:rsid w:val="76E852B9"/>
    <w:rsid w:val="76F53C3E"/>
    <w:rsid w:val="76FB6D7B"/>
    <w:rsid w:val="770548E4"/>
    <w:rsid w:val="770F2408"/>
    <w:rsid w:val="771542E1"/>
    <w:rsid w:val="771C1E27"/>
    <w:rsid w:val="772B5915"/>
    <w:rsid w:val="77356731"/>
    <w:rsid w:val="774A385E"/>
    <w:rsid w:val="776103A7"/>
    <w:rsid w:val="77672662"/>
    <w:rsid w:val="776A3A8F"/>
    <w:rsid w:val="776C78F9"/>
    <w:rsid w:val="77713434"/>
    <w:rsid w:val="77762421"/>
    <w:rsid w:val="777709D8"/>
    <w:rsid w:val="77813AB0"/>
    <w:rsid w:val="77902BB7"/>
    <w:rsid w:val="779A1898"/>
    <w:rsid w:val="77A92C7B"/>
    <w:rsid w:val="77B56B1F"/>
    <w:rsid w:val="77E403A7"/>
    <w:rsid w:val="77EF4B32"/>
    <w:rsid w:val="77F4039A"/>
    <w:rsid w:val="78073173"/>
    <w:rsid w:val="780F09F4"/>
    <w:rsid w:val="78236589"/>
    <w:rsid w:val="78266D8A"/>
    <w:rsid w:val="782B0372"/>
    <w:rsid w:val="782C0EE0"/>
    <w:rsid w:val="783A1F03"/>
    <w:rsid w:val="784E0F40"/>
    <w:rsid w:val="786D0F88"/>
    <w:rsid w:val="786D673B"/>
    <w:rsid w:val="78730C2B"/>
    <w:rsid w:val="789A2F63"/>
    <w:rsid w:val="78A90480"/>
    <w:rsid w:val="78AA2807"/>
    <w:rsid w:val="78D43D28"/>
    <w:rsid w:val="78E62170"/>
    <w:rsid w:val="78E75930"/>
    <w:rsid w:val="78F341AE"/>
    <w:rsid w:val="790701FB"/>
    <w:rsid w:val="79183C14"/>
    <w:rsid w:val="79386E00"/>
    <w:rsid w:val="793F73F3"/>
    <w:rsid w:val="79491947"/>
    <w:rsid w:val="795804B5"/>
    <w:rsid w:val="795F013F"/>
    <w:rsid w:val="796B61FC"/>
    <w:rsid w:val="797177C8"/>
    <w:rsid w:val="79A47B9E"/>
    <w:rsid w:val="79A566FF"/>
    <w:rsid w:val="79B84B80"/>
    <w:rsid w:val="79CE5CF7"/>
    <w:rsid w:val="79EA2C5F"/>
    <w:rsid w:val="79EB3BBA"/>
    <w:rsid w:val="79ED7EE6"/>
    <w:rsid w:val="79FD2E0A"/>
    <w:rsid w:val="7A025901"/>
    <w:rsid w:val="7A0D129F"/>
    <w:rsid w:val="7A364017"/>
    <w:rsid w:val="7A3902E6"/>
    <w:rsid w:val="7A3A405E"/>
    <w:rsid w:val="7A447C3D"/>
    <w:rsid w:val="7A510055"/>
    <w:rsid w:val="7A8265E1"/>
    <w:rsid w:val="7A881B48"/>
    <w:rsid w:val="7A886B78"/>
    <w:rsid w:val="7A8C48BA"/>
    <w:rsid w:val="7AAD704D"/>
    <w:rsid w:val="7ABB4C43"/>
    <w:rsid w:val="7AFA3F50"/>
    <w:rsid w:val="7B044B5C"/>
    <w:rsid w:val="7B0703E4"/>
    <w:rsid w:val="7B242D44"/>
    <w:rsid w:val="7B2F6DD2"/>
    <w:rsid w:val="7B304553"/>
    <w:rsid w:val="7B686D42"/>
    <w:rsid w:val="7B7535A0"/>
    <w:rsid w:val="7B760682"/>
    <w:rsid w:val="7B841746"/>
    <w:rsid w:val="7B8515EA"/>
    <w:rsid w:val="7B945FC9"/>
    <w:rsid w:val="7BB265A2"/>
    <w:rsid w:val="7BCD6327"/>
    <w:rsid w:val="7BD5403F"/>
    <w:rsid w:val="7BE76A7D"/>
    <w:rsid w:val="7C06244A"/>
    <w:rsid w:val="7C0B3F04"/>
    <w:rsid w:val="7C3639F5"/>
    <w:rsid w:val="7C3D0E1F"/>
    <w:rsid w:val="7C5F2B54"/>
    <w:rsid w:val="7C686C61"/>
    <w:rsid w:val="7C6C5AC7"/>
    <w:rsid w:val="7C752F2B"/>
    <w:rsid w:val="7C776EA4"/>
    <w:rsid w:val="7C8D2BCE"/>
    <w:rsid w:val="7C93099F"/>
    <w:rsid w:val="7C944B85"/>
    <w:rsid w:val="7C9C6593"/>
    <w:rsid w:val="7CA1746C"/>
    <w:rsid w:val="7CA82555"/>
    <w:rsid w:val="7CB579CC"/>
    <w:rsid w:val="7CB974BC"/>
    <w:rsid w:val="7CC6544B"/>
    <w:rsid w:val="7CCC14D9"/>
    <w:rsid w:val="7CCF72F8"/>
    <w:rsid w:val="7D0239FF"/>
    <w:rsid w:val="7D184A9B"/>
    <w:rsid w:val="7D225061"/>
    <w:rsid w:val="7D30468F"/>
    <w:rsid w:val="7D494CE4"/>
    <w:rsid w:val="7D5E40CD"/>
    <w:rsid w:val="7D6B2EAC"/>
    <w:rsid w:val="7D7D498E"/>
    <w:rsid w:val="7D80622C"/>
    <w:rsid w:val="7D834802"/>
    <w:rsid w:val="7D913F95"/>
    <w:rsid w:val="7D9361E6"/>
    <w:rsid w:val="7DA031B0"/>
    <w:rsid w:val="7DA36746"/>
    <w:rsid w:val="7DA77C5D"/>
    <w:rsid w:val="7DCB7C22"/>
    <w:rsid w:val="7DCC5F8D"/>
    <w:rsid w:val="7DCD56F2"/>
    <w:rsid w:val="7DF52776"/>
    <w:rsid w:val="7E0F4F7A"/>
    <w:rsid w:val="7E26524E"/>
    <w:rsid w:val="7E2704FF"/>
    <w:rsid w:val="7E2968C4"/>
    <w:rsid w:val="7E300317"/>
    <w:rsid w:val="7E5F22E5"/>
    <w:rsid w:val="7E5F26BC"/>
    <w:rsid w:val="7E6B28C4"/>
    <w:rsid w:val="7E77762F"/>
    <w:rsid w:val="7E953F59"/>
    <w:rsid w:val="7E9957F7"/>
    <w:rsid w:val="7EAB1087"/>
    <w:rsid w:val="7EB87952"/>
    <w:rsid w:val="7EC40789"/>
    <w:rsid w:val="7EF06544"/>
    <w:rsid w:val="7EF47E4E"/>
    <w:rsid w:val="7F001CE7"/>
    <w:rsid w:val="7F065424"/>
    <w:rsid w:val="7F1C1164"/>
    <w:rsid w:val="7F435763"/>
    <w:rsid w:val="7F7C4971"/>
    <w:rsid w:val="7F875E42"/>
    <w:rsid w:val="7F8F09A8"/>
    <w:rsid w:val="7FA80EAE"/>
    <w:rsid w:val="7FB4040F"/>
    <w:rsid w:val="7FDC2445"/>
    <w:rsid w:val="7FE47E50"/>
    <w:rsid w:val="7FF32CE5"/>
    <w:rsid w:val="7FFB168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nhideWhenUsed="0" w:uiPriority="0"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keepLines/>
      <w:spacing w:line="360" w:lineRule="auto"/>
      <w:outlineLvl w:val="1"/>
    </w:pPr>
    <w:rPr>
      <w:rFonts w:ascii="Times New Roman" w:hAnsi="Times New Roman" w:eastAsia="宋体" w:cs="Times New Roman"/>
      <w:b/>
      <w:sz w:val="24"/>
      <w:szCs w:val="24"/>
      <w:lang w:val="en-US" w:eastAsia="zh-CN" w:bidi="ar-SA"/>
    </w:rPr>
  </w:style>
  <w:style w:type="paragraph" w:styleId="6">
    <w:name w:val="heading 3"/>
    <w:basedOn w:val="1"/>
    <w:next w:val="1"/>
    <w:unhideWhenUsed/>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7">
    <w:name w:val="heading 4"/>
    <w:basedOn w:val="1"/>
    <w:next w:val="1"/>
    <w:qFormat/>
    <w:locked/>
    <w:uiPriority w:val="0"/>
    <w:pPr>
      <w:keepNext/>
      <w:keepLines/>
      <w:numPr>
        <w:ilvl w:val="3"/>
        <w:numId w:val="1"/>
      </w:numPr>
      <w:ind w:left="0" w:firstLineChars="0"/>
      <w:outlineLvl w:val="3"/>
    </w:pPr>
    <w:rPr>
      <w:rFonts w:eastAsia="宋体"/>
      <w:b/>
      <w:bCs/>
      <w:szCs w:val="28"/>
    </w:rPr>
  </w:style>
  <w:style w:type="paragraph" w:styleId="8">
    <w:name w:val="heading 5"/>
    <w:basedOn w:val="1"/>
    <w:next w:val="1"/>
    <w:qFormat/>
    <w:locked/>
    <w:uiPriority w:val="0"/>
    <w:pPr>
      <w:keepNext/>
      <w:keepLines/>
      <w:spacing w:line="520" w:lineRule="exact"/>
      <w:outlineLvl w:val="4"/>
    </w:pPr>
    <w:rPr>
      <w:rFonts w:eastAsia="宋体"/>
      <w:b/>
      <w:bCs/>
      <w:szCs w:val="28"/>
    </w:rPr>
  </w:style>
  <w:style w:type="paragraph" w:styleId="9">
    <w:name w:val="heading 7"/>
    <w:basedOn w:val="1"/>
    <w:next w:val="1"/>
    <w:qFormat/>
    <w:locked/>
    <w:uiPriority w:val="0"/>
    <w:pPr>
      <w:keepNext/>
      <w:keepLines/>
      <w:adjustRightInd w:val="0"/>
      <w:spacing w:before="240" w:after="64" w:line="320" w:lineRule="atLeast"/>
      <w:ind w:left="397"/>
      <w:jc w:val="left"/>
      <w:textAlignment w:val="baseline"/>
      <w:outlineLvl w:val="6"/>
    </w:pPr>
    <w:rPr>
      <w:rFonts w:ascii="宋体" w:hAnsi="Arial"/>
      <w:b/>
      <w:kern w:val="0"/>
      <w:sz w:val="24"/>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customStyle="1" w:styleId="2">
    <w:name w:val="Default"/>
    <w:basedOn w:val="3"/>
    <w:next w:val="1"/>
    <w:unhideWhenUsed/>
    <w:qFormat/>
    <w:uiPriority w:val="99"/>
    <w:pPr>
      <w:widowControl w:val="0"/>
      <w:autoSpaceDE w:val="0"/>
      <w:autoSpaceDN w:val="0"/>
      <w:adjustRightInd w:val="0"/>
      <w:spacing w:beforeLines="0" w:afterLines="0"/>
    </w:pPr>
    <w:rPr>
      <w:rFonts w:hint="eastAsia" w:ascii="宋体p.ā萀" w:hAnsi="宋体p.ā萀" w:eastAsia="宋体p.ā萀" w:cs="Times New Roman"/>
      <w:color w:val="000000"/>
      <w:sz w:val="24"/>
      <w:szCs w:val="24"/>
    </w:rPr>
  </w:style>
  <w:style w:type="paragraph" w:customStyle="1" w:styleId="3">
    <w:name w:val="纯文本1"/>
    <w:basedOn w:val="1"/>
    <w:qFormat/>
    <w:uiPriority w:val="0"/>
    <w:pPr>
      <w:adjustRightInd w:val="0"/>
    </w:pPr>
    <w:rPr>
      <w:rFonts w:ascii="宋体" w:hAnsi="Courier New"/>
      <w:szCs w:val="20"/>
    </w:rPr>
  </w:style>
  <w:style w:type="paragraph" w:styleId="10">
    <w:name w:val="Note Heading"/>
    <w:basedOn w:val="1"/>
    <w:next w:val="1"/>
    <w:qFormat/>
    <w:locked/>
    <w:uiPriority w:val="0"/>
    <w:pPr>
      <w:jc w:val="center"/>
    </w:pPr>
  </w:style>
  <w:style w:type="paragraph" w:styleId="11">
    <w:name w:val="Normal Indent"/>
    <w:basedOn w:val="1"/>
    <w:next w:val="1"/>
    <w:qFormat/>
    <w:locked/>
    <w:uiPriority w:val="0"/>
    <w:pPr>
      <w:autoSpaceDE w:val="0"/>
      <w:autoSpaceDN w:val="0"/>
      <w:adjustRightInd w:val="0"/>
      <w:snapToGrid w:val="0"/>
      <w:spacing w:before="60" w:beforeLines="0" w:line="324" w:lineRule="auto"/>
      <w:ind w:firstLine="567"/>
      <w:textAlignment w:val="baseline"/>
    </w:pPr>
    <w:rPr>
      <w:rFonts w:eastAsia="宋体"/>
      <w:sz w:val="28"/>
      <w:lang w:val="en-US" w:eastAsia="zh-CN" w:bidi="ar-SA"/>
    </w:rPr>
  </w:style>
  <w:style w:type="paragraph" w:styleId="12">
    <w:name w:val="caption"/>
    <w:basedOn w:val="1"/>
    <w:next w:val="1"/>
    <w:qFormat/>
    <w:locked/>
    <w:uiPriority w:val="0"/>
    <w:pPr>
      <w:spacing w:line="360" w:lineRule="exact"/>
      <w:jc w:val="center"/>
    </w:pPr>
    <w:rPr>
      <w:rFonts w:ascii="Times New Roman" w:hAnsi="Times New Roman" w:eastAsia="黑体" w:cs="Times New Roman"/>
      <w:sz w:val="24"/>
      <w:szCs w:val="24"/>
      <w:lang w:val="en-US" w:eastAsia="zh-CN" w:bidi="ar-SA"/>
    </w:rPr>
  </w:style>
  <w:style w:type="paragraph" w:styleId="13">
    <w:name w:val="annotation text"/>
    <w:basedOn w:val="1"/>
    <w:link w:val="37"/>
    <w:semiHidden/>
    <w:qFormat/>
    <w:uiPriority w:val="0"/>
    <w:pPr>
      <w:jc w:val="left"/>
    </w:pPr>
    <w:rPr>
      <w:kern w:val="0"/>
      <w:sz w:val="24"/>
      <w:szCs w:val="20"/>
    </w:rPr>
  </w:style>
  <w:style w:type="paragraph" w:styleId="14">
    <w:name w:val="Salutation"/>
    <w:basedOn w:val="1"/>
    <w:next w:val="1"/>
    <w:qFormat/>
    <w:locked/>
    <w:uiPriority w:val="0"/>
  </w:style>
  <w:style w:type="paragraph" w:styleId="15">
    <w:name w:val="Body Text"/>
    <w:basedOn w:val="1"/>
    <w:next w:val="1"/>
    <w:link w:val="38"/>
    <w:qFormat/>
    <w:uiPriority w:val="0"/>
    <w:pPr>
      <w:widowControl/>
      <w:snapToGrid w:val="0"/>
      <w:spacing w:before="60" w:after="160" w:line="259" w:lineRule="auto"/>
      <w:ind w:right="113"/>
    </w:pPr>
    <w:rPr>
      <w:kern w:val="0"/>
      <w:sz w:val="18"/>
      <w:szCs w:val="20"/>
    </w:rPr>
  </w:style>
  <w:style w:type="paragraph" w:styleId="16">
    <w:name w:val="Body Text Indent"/>
    <w:basedOn w:val="1"/>
    <w:next w:val="1"/>
    <w:link w:val="39"/>
    <w:qFormat/>
    <w:uiPriority w:val="0"/>
    <w:pPr>
      <w:spacing w:after="120"/>
      <w:ind w:left="420" w:leftChars="200"/>
    </w:pPr>
    <w:rPr>
      <w:kern w:val="0"/>
      <w:sz w:val="24"/>
      <w:szCs w:val="20"/>
    </w:rPr>
  </w:style>
  <w:style w:type="paragraph" w:styleId="17">
    <w:name w:val="Block Text"/>
    <w:basedOn w:val="1"/>
    <w:next w:val="1"/>
    <w:qFormat/>
    <w:locked/>
    <w:uiPriority w:val="0"/>
    <w:pPr>
      <w:snapToGrid w:val="0"/>
      <w:spacing w:line="408" w:lineRule="auto"/>
      <w:ind w:left="-113" w:right="-510" w:firstLine="510"/>
    </w:pPr>
    <w:rPr>
      <w:sz w:val="24"/>
      <w:szCs w:val="20"/>
    </w:rPr>
  </w:style>
  <w:style w:type="paragraph" w:styleId="18">
    <w:name w:val="Plain Text"/>
    <w:basedOn w:val="1"/>
    <w:next w:val="14"/>
    <w:qFormat/>
    <w:locked/>
    <w:uiPriority w:val="0"/>
    <w:rPr>
      <w:rFonts w:ascii="宋体" w:hAnsi="Courier New"/>
    </w:rPr>
  </w:style>
  <w:style w:type="paragraph" w:styleId="19">
    <w:name w:val="Date"/>
    <w:basedOn w:val="1"/>
    <w:next w:val="1"/>
    <w:link w:val="40"/>
    <w:qFormat/>
    <w:uiPriority w:val="0"/>
    <w:pPr>
      <w:ind w:left="100" w:leftChars="2500"/>
    </w:pPr>
    <w:rPr>
      <w:kern w:val="0"/>
      <w:sz w:val="24"/>
      <w:szCs w:val="20"/>
    </w:rPr>
  </w:style>
  <w:style w:type="paragraph" w:styleId="20">
    <w:name w:val="Balloon Text"/>
    <w:basedOn w:val="1"/>
    <w:link w:val="41"/>
    <w:semiHidden/>
    <w:qFormat/>
    <w:uiPriority w:val="0"/>
    <w:rPr>
      <w:kern w:val="0"/>
      <w:sz w:val="18"/>
      <w:szCs w:val="20"/>
    </w:rPr>
  </w:style>
  <w:style w:type="paragraph" w:styleId="21">
    <w:name w:val="footer"/>
    <w:basedOn w:val="1"/>
    <w:link w:val="42"/>
    <w:qFormat/>
    <w:uiPriority w:val="99"/>
    <w:pPr>
      <w:tabs>
        <w:tab w:val="center" w:pos="4153"/>
        <w:tab w:val="right" w:pos="8306"/>
      </w:tabs>
      <w:snapToGrid w:val="0"/>
      <w:jc w:val="left"/>
    </w:pPr>
    <w:rPr>
      <w:kern w:val="0"/>
      <w:sz w:val="18"/>
      <w:szCs w:val="20"/>
    </w:rPr>
  </w:style>
  <w:style w:type="paragraph" w:styleId="22">
    <w:name w:val="header"/>
    <w:basedOn w:val="1"/>
    <w:next w:val="1"/>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toc 1"/>
    <w:basedOn w:val="1"/>
    <w:next w:val="1"/>
    <w:qFormat/>
    <w:locked/>
    <w:uiPriority w:val="0"/>
  </w:style>
  <w:style w:type="paragraph" w:styleId="24">
    <w:name w:val="Body Text 2"/>
    <w:basedOn w:val="1"/>
    <w:next w:val="15"/>
    <w:qFormat/>
    <w:locked/>
    <w:uiPriority w:val="0"/>
    <w:pPr>
      <w:spacing w:after="120" w:line="480" w:lineRule="auto"/>
    </w:pPr>
  </w:style>
  <w:style w:type="paragraph" w:styleId="25">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13"/>
    <w:next w:val="13"/>
    <w:link w:val="45"/>
    <w:semiHidden/>
    <w:qFormat/>
    <w:uiPriority w:val="0"/>
    <w:rPr>
      <w:b/>
      <w:sz w:val="24"/>
      <w:szCs w:val="20"/>
    </w:rPr>
  </w:style>
  <w:style w:type="paragraph" w:styleId="27">
    <w:name w:val="Body Text First Indent 2"/>
    <w:basedOn w:val="1"/>
    <w:next w:val="1"/>
    <w:qFormat/>
    <w:locked/>
    <w:uiPriority w:val="0"/>
    <w:pPr>
      <w:spacing w:after="120" w:afterLines="0"/>
      <w:ind w:left="420" w:leftChars="200" w:firstLine="420"/>
    </w:pPr>
    <w:rPr>
      <w:rFonts w:ascii="Times New Roman" w:hAnsi="Times New Roman" w:eastAsia="宋体"/>
    </w:r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0"/>
    <w:rPr>
      <w:b/>
    </w:rPr>
  </w:style>
  <w:style w:type="character" w:styleId="32">
    <w:name w:val="page number"/>
    <w:basedOn w:val="30"/>
    <w:qFormat/>
    <w:locked/>
    <w:uiPriority w:val="0"/>
  </w:style>
  <w:style w:type="character" w:styleId="33">
    <w:name w:val="Hyperlink"/>
    <w:basedOn w:val="30"/>
    <w:qFormat/>
    <w:locked/>
    <w:uiPriority w:val="0"/>
    <w:rPr>
      <w:color w:val="0000FF"/>
      <w:u w:val="single"/>
    </w:rPr>
  </w:style>
  <w:style w:type="character" w:styleId="34">
    <w:name w:val="annotation reference"/>
    <w:semiHidden/>
    <w:qFormat/>
    <w:uiPriority w:val="0"/>
    <w:rPr>
      <w:sz w:val="21"/>
    </w:rPr>
  </w:style>
  <w:style w:type="paragraph" w:customStyle="1" w:styleId="35">
    <w:name w:val="5正文"/>
    <w:qFormat/>
    <w:uiPriority w:val="0"/>
    <w:pPr>
      <w:widowControl w:val="0"/>
      <w:spacing w:line="520" w:lineRule="exact"/>
      <w:ind w:firstLine="200" w:firstLineChars="200"/>
      <w:jc w:val="both"/>
    </w:pPr>
    <w:rPr>
      <w:rFonts w:ascii="Times New Roman" w:hAnsi="Times New Roman" w:eastAsia="宋体" w:cs="Times New Roman"/>
      <w:kern w:val="2"/>
      <w:sz w:val="24"/>
      <w:lang w:val="en-US" w:eastAsia="zh-CN" w:bidi="ar-SA"/>
    </w:rPr>
  </w:style>
  <w:style w:type="character" w:customStyle="1" w:styleId="36">
    <w:name w:val="标题 3 Char"/>
    <w:qFormat/>
    <w:uiPriority w:val="0"/>
    <w:rPr>
      <w:rFonts w:eastAsia="楷体"/>
      <w:bCs/>
      <w:kern w:val="2"/>
      <w:sz w:val="28"/>
      <w:szCs w:val="32"/>
      <w:lang w:val="en-US" w:eastAsia="zh-CN" w:bidi="ar-SA"/>
    </w:rPr>
  </w:style>
  <w:style w:type="character" w:customStyle="1" w:styleId="37">
    <w:name w:val="批注文字 Char"/>
    <w:link w:val="13"/>
    <w:qFormat/>
    <w:locked/>
    <w:uiPriority w:val="0"/>
    <w:rPr>
      <w:rFonts w:ascii="Times New Roman" w:hAnsi="Times New Roman" w:eastAsia="宋体"/>
      <w:sz w:val="24"/>
    </w:rPr>
  </w:style>
  <w:style w:type="character" w:customStyle="1" w:styleId="38">
    <w:name w:val="正文文本 Char"/>
    <w:link w:val="15"/>
    <w:qFormat/>
    <w:locked/>
    <w:uiPriority w:val="0"/>
    <w:rPr>
      <w:sz w:val="18"/>
    </w:rPr>
  </w:style>
  <w:style w:type="character" w:customStyle="1" w:styleId="39">
    <w:name w:val="正文文本缩进 Char"/>
    <w:link w:val="16"/>
    <w:semiHidden/>
    <w:qFormat/>
    <w:locked/>
    <w:uiPriority w:val="0"/>
    <w:rPr>
      <w:rFonts w:ascii="Times New Roman" w:hAnsi="Times New Roman" w:eastAsia="宋体"/>
      <w:sz w:val="24"/>
    </w:rPr>
  </w:style>
  <w:style w:type="character" w:customStyle="1" w:styleId="40">
    <w:name w:val="日期 Char"/>
    <w:link w:val="19"/>
    <w:qFormat/>
    <w:locked/>
    <w:uiPriority w:val="0"/>
    <w:rPr>
      <w:rFonts w:ascii="Times New Roman" w:hAnsi="Times New Roman" w:eastAsia="宋体"/>
      <w:sz w:val="24"/>
    </w:rPr>
  </w:style>
  <w:style w:type="character" w:customStyle="1" w:styleId="41">
    <w:name w:val="批注框文本 Char"/>
    <w:link w:val="20"/>
    <w:semiHidden/>
    <w:qFormat/>
    <w:locked/>
    <w:uiPriority w:val="0"/>
    <w:rPr>
      <w:rFonts w:ascii="Times New Roman" w:hAnsi="Times New Roman" w:eastAsia="宋体"/>
      <w:sz w:val="18"/>
    </w:rPr>
  </w:style>
  <w:style w:type="character" w:customStyle="1" w:styleId="42">
    <w:name w:val="页脚 Char"/>
    <w:link w:val="21"/>
    <w:qFormat/>
    <w:locked/>
    <w:uiPriority w:val="99"/>
    <w:rPr>
      <w:sz w:val="18"/>
    </w:rPr>
  </w:style>
  <w:style w:type="character" w:customStyle="1" w:styleId="43">
    <w:name w:val="页眉 Char"/>
    <w:link w:val="22"/>
    <w:qFormat/>
    <w:locked/>
    <w:uiPriority w:val="0"/>
    <w:rPr>
      <w:sz w:val="18"/>
    </w:rPr>
  </w:style>
  <w:style w:type="character" w:customStyle="1" w:styleId="44">
    <w:name w:val="普通(网站) Char"/>
    <w:link w:val="25"/>
    <w:qFormat/>
    <w:locked/>
    <w:uiPriority w:val="0"/>
    <w:rPr>
      <w:rFonts w:ascii="宋体" w:hAnsi="宋体" w:eastAsia="宋体"/>
      <w:sz w:val="24"/>
    </w:rPr>
  </w:style>
  <w:style w:type="character" w:customStyle="1" w:styleId="45">
    <w:name w:val="批注主题 Char"/>
    <w:link w:val="26"/>
    <w:semiHidden/>
    <w:qFormat/>
    <w:locked/>
    <w:uiPriority w:val="0"/>
    <w:rPr>
      <w:rFonts w:ascii="Times New Roman" w:hAnsi="Times New Roman" w:eastAsia="宋体"/>
      <w:b/>
      <w:kern w:val="2"/>
      <w:sz w:val="24"/>
    </w:rPr>
  </w:style>
  <w:style w:type="character" w:customStyle="1" w:styleId="46">
    <w:name w:val="页脚 字符"/>
    <w:basedOn w:val="30"/>
    <w:qFormat/>
    <w:uiPriority w:val="99"/>
  </w:style>
  <w:style w:type="character" w:customStyle="1" w:styleId="47">
    <w:name w:val="正文文本 字符1"/>
    <w:semiHidden/>
    <w:qFormat/>
    <w:uiPriority w:val="0"/>
    <w:rPr>
      <w:rFonts w:ascii="Times New Roman" w:hAnsi="Times New Roman" w:eastAsia="宋体"/>
      <w:sz w:val="24"/>
    </w:rPr>
  </w:style>
  <w:style w:type="character" w:customStyle="1" w:styleId="48">
    <w:name w:val="表格 Char"/>
    <w:link w:val="49"/>
    <w:qFormat/>
    <w:locked/>
    <w:uiPriority w:val="0"/>
    <w:rPr>
      <w:rFonts w:ascii="宋体"/>
      <w:sz w:val="21"/>
    </w:rPr>
  </w:style>
  <w:style w:type="paragraph" w:customStyle="1" w:styleId="49">
    <w:name w:val="表格"/>
    <w:basedOn w:val="50"/>
    <w:next w:val="1"/>
    <w:link w:val="48"/>
    <w:qFormat/>
    <w:uiPriority w:val="0"/>
    <w:pPr>
      <w:adjustRightInd w:val="0"/>
      <w:snapToGrid w:val="0"/>
      <w:spacing w:beforeLines="10" w:afterLines="10" w:line="259" w:lineRule="auto"/>
      <w:jc w:val="center"/>
    </w:pPr>
    <w:rPr>
      <w:rFonts w:ascii="宋体"/>
      <w:kern w:val="0"/>
      <w:szCs w:val="20"/>
    </w:rPr>
  </w:style>
  <w:style w:type="paragraph" w:customStyle="1" w:styleId="50">
    <w:name w:val="表格标题"/>
    <w:basedOn w:val="1"/>
    <w:qFormat/>
    <w:uiPriority w:val="1"/>
    <w:pPr>
      <w:spacing w:before="120" w:after="40" w:line="320" w:lineRule="exact"/>
      <w:ind w:firstLine="0" w:firstLineChars="0"/>
      <w:jc w:val="center"/>
    </w:pPr>
    <w:rPr>
      <w:rFonts w:eastAsia="宋体"/>
      <w:sz w:val="21"/>
    </w:rPr>
  </w:style>
  <w:style w:type="character" w:customStyle="1" w:styleId="51">
    <w:name w:val="日期 字符"/>
    <w:semiHidden/>
    <w:qFormat/>
    <w:uiPriority w:val="0"/>
    <w:rPr>
      <w:rFonts w:ascii="Times New Roman" w:hAnsi="Times New Roman" w:eastAsia="宋体"/>
      <w:sz w:val="24"/>
    </w:rPr>
  </w:style>
  <w:style w:type="character" w:customStyle="1" w:styleId="52">
    <w:name w:val="批注文字 字符1"/>
    <w:semiHidden/>
    <w:qFormat/>
    <w:uiPriority w:val="0"/>
    <w:rPr>
      <w:rFonts w:ascii="Times New Roman" w:hAnsi="Times New Roman" w:eastAsia="宋体"/>
      <w:sz w:val="24"/>
    </w:rPr>
  </w:style>
  <w:style w:type="paragraph" w:customStyle="1" w:styleId="5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5">
    <w:name w:val="报告正文"/>
    <w:basedOn w:val="1"/>
    <w:qFormat/>
    <w:uiPriority w:val="0"/>
    <w:pPr>
      <w:spacing w:line="480" w:lineRule="exact"/>
      <w:ind w:firstLine="200" w:firstLineChars="200"/>
    </w:pPr>
    <w:rPr>
      <w:color w:val="000000"/>
      <w:sz w:val="24"/>
      <w:lang w:val="en-US" w:eastAsia="zh-CN"/>
    </w:rPr>
  </w:style>
  <w:style w:type="paragraph" w:customStyle="1" w:styleId="56">
    <w:name w:val="表内格式"/>
    <w:basedOn w:val="1"/>
    <w:next w:val="14"/>
    <w:qFormat/>
    <w:uiPriority w:val="0"/>
    <w:pPr>
      <w:keepLines/>
      <w:jc w:val="center"/>
    </w:pPr>
    <w:rPr>
      <w:rFonts w:hAnsi="宋体" w:eastAsia="宋体"/>
      <w:kern w:val="2"/>
      <w:sz w:val="21"/>
      <w:szCs w:val="21"/>
      <w:lang w:val="en-US" w:eastAsia="zh-CN" w:bidi="ar-SA"/>
    </w:rPr>
  </w:style>
  <w:style w:type="paragraph" w:customStyle="1" w:styleId="57">
    <w:name w:val="Table Paragraph"/>
    <w:basedOn w:val="1"/>
    <w:qFormat/>
    <w:uiPriority w:val="1"/>
    <w:pPr>
      <w:widowControl/>
      <w:jc w:val="left"/>
    </w:pPr>
    <w:rPr>
      <w:rFonts w:cs="宋体"/>
      <w:kern w:val="0"/>
      <w:sz w:val="22"/>
      <w:szCs w:val="22"/>
    </w:rPr>
  </w:style>
  <w:style w:type="paragraph" w:customStyle="1" w:styleId="58">
    <w:name w:val="标题格式"/>
    <w:basedOn w:val="1"/>
    <w:qFormat/>
    <w:uiPriority w:val="0"/>
    <w:rPr>
      <w:rFonts w:eastAsia="黑体"/>
      <w:szCs w:val="21"/>
    </w:rPr>
  </w:style>
  <w:style w:type="paragraph" w:customStyle="1" w:styleId="59">
    <w:name w:val="表格文字"/>
    <w:basedOn w:val="1"/>
    <w:qFormat/>
    <w:uiPriority w:val="0"/>
    <w:pPr>
      <w:adjustRightInd w:val="0"/>
      <w:spacing w:line="240" w:lineRule="auto"/>
      <w:ind w:firstLine="0" w:firstLineChars="0"/>
      <w:jc w:val="center"/>
    </w:pPr>
    <w:rPr>
      <w:rFonts w:eastAsia="宋体"/>
      <w:sz w:val="21"/>
    </w:rPr>
  </w:style>
  <w:style w:type="paragraph" w:customStyle="1" w:styleId="60">
    <w:name w:val="正文1"/>
    <w:basedOn w:val="1"/>
    <w:qFormat/>
    <w:uiPriority w:val="0"/>
    <w:pPr>
      <w:spacing w:line="360" w:lineRule="auto"/>
      <w:ind w:firstLine="480" w:firstLineChars="200"/>
    </w:pPr>
    <w:rPr>
      <w:kern w:val="0"/>
      <w:position w:val="-14"/>
      <w:sz w:val="24"/>
      <w:lang w:val="zh-CN"/>
    </w:rPr>
  </w:style>
  <w:style w:type="paragraph" w:customStyle="1" w:styleId="61">
    <w:name w:val="book"/>
    <w:basedOn w:val="1"/>
    <w:semiHidden/>
    <w:qFormat/>
    <w:uiPriority w:val="0"/>
    <w:pPr>
      <w:spacing w:line="520" w:lineRule="exact"/>
      <w:jc w:val="center"/>
    </w:pPr>
    <w:rPr>
      <w:rFonts w:cs="宋体"/>
      <w:szCs w:val="20"/>
    </w:rPr>
  </w:style>
  <w:style w:type="paragraph" w:customStyle="1" w:styleId="62">
    <w:name w:val="表内 定"/>
    <w:basedOn w:val="1"/>
    <w:qFormat/>
    <w:uiPriority w:val="0"/>
    <w:rPr>
      <w:rFonts w:cs="Times New Roman"/>
      <w:color w:val="000000"/>
    </w:rPr>
  </w:style>
  <w:style w:type="paragraph" w:customStyle="1" w:styleId="63">
    <w:name w:val="表内"/>
    <w:basedOn w:val="1"/>
    <w:qFormat/>
    <w:uiPriority w:val="99"/>
    <w:pPr>
      <w:framePr w:hSpace="180" w:wrap="around" w:vAnchor="page" w:hAnchor="margin" w:y="1411"/>
      <w:widowControl/>
      <w:jc w:val="both"/>
    </w:pPr>
    <w:rPr>
      <w:rFonts w:ascii="宋体" w:hAnsi="宋体" w:cs="Times New Roman"/>
      <w:snapToGrid/>
      <w:szCs w:val="20"/>
    </w:rPr>
  </w:style>
  <w:style w:type="paragraph" w:customStyle="1" w:styleId="64">
    <w:name w:val="我的表格文字"/>
    <w:basedOn w:val="1"/>
    <w:qFormat/>
    <w:uiPriority w:val="0"/>
    <w:pPr>
      <w:jc w:val="center"/>
    </w:pPr>
    <w:rPr>
      <w:rFonts w:hAnsi="宋体" w:eastAsia="Times New Roman" w:cs="宋体"/>
      <w:color w:val="000000"/>
      <w:szCs w:val="21"/>
    </w:rPr>
  </w:style>
  <w:style w:type="table" w:customStyle="1" w:styleId="65">
    <w:name w:val="标准表格"/>
    <w:basedOn w:val="28"/>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宋体"/>
        <w:sz w:val="18"/>
      </w:rPr>
      <w:tblPr/>
      <w:trPr>
        <w:tblHeader/>
      </w:trPr>
    </w:tblStylePr>
    <w:tblStylePr w:type="firstCol">
      <w:pPr>
        <w:jc w:val="center"/>
      </w:pPr>
    </w:tblStylePr>
  </w:style>
  <w:style w:type="paragraph" w:customStyle="1" w:styleId="66">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67">
    <w:name w:val="表头样式1"/>
    <w:basedOn w:val="1"/>
    <w:qFormat/>
    <w:uiPriority w:val="0"/>
    <w:pPr>
      <w:adjustRightInd w:val="0"/>
      <w:snapToGrid w:val="0"/>
      <w:jc w:val="center"/>
    </w:pPr>
    <w:rPr>
      <w:rFonts w:eastAsia="楷体_GB2312"/>
      <w:bCs/>
      <w:sz w:val="18"/>
      <w:szCs w:val="18"/>
    </w:rPr>
  </w:style>
  <w:style w:type="paragraph" w:customStyle="1" w:styleId="68">
    <w:name w:val="正文缩进1"/>
    <w:basedOn w:val="1"/>
    <w:qFormat/>
    <w:uiPriority w:val="0"/>
    <w:rPr>
      <w:sz w:val="28"/>
    </w:rPr>
  </w:style>
  <w:style w:type="paragraph" w:customStyle="1" w:styleId="69">
    <w:name w:val="11111"/>
    <w:basedOn w:val="1"/>
    <w:next w:val="1"/>
    <w:qFormat/>
    <w:uiPriority w:val="0"/>
    <w:pPr>
      <w:spacing w:line="360" w:lineRule="auto"/>
      <w:ind w:firstLine="200" w:firstLineChars="200"/>
    </w:pPr>
    <w:rPr>
      <w:rFonts w:ascii="宋体" w:hAnsi="宋体" w:cs="宋体"/>
      <w:sz w:val="24"/>
    </w:rPr>
  </w:style>
  <w:style w:type="paragraph" w:customStyle="1" w:styleId="70">
    <w:name w:val="表头1111111122222"/>
    <w:basedOn w:val="11"/>
    <w:qFormat/>
    <w:uiPriority w:val="0"/>
    <w:pPr>
      <w:spacing w:before="156" w:beforeLines="50" w:after="156" w:afterLines="50" w:line="240" w:lineRule="auto"/>
      <w:ind w:firstLine="0" w:firstLineChars="0"/>
      <w:jc w:val="center"/>
    </w:pPr>
    <w:rPr>
      <w:rFonts w:eastAsia="黑体"/>
      <w:lang w:val="zh-CN"/>
    </w:rPr>
  </w:style>
  <w:style w:type="paragraph" w:customStyle="1" w:styleId="71">
    <w:name w:val="表内格式1"/>
    <w:basedOn w:val="1"/>
    <w:qFormat/>
    <w:uiPriority w:val="0"/>
    <w:pPr>
      <w:adjustRightInd w:val="0"/>
      <w:snapToGrid w:val="0"/>
      <w:spacing w:line="360" w:lineRule="exact"/>
      <w:ind w:firstLine="0" w:firstLineChars="0"/>
      <w:jc w:val="center"/>
    </w:pPr>
    <w:rPr>
      <w:sz w:val="21"/>
      <w:szCs w:val="21"/>
    </w:rPr>
  </w:style>
  <w:style w:type="paragraph" w:customStyle="1" w:styleId="72">
    <w:name w:val="p0"/>
    <w:basedOn w:val="1"/>
    <w:qFormat/>
    <w:uiPriority w:val="0"/>
    <w:pPr>
      <w:widowControl/>
      <w:autoSpaceDE/>
      <w:autoSpaceDN/>
      <w:adjustRightInd/>
      <w:snapToGrid/>
      <w:spacing w:before="0" w:line="240" w:lineRule="auto"/>
      <w:ind w:firstLine="0"/>
      <w:textAlignment w:val="auto"/>
    </w:pPr>
    <w:rPr>
      <w:sz w:val="21"/>
      <w:szCs w:val="21"/>
    </w:rPr>
  </w:style>
  <w:style w:type="paragraph" w:customStyle="1" w:styleId="73">
    <w:name w:val="表头 样式"/>
    <w:basedOn w:val="1"/>
    <w:qFormat/>
    <w:uiPriority w:val="0"/>
    <w:pPr>
      <w:adjustRightInd w:val="0"/>
      <w:snapToGrid w:val="0"/>
      <w:spacing w:line="520" w:lineRule="exact"/>
      <w:jc w:val="center"/>
    </w:pPr>
    <w:rPr>
      <w:rFonts w:eastAsia="黑体"/>
      <w:bCs/>
      <w:color w:val="000000"/>
      <w:sz w:val="24"/>
    </w:rPr>
  </w:style>
  <w:style w:type="paragraph" w:customStyle="1" w:styleId="74">
    <w:name w:val="No Spacing"/>
    <w:basedOn w:val="1"/>
    <w:qFormat/>
    <w:uiPriority w:val="0"/>
    <w:pPr>
      <w:keepNext w:val="0"/>
      <w:keepLines w:val="0"/>
      <w:widowControl w:val="0"/>
      <w:suppressLineNumbers w:val="0"/>
      <w:spacing w:before="0" w:beforeAutospacing="0" w:after="0" w:afterAutospacing="0"/>
      <w:ind w:left="0" w:right="0"/>
      <w:jc w:val="both"/>
    </w:pPr>
    <w:rPr>
      <w:rFonts w:hint="default" w:ascii="Calibri Light" w:hAnsi="Calibri Light" w:eastAsia="宋体" w:cs="Calibri Light"/>
      <w:kern w:val="2"/>
      <w:sz w:val="21"/>
      <w:szCs w:val="21"/>
      <w:lang w:val="en-US" w:eastAsia="zh-CN" w:bidi="ar"/>
    </w:rPr>
  </w:style>
  <w:style w:type="paragraph" w:customStyle="1" w:styleId="75">
    <w:name w:val="表格内文字"/>
    <w:basedOn w:val="1"/>
    <w:qFormat/>
    <w:uiPriority w:val="0"/>
    <w:pPr>
      <w:spacing w:line="360" w:lineRule="exact"/>
      <w:jc w:val="center"/>
    </w:pPr>
    <w:rPr>
      <w:szCs w:val="21"/>
    </w:rPr>
  </w:style>
  <w:style w:type="table" w:customStyle="1" w:styleId="76">
    <w:name w:val="Table Normal"/>
    <w:semiHidden/>
    <w:unhideWhenUsed/>
    <w:qFormat/>
    <w:uiPriority w:val="0"/>
    <w:tblPr>
      <w:tblCellMar>
        <w:top w:w="0" w:type="dxa"/>
        <w:left w:w="0" w:type="dxa"/>
        <w:bottom w:w="0" w:type="dxa"/>
        <w:right w:w="0" w:type="dxa"/>
      </w:tblCellMar>
    </w:tblPr>
  </w:style>
  <w:style w:type="character" w:customStyle="1" w:styleId="77">
    <w:name w:val="font12"/>
    <w:basedOn w:val="30"/>
    <w:qFormat/>
    <w:uiPriority w:val="0"/>
    <w:rPr>
      <w:rFonts w:hint="eastAsia" w:ascii="宋体" w:hAnsi="宋体" w:eastAsia="宋体" w:cs="宋体"/>
      <w:color w:val="000000"/>
      <w:sz w:val="22"/>
      <w:szCs w:val="22"/>
      <w:u w:val="none"/>
    </w:rPr>
  </w:style>
  <w:style w:type="character" w:customStyle="1" w:styleId="78">
    <w:name w:val="font41"/>
    <w:basedOn w:val="30"/>
    <w:qFormat/>
    <w:uiPriority w:val="0"/>
    <w:rPr>
      <w:rFonts w:hint="eastAsia" w:ascii="宋体" w:hAnsi="宋体" w:eastAsia="宋体" w:cs="宋体"/>
      <w:color w:val="000000"/>
      <w:sz w:val="24"/>
      <w:szCs w:val="24"/>
      <w:u w:val="none"/>
    </w:rPr>
  </w:style>
  <w:style w:type="character" w:customStyle="1" w:styleId="79">
    <w:name w:val="font51"/>
    <w:basedOn w:val="30"/>
    <w:qFormat/>
    <w:uiPriority w:val="0"/>
    <w:rPr>
      <w:rFonts w:hint="eastAsia" w:ascii="宋体" w:hAnsi="宋体" w:eastAsia="宋体" w:cs="宋体"/>
      <w:color w:val="000000"/>
      <w:sz w:val="21"/>
      <w:szCs w:val="21"/>
      <w:u w:val="none"/>
    </w:rPr>
  </w:style>
  <w:style w:type="paragraph" w:customStyle="1" w:styleId="80">
    <w:name w:val="WPSOffice手动目录 1"/>
    <w:qFormat/>
    <w:uiPriority w:val="0"/>
    <w:pPr>
      <w:ind w:leftChars="0"/>
    </w:pPr>
    <w:rPr>
      <w:rFonts w:ascii="Times New Roman" w:hAnsi="Times New Roman" w:eastAsia="宋体" w:cs="Times New Roman"/>
      <w:sz w:val="20"/>
      <w:szCs w:val="20"/>
    </w:rPr>
  </w:style>
  <w:style w:type="paragraph" w:customStyle="1" w:styleId="81">
    <w:name w:val="Table Text"/>
    <w:basedOn w:val="1"/>
    <w:semiHidden/>
    <w:qFormat/>
    <w:uiPriority w:val="0"/>
    <w:rPr>
      <w:rFonts w:ascii="宋体" w:hAnsi="宋体" w:eastAsia="宋体" w:cs="宋体"/>
      <w:sz w:val="24"/>
      <w:szCs w:val="24"/>
      <w:lang w:val="en-US" w:eastAsia="en-US" w:bidi="ar-SA"/>
    </w:rPr>
  </w:style>
  <w:style w:type="paragraph" w:styleId="82">
    <w:name w:val="List Paragraph"/>
    <w:basedOn w:val="1"/>
    <w:qFormat/>
    <w:uiPriority w:val="0"/>
    <w:pPr>
      <w:ind w:firstLine="420" w:firstLineChars="200"/>
    </w:pPr>
    <w:rPr>
      <w:rFonts w:ascii="Calibri" w:hAnsi="Calibri" w:eastAsia="宋体" w:cs="Times New Roman"/>
    </w:rPr>
  </w:style>
  <w:style w:type="character" w:customStyle="1" w:styleId="83">
    <w:name w:val="font11"/>
    <w:basedOn w:val="30"/>
    <w:qFormat/>
    <w:uiPriority w:val="0"/>
    <w:rPr>
      <w:rFonts w:hint="eastAsia" w:ascii="宋体" w:hAnsi="宋体" w:eastAsia="宋体" w:cs="宋体"/>
      <w:color w:val="000000"/>
      <w:sz w:val="21"/>
      <w:szCs w:val="21"/>
      <w:u w:val="none"/>
    </w:rPr>
  </w:style>
  <w:style w:type="character" w:customStyle="1" w:styleId="84">
    <w:name w:val="font21"/>
    <w:basedOn w:val="30"/>
    <w:qFormat/>
    <w:uiPriority w:val="0"/>
    <w:rPr>
      <w:rFonts w:hint="default" w:ascii="Times New Roman" w:hAnsi="Times New Roman" w:cs="Times New Roman"/>
      <w:color w:val="000000"/>
      <w:sz w:val="21"/>
      <w:szCs w:val="21"/>
      <w:u w:val="none"/>
    </w:rPr>
  </w:style>
  <w:style w:type="character" w:customStyle="1" w:styleId="85">
    <w:name w:val="font31"/>
    <w:basedOn w:val="30"/>
    <w:qFormat/>
    <w:uiPriority w:val="0"/>
    <w:rPr>
      <w:rFonts w:hint="default" w:ascii="Times New Roman" w:hAnsi="Times New Roman" w:cs="Times New Roman"/>
      <w:color w:val="000000"/>
      <w:sz w:val="21"/>
      <w:szCs w:val="21"/>
      <w:u w:val="none"/>
      <w:vertAlign w:val="subscript"/>
    </w:rPr>
  </w:style>
  <w:style w:type="paragraph" w:customStyle="1" w:styleId="86">
    <w:name w:val="表格内正文"/>
    <w:basedOn w:val="1"/>
    <w:qFormat/>
    <w:uiPriority w:val="0"/>
    <w:pPr>
      <w:spacing w:line="240" w:lineRule="auto"/>
      <w:ind w:firstLine="0" w:firstLineChars="0"/>
      <w:jc w:val="center"/>
    </w:pPr>
    <w:rPr>
      <w:rFonts w:ascii="Times New Roman" w:hAnsi="Times New Roman" w:eastAsia="宋体"/>
      <w:sz w:val="21"/>
    </w:rPr>
  </w:style>
  <w:style w:type="paragraph" w:customStyle="1" w:styleId="87">
    <w:name w:val="lh-正文-报告表"/>
    <w:basedOn w:val="1"/>
    <w:qFormat/>
    <w:uiPriority w:val="0"/>
    <w:pPr>
      <w:spacing w:line="360" w:lineRule="auto"/>
      <w:ind w:firstLine="480" w:firstLineChars="200"/>
    </w:pPr>
    <w:rPr>
      <w:kern w:val="0"/>
      <w:sz w:val="24"/>
      <w:szCs w:val="21"/>
    </w:rPr>
  </w:style>
  <w:style w:type="paragraph" w:customStyle="1" w:styleId="88">
    <w:name w:val="正文文字进缩"/>
    <w:basedOn w:val="1"/>
    <w:qFormat/>
    <w:uiPriority w:val="0"/>
    <w:pPr>
      <w:spacing w:line="360" w:lineRule="auto"/>
      <w:ind w:firstLine="200" w:firstLineChars="200"/>
    </w:pPr>
    <w:rPr>
      <w:rFonts w:ascii="仿宋_GB2312" w:eastAsia="仿宋_GB2312"/>
      <w:sz w:val="30"/>
      <w:szCs w:val="20"/>
    </w:rPr>
  </w:style>
  <w:style w:type="paragraph" w:customStyle="1" w:styleId="89">
    <w:name w:val="WPS Plain"/>
    <w:qFormat/>
    <w:uiPriority w:val="0"/>
    <w:rPr>
      <w:rFonts w:ascii="Times New Roman" w:hAnsi="Times New Roman" w:eastAsia="宋体" w:cs="Times New Roman"/>
      <w:lang w:val="en-US" w:eastAsia="zh-CN" w:bidi="ar-SA"/>
    </w:rPr>
  </w:style>
  <w:style w:type="paragraph" w:customStyle="1" w:styleId="90">
    <w:name w:val="正文文本2"/>
    <w:basedOn w:val="1"/>
    <w:link w:val="92"/>
    <w:qFormat/>
    <w:uiPriority w:val="0"/>
    <w:pPr>
      <w:shd w:val="clear" w:color="auto" w:fill="FFFFFF"/>
      <w:spacing w:line="279" w:lineRule="exact"/>
      <w:ind w:firstLine="300"/>
      <w:jc w:val="distribute"/>
    </w:pPr>
    <w:rPr>
      <w:rFonts w:ascii="Arial Unicode MS" w:hAnsi="Arial Unicode MS" w:eastAsia="Arial Unicode MS" w:cs="Arial Unicode MS"/>
      <w:sz w:val="14"/>
      <w:szCs w:val="14"/>
    </w:rPr>
  </w:style>
  <w:style w:type="character" w:customStyle="1" w:styleId="91">
    <w:name w:val="正文文本1"/>
    <w:basedOn w:val="92"/>
    <w:qFormat/>
    <w:uiPriority w:val="0"/>
    <w:rPr>
      <w:color w:val="000000"/>
      <w:spacing w:val="0"/>
      <w:w w:val="100"/>
      <w:position w:val="0"/>
      <w:lang w:val="zh-TW"/>
    </w:rPr>
  </w:style>
  <w:style w:type="character" w:customStyle="1" w:styleId="92">
    <w:name w:val="正文文本_"/>
    <w:basedOn w:val="30"/>
    <w:link w:val="90"/>
    <w:qFormat/>
    <w:uiPriority w:val="0"/>
    <w:rPr>
      <w:rFonts w:ascii="Arial Unicode MS" w:hAnsi="Arial Unicode MS" w:eastAsia="Arial Unicode MS" w:cs="Arial Unicode MS"/>
      <w:sz w:val="14"/>
      <w:szCs w:val="14"/>
    </w:rPr>
  </w:style>
  <w:style w:type="paragraph" w:customStyle="1" w:styleId="93">
    <w:name w:val="Char Char Char Char"/>
    <w:basedOn w:val="1"/>
    <w:unhideWhenUsed/>
    <w:qFormat/>
    <w:uiPriority w:val="99"/>
    <w:rPr>
      <w:rFonts w:hint="eastAsia" w:ascii="Times New Roman" w:hAnsi="Times New Roman" w:eastAsia="宋体" w:cs="Times New Roman"/>
      <w:sz w:val="21"/>
    </w:rPr>
  </w:style>
  <w:style w:type="character" w:customStyle="1" w:styleId="94">
    <w:name w:val="正文（首行缩进两字） Char"/>
    <w:qFormat/>
    <w:uiPriority w:val="0"/>
    <w:rPr>
      <w:rFonts w:eastAsia="宋体"/>
      <w:kern w:val="2"/>
      <w:sz w:val="24"/>
      <w:lang w:val="en-US" w:eastAsia="zh-CN"/>
    </w:rPr>
  </w:style>
  <w:style w:type="character" w:customStyle="1" w:styleId="95">
    <w:name w:val="title"/>
    <w:qFormat/>
    <w:uiPriority w:val="0"/>
  </w:style>
  <w:style w:type="paragraph" w:customStyle="1" w:styleId="96">
    <w:name w:val="小标题"/>
    <w:basedOn w:val="97"/>
    <w:qFormat/>
    <w:uiPriority w:val="0"/>
    <w:pPr>
      <w:autoSpaceDE w:val="0"/>
      <w:autoSpaceDN w:val="0"/>
      <w:adjustRightInd w:val="0"/>
      <w:spacing w:line="520" w:lineRule="exact"/>
      <w:ind w:firstLine="480" w:firstLineChars="200"/>
    </w:pPr>
    <w:rPr>
      <w:rFonts w:ascii="黑体" w:eastAsia="黑体"/>
      <w:sz w:val="24"/>
      <w:lang w:val="zh-CN"/>
    </w:rPr>
  </w:style>
  <w:style w:type="paragraph" w:customStyle="1" w:styleId="97">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98">
    <w:name w:val="中文报告书样式"/>
    <w:basedOn w:val="1"/>
    <w:qFormat/>
    <w:uiPriority w:val="0"/>
    <w:pPr>
      <w:adjustRightInd w:val="0"/>
      <w:spacing w:line="480" w:lineRule="atLeast"/>
      <w:ind w:firstLine="482"/>
      <w:textAlignment w:val="baseline"/>
    </w:pPr>
    <w:rPr>
      <w:rFonts w:eastAsia="宋体"/>
      <w:kern w:val="24"/>
      <w:sz w:val="24"/>
      <w:lang w:val="en-US" w:eastAsia="zh-CN" w:bidi="ar-SA"/>
    </w:rPr>
  </w:style>
  <w:style w:type="paragraph" w:customStyle="1" w:styleId="99">
    <w:name w:val="正文11"/>
    <w:basedOn w:val="1"/>
    <w:qFormat/>
    <w:uiPriority w:val="0"/>
    <w:pPr>
      <w:adjustRightInd w:val="0"/>
      <w:spacing w:before="120" w:beforeLines="0" w:after="120" w:afterLines="0" w:line="360" w:lineRule="auto"/>
      <w:ind w:firstLine="539"/>
    </w:pPr>
    <w:rPr>
      <w:rFonts w:hint="eastAsia" w:ascii="宋体" w:hAnsi="宋体"/>
      <w:kern w:val="0"/>
      <w:sz w:val="28"/>
    </w:rPr>
  </w:style>
  <w:style w:type="paragraph" w:customStyle="1" w:styleId="100">
    <w:name w:val="表格内容自定"/>
    <w:basedOn w:val="1"/>
    <w:qFormat/>
    <w:uiPriority w:val="0"/>
    <w:pPr>
      <w:spacing w:line="280" w:lineRule="exact"/>
      <w:jc w:val="center"/>
    </w:pPr>
    <w:rPr>
      <w:kern w:val="0"/>
      <w:sz w:val="18"/>
      <w:szCs w:val="21"/>
    </w:rPr>
  </w:style>
  <w:style w:type="paragraph" w:customStyle="1" w:styleId="101">
    <w:name w:val="样式 首行缩进:  2 字符"/>
    <w:basedOn w:val="1"/>
    <w:qFormat/>
    <w:uiPriority w:val="0"/>
    <w:rPr>
      <w:rFonts w:cs="宋体"/>
      <w:szCs w:val="20"/>
    </w:rPr>
  </w:style>
  <w:style w:type="paragraph" w:customStyle="1" w:styleId="102">
    <w:name w:val="新格式表"/>
    <w:basedOn w:val="1"/>
    <w:qFormat/>
    <w:uiPriority w:val="0"/>
    <w:pPr>
      <w:adjustRightInd w:val="0"/>
      <w:spacing w:line="0" w:lineRule="atLeast"/>
      <w:jc w:val="center"/>
    </w:pPr>
    <w:rPr>
      <w:color w:val="000000"/>
      <w:szCs w:val="21"/>
    </w:rPr>
  </w:style>
  <w:style w:type="paragraph" w:customStyle="1" w:styleId="103">
    <w:name w:val="表格内容"/>
    <w:qFormat/>
    <w:uiPriority w:val="0"/>
    <w:pPr>
      <w:widowControl w:val="0"/>
      <w:jc w:val="center"/>
    </w:pPr>
    <w:rPr>
      <w:rFonts w:ascii="Times New Roman" w:hAnsi="Times New Roman" w:eastAsia="宋体" w:cs="Times New Roman"/>
      <w:color w:val="000000"/>
      <w:sz w:val="21"/>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wMzU1NzY1MzQ0IiwKCSJHcm91cElkIiA6ICIzNTY1MTI1NTQiLAoJIkltYWdlIiA6ICJpVkJPUncwS0dnb0FBQUFOU1VoRVVnQUFBNVFBQUFEZ0NBWUFBQUI4YlNrQ0FBQUFBWE5TUjBJQXJzNGM2UUFBSUFCSlJFRlVlSnpzM1hkMFZFVWJ4L0Z2SVBUZXF5QlNSQ0NDU2xFUWtDSk5SQVJVcElpb0ZKRWlUUlNsS1NpQ2dJQVVRUWhLYnlKVlNnUXBvWWgwa1k2RTl0SjdDS243L2pIWmtFMjJaWk9RRUg2ZmMzS1czSmw3NzJ6SXpkN256c3d6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1NrdVFIUmdKYlhOVExEVXdFQW9CN3dINmdyWlA2eFlEWndHVWdHRGdJOUFKU3g3TzlJaUlpSWlJaWtzVHlBOThBdHdFTHNOZEozUnpBQVdBak1CTTRFcm1QQmZ0QlpRSGdFaEFFSEFJQ285VmZpb0pLRVJFUkVSR1JoMW8ySUEzd09xNER5dStBT3RHKzl3WitqdHp2a0ozNnZ3S2pnU3lSMzZmQkJLL1dvUEtEK0RSY1JFUkVSRVJFa29maXVBNG9LOW5aVmlCeXZ3c3h0bWNDcGpzNHpwTElmVmJHc1kwaUlpSWlIa3VWMUEwUUVVbkJRdHlvczlQT3RpdVk0SEJ4ak8xWmdFRU9qak0vOGpXdGUwMFRFUkVSaVQvdnBHNkFpRWdLWnZGd3Z4ckFVYUIvak8weGV5eWp1eGo1ZXNERGM0cUlpSWlJaUVneVVoalhRMTVqS283SjJsbzJqdWY2S1BKY3o4UnhQeEVSRVJFUkVVbUc0aEpRVmdUR0FYY2k5N21KU2VyanJpM0FncmcyVUVSRVJFUkVSSktudUFTVVdZQXlRRy9nWE9SK29ialhVMWtQTStRMXYyZk5GQkVSRVJFUmtlVEdreUd2WU5hbTNCKzU3d1FYZGJNQ2g0RmFjVzZkaUlpSWlJaUlKRnVlQnBRQWpTUDNYZXVramhkbXVaQTJIaHhmUkVSRUpONjBiSWlJU1BMa2h3a29ienVwTXhiNEE1ajFRRm9rSWlJaUVvTUNTaEdSNUNrVHBnZlNVUS9sVjhEL2dCL3NsS1ZPckVhSmlJaUlSS2VBVWtRazhYaTVVU2U5ZyszdlllWkcvbXluYkJnUUFYeGpwNndhTU5DdDFvbUlpSWlJaUVpeVZRNHpiUFdrZy9LbmdHRGdCTkFKazZXMUlQQXBKaW5QNHpIcWV3SGpJL2ZaRXVOckczQTA4bndWRXZKTmlJaUlpSWlJeUlPVEF4TVU3c1FFZUJaZ052QnVqSHFaZ0xuQVZjd1NJVmVBUDRGdTJPKzUvRDdhOFJ4OTdVL1l0eUlpSWlJaUlpSWlJaUlpSWlJaUlpSWlJaUlpSWlJaUlpSWlJaUlpSWlJaUlpSWlJaUlpSWlJaUlpSWlJaUlpaWNPZFJiZEZSRVJFUkpLYlBXamRYWG4waEFHOU1PdFNKd3ZlU2QwQUVSRVJFUkVQVkNoZnZqd1ZLaWltbEVmSHp6Ly83QTA4a2RUdGlFNEJwWWlJaUlnOGxKbzJiY3Jnd1lPVHVoa2lEOHpQUC8rYzFFMklKVlZTTjBCRVJFUkVSRVFlVGdvb1JVU1NqNXpBaTBuZENCRVJFUkYzS2FBVUVVa2U2Z09MZ1dKSjNSQVJFUkVSZHltZ0ZCRkpPcG1BYXNBYVlEWGdBNnhQMGhhSmlJaUl4SUdTOG9pSVBIZzVnWmVCbGtCdElHdms5aVBBdmFScWxJaUlpRWhjS2FBVUVYbXdYc1dzSC9VTWtDMUcyUzBnL0lHM1NFUkVSTVJEQ2loRlJCSmZKc3ppMndPQmVnN3FYQVBPQXlFUHFsRWlJaUlpOGFXQVVrUWs4ZVFFR2dJdHNCM2FHdFB0eU5mNXdOMEgwQzRSRVJHUkJLR0FVa1FrY1ZpSHRqNkw0MERTNmh2TWNpSGJFcnRSSWlJaUlnbEpBYVdJU01KSkRid0FEQVZxdWxIZmdzbnVPZ2tUVklxSWlJZzhWTFJzaUloSXdza0V0TUwwTmxyY3FIOFQrQ1h5VlVSRVJPU2hvNEJTUkNUaDNBSytBQmE1V2Y4QVpnMUtkNEpQRVJFUmtXUkhRMTVGUkZ6enhqeUFzMlpnVFlXWkY1a3U4dDlwQUMrZ09KQUg2SWRaL3FNRmtOYkJNU09BOGNEMVJHdTFpSWlJU0NKVFFDa2ljbDkrNEFrZ0wyYU55RHlZWWF6Wk1ZSGZKT0F5VUJqNERxaUlDUmp6Ukw3ZXdpei9NUnpvRWZsOUI4emN5cGcyQTBzVDc2MklpSWlJSkQ0RmxDTHlLQ3NIQkhCLzJZNk9rVjhaTUFGaU9renY0M25BSHhOa1hnYUNNVU5WMXdKQndFbk1jaCtobUY3TUs4QU40RE1nQi9CV2pQUGVCQWFnTlNkRlJFVGtJYWVBVWtRZUpaa3d2WXROTVVGZWFhQWxzQ3l5L0YvQUZ6Z0NIQWZPUm43RmRCR1k1c2I1YmtRZVAvcndWd3V3R05qbDZac1FFUkVSU1M2VWxFZEVIZ1daZ09hWWpLcTdnWGVBZzhCQVlIKzBlb3N3UFllemdPM1lEeVk5MFJOWWdna3NMd0x6TVQyYUlpS1NRaXhldkJoL2YvOEVQZWI1OCtlNWNlTkdnaDR6dXVQSGozUGt5SkZFTzc0cndjSEJoSVdGZWJ4L1FFQUE0OGVQNS9idDI2NHJ1OGxpc2VEcjYwdDRlSGlDSFRPbFUwQXBJaW1kTnpBU21BcVVCVDRBWGdHNkFLT0FVdytnRFplQVR6QkI2ZzVnNHdNNHA0aUl4Tk9CQXdmbzFhc1hseTlmZGxsM3g0NGR0R2pSZ3YvKyt5L0J6cjl2M3o2S0ZpM0swS0ZERSt5WTBSMDllcFNubm5xS0w3NzRJdDdIdW5IakJuUG56aVVpSXNMdGZRSUNBaWhidGl3TEZpenc2SnhCUVVGMDc5NmRXclZxRVJRVTVORXhZdHEyYlJ2dnZmY2VyNzMyR2hhTGtyQzdRd0dsaUtSMFljRHZtSVE2THdCek1VSGtiUjdzY2gybmdRWkFmOHdjVEJFUlNlWjhmSHlJaUlpZ1JJa1NMRnUyekdsZGIyOXZubnZ1T1lvVksyYXpmZXpZc2V6ZHU5ZWo4MmZNbUpGYnQyN3h6RFBQZUxTL0srblNwY05pc2ZENjY2L0grMWdoSVNHMGF0V0tybDI3eGlyNzVwdHZtRFp0R3NIQnRoOS9hZEtrNGVqUm93UUdCbnAwem5UcDBnSFF2MzkvTW1USTRORXhZcG8wYVJJRkNoUmcrdlRwZUhsNXhTcGZzV0lGblRwMUlqUTBORUhPbHhKb0RxV0lwRlRsZ2NPWTRHMTU1RmRTdTRPWnB5a2lJZytKcjcvK21ybHo1L0w1NTUvVHBFa1RUcDQ4eWNpUkk3RllMS1JObTVaVXFVei96TFp0MjdoOCtUSWZmL3h4MUw0M2J0eGcvdno1NU0rZm4wMmJOdkhZWTQvRjZkeXBVNXNrNFVXTEZyVmJIaGdZU0taTW1UeDhaL2VQYnczTTRpTk5talFBZlBEQkI3SEtUcDQ4eVl3Wk0yamN1REg1OHVXTGRmN3ExYXQ3ZEU1cnUwTkNFaWJIM2ZIang1azNieDd2dlBNT1gzLzl0ZDA2OCtmUDU5S2xTMVNvVUlFUFAvd3dRYzc3c0ZOQUtTSXBVUzdNTU5mYm1MbVRJaUlpSHNtWU1TTzlldlhpMkxGakFEenh4QlAwNk5HRHh4NTd6Q2FZKytLTEw5aTdkeS9mZi85OTFMYVFrQkJtekppUktPMjZldlVxZGVyVW9WNjllb3dZTWNLalkxaURZV2ZDdzhPakFqOVg5UUM3ZGIyOXZmSHg4YkVKSnQwOXZ6UFcvYytmUDIrMy9PelpzNnhldmRwdWtHdFBuejU5cUZhdEdqNCtQallQQnF6OC9mMFpOMjRjWThlT1ZUQVpqUUpLRVVtSkdnRFZNRXVBaUlpSXhFdXZYcjFza3NlVUxsM2E1VDcvL1BNUFRabzA0YmZmZnVQcHA1KzJXMmYwNk5Hc1diT0dva1dMa2pGanhsamwxa0RwMjIrL0pWZXVYRFpsZCsvZXBYVHAwcHcrZlpwTm16WlJvMGFOV1BzSEJBU3daTWtTdW5idGlyZDM3TnQrZTBNNm83dHc0UUkxYXRSZzNMaHhOR2pRd0dsZDZ4QlFld0dsbzRBMHZnR2wxZDkvL3gxclczQndNRysvL1RiKy92NWt6SmlSVnExYU9UM0c0c1dMMmJ0M0wvdjM3MmY0OE9Fc1dMQ0FOOTk4TTZvOE5EU1VqaDA3VXJkdVhidkRlaDlsQ2loRkpLVkpCN3lHU1lBek80bmJJaUlpRDZFYk4yNndidDA2V3JSb2daZVhGMm5TcENGTm1qUk1uanlaenAwN0V4Z1lTSnMyYlVpZE9qWDU4dVVqVFpvMGRvZThObW5TaEhYcjFqa01LSHYxNmtXdlhyMGN0bVBMbGkwc1hMaVFmdjM2VWE1Y3VUaS9ENHZGUXMrZVBkbTZkU3NGQ3hhTVZlNHNZQVhUQzNyczJERTJiZHJrTXFDOGQrOGVZSC80cktQQTBWVkFhOC90MjdkWnYzNDlyNzMyV3RTMjNidDNjKy9lUGRLblR3K1kzdEsyYmR0eTdOZ3hac3lZUWJObXpad2U4L3o1OC9UczJaTmx5NWFSTld0V2hnd1pRcDA2ZGNpU0pRc05HemJFWXJIUW9VTUhybDY5eXRxMWF6MXFkMHFtZ0ZKRVVwcTBtT1E3ZzVPNklTSWk4bkRLbmowN3UzZnZac1NJRWZqNitsS3VYRG1DZzRPamdxWk1tVEt4Wk1rU20zM3NEWG0xdW43OU9qbHk1SGdnYlk4dWJkcTBBSFR2M3AwWFgzd3hWcm1yZ1BXZmYvNWgxcXhadlBmZWV3N1BjZmp3WVVxWExoMjFkRWVHREJrNGZmbzBSWW9VaWFwakRTakR3c0k0ZCs1YzFKeFFaNEhaNGNPSG1UZHZudDAycjErL25qRmp4dkRXVzI4QjhNSUxML0RycjcvU3FsVXJRa05EYWQyNk5hbFNwZUxmZi84bFo4NmNEczhCWmxoeXg0NGRtVEZqQmhVcVZBRE1mTkFGQ3hidzBrc3ZFUm9heW9ZTkcxaXpaZzBiTm15Z1VLRkNUby8zS0ZLV1Z4RkphZklCQllDalNkMFFFUkY1ZUEwZE9wVFVxVlB6NG9zdmN1M2FOZGF2WDg5enp6MFg1K09jT25XSzU1NTd6dU41am82NHM2U0ZPM01mNDJ2czJMRUFVUUZscGt5WjJMNTl1ODFTSjliQTBkdmJtNDRkTzNMcTFDbWI3ZmFVTGwyYW1qVnI4czQ3NzlDOWUzYysvdmhqUHY3NFkxS25UazJoUW9Wc2hxUFdyVnVYeVpNbmMvUG1UVnExYWtYVHBrMlpOMitleTJBeUlpS0NUejc1aEMrKytJTGF0V3ZibE9YUG41L0ZpeGZ6eGh0dk1HM2FORFpzMk1CVFR6MFZoNS9NbzBNOWxDS1MwandKWE1ZazVCRVJFZkZJNnRTcEdUbHlKRFZxMU9ER2pSdjQrZm54eVNlZjhQcnJyeE1XRmtiaHdvVmpEZThzVWFLRTNXUXVUWm8wNGNLRkMxeTZkSW04ZWZQR3UyM2g0ZUcwYWRPR2loVXIwcnQzYjRmMUVtcU9vaU4zN3R4aHpabzFnT21GOWZMeUlsdTJiTHo2NnF2a3padVhZc1dLMGJwMWE1dkFzWDc5K3RTclY4L3V2TWVZYXRXcVpmUDkzYnQzMmJ4NU14OTg4QUVGQ2hUZ3dvVUxnQWxpQ3hRb1FLZE9uUmc5ZXJUYjJYVFBuVHZIWjU5OUZpdFpFSmdlMG5idDJsR3JWaTFPbmp4Smx5NWRHRFZxVktJdDRmSXdVMEFwSWlJaUltSkg5ZXJWV2I5K1BVODg4UVFYTGx3Z1g3NThMRm15aE51M2IrUHQ3ZTF5N2NNelo4NlFLVk1tcHoxbFI0OGVwV1BIamhRcFVvVHMyYlBiQklHTzVqamV2WHVYNjlldjQrZm5SOVdxVlhuaGhSZnNIanV4NS9wTm1USWxLaG5QbFN0WG90cWZJVU1HWG56eFJZWU9IVXJyMXExdDltbmN1REc5ZS9kbTJiSmwxS3RYTDA3blc3dDJMVUZCUWJ6eHhodXh5dHExYXhlbllCS3dXemM0T0pqUm8wY3pkZXBVaGd3WlF0dTJiUWtNREtSMzc5NVVyRmlST25YcTBLcFZLNW8xYTBiV3JGbmoxUDZVU2dHbHlNTm5EMUFocVJ2eEVOaVQxQTFJcG9LQmo0QnBTZDJRUjl4K3dDZXBHeUVlQ3dPR0FFTmRWWlNIWDYxYXRmajc3NzhwVnF4WTFMYlRwMC9UcUZFalhuLzlkYWY3cmwrL25zdVhMN052M3o2SFBaT2xTcFhpenovL3RGc1czNlE4RVJFUmNkN0hYUUVCQVF3ZVBEaHFHT2pWcTFjcFVLQkFWSG1sU3BXNGZQbHlyUDFLbFNwRmtTSkZLRnUyYkp6UCtldXZ2MUtxVkNtNzYxWTJhTkNBSGoxNnNIejVjbDU5OWRVNEh6czhQSndGQ3hZd2V2Um9Ybi85ZGZidDIwZURCZzA0ZCs0Y2ZmcjBpVXJJOU9XWFgvTGVlKy9ScVZNbktsU29RT1hLbFhuNjZhZkptemN2cFVxVmVpU0h4U3FnbEpUb0dhQVRVQmd6ajI0SnNEbWU5WjhDaGdPRk1OZk5LdUJMNEY1Q050eE5GYXBVcWVJeTI1cUlQVU9HREVtSCtWMVBEcllCejhmWWRoRW9pZ2w4cllwaGJ0enJBVm1CNDVpQWVDd1FidWU0R1lEUEl1dGZCOUlEUVpISDJKcHd6WThYbi9yMTYvUDg4ekhmdmp3TWhnd1o0ZzBVVCtwMlJIcVVyNk1INXRkZmY3VlpsaU5kdW5TY1BuMmFQbjM2VUxpdzR6K3BmZnIwNGRpeFl3a3l6TlVUMXJVaHg0MGJ4NkpGaTJLVnU1UGxGZTR2Q1JMZHYvLytTKzNhdFJrd1lBQUEvLzMzbjAyUFg2dFdyYUtTNXNUc0tkMjFheGU1YytmbTBxVkxicitYQ3hjdXNHREJBcjc5OWx1NzVhbFNwYUpYcjE1MDdkcVZXclZxa1RselpyZU9lL3YyYlh4OWZWbTNiaDExNjlabHc0WU5VZnYrKysrL2xDOWZQbXJKbFFvVkt2RHJyNzl5Nk5BaGZ2enhSK2JPbmN0ZmYvMEZRS2RPblNoUm9vVGI3MGRFa3FkTXdDL0FCYUJwQXRaL0FmTmhhbDNCTmgyd0h0Z1ErZThIemRLalJ3K0xpQ2NBQ3pBb0NYNXZZNnFIdVlrTmkvSDFhWXg2QllCTG1CdlpRMEFnNWoxWWdLVkF6SXdUYVlBdGdCK1FMZHIybGtBbzhFcEN2b2w0c0l3Wk15YXBmeDNFUTVqZlA5K2svaVZDMTVGbDBLQkJEK1QvdkdUSmtwWWJOMjVFZlgveTVFa0xZRGx6NW96VC9YcjM3bTFwM3J5NXgrZmR2SG16QmJBY09IREFhYjNqeDQvYjNSNFFFR0FCTEpzM2I3WmJ2bW5USnFmSFAzRGdnQVd3N055NTAyVmJhOWFzYWVuYXRhdmRzbDY5ZXRuOU9WeTZkTWtDV0k0ZE8rYnkrUDM3OTdma3laUEhFaGdZR0xYdGYvLzdud1d3TEZteXhHS3hXQ3doSVNHV0o1NTR3dkx1dSs4NlBWWkVSSVJsK2ZMbGxrOCsrY1RTdDI5Znk5YXRXMlBWdVhEaGdnV3dyRm16SmxiWmI3LzlaaGsxYXBRbEpDVEVzbW5USnN2MDZkTmR0aitoWUs3Yk1VbDEwZG1qSGtwSktmSmpQdmd5WTU3VW5rcWcrcG1BaFpqaGFaTWl0d1VEUFlHOW1CdnovdkZwdU1namFnQlFGZGpob3Q0RVlCYm1XcnVOdWRIOUVuUEQzQVJvRC93VXJmNDdRRFhNc1BDYjBiYlBBejRHdmdkV3hyLzVJc21DcnFNSHdNL1Bqd3daTXBBdDIvM1kycG85ZGZEZ3dVNTd3alp2M213elZEWXhiTnUyamZyMTYvUHV1Kzh5YnR3NG03S0lpQWo2OSsvdmNTS1o3Tm16TTM3OGVNcVVLZU95N3NHREIybmJ0cTNkc3ZqTzVieHo1dzZUSjAvbXE2KytJbVBHakE3cnBVbVRocEVqUjlLOGVYT3FWcTFLaHc0ZEhMYW5SSWtTTkc3Y0dJQ05HemRTdlhwMVNwWXNTWllzV2ZEeTh1TG8wYU9rVHAyYVZhdFdzV3JWS3B2OXQyelp3cEVqUjZoZXZYclUxNk5NQWFXa0JGbUIzekhEanlyaU9waU1TLzNlbUdHdVg4Zll2Zzg0R1ZrK0JwTlZWRVRjVXdlNGkrdWI0RXpBRFNENnF0K2htR0Y0cFRFakMxN0g5a2E0VXVScmlKM2puUVhLZTlCZWtlUkkxMUVpT25EZ0FEdDI3Q0EwTkpSaHc0YlJxRkVqbTNKcmdEUjQ4R0NYUTE2dFMyUkVGeDRlVHVmT25ibHk1UW9GQ2hTSVdpOHlKbGREVXNFTVIyM1ZxaFVoSVNGczM3N2RaaWo5NDQ4L3pyQmh3eHkyeitKaTZaSENoUXZUdFd0WHAzVUE5dTNieDVVclY2aGF0YXJkOHZqTzVmejg4ODk1L1BISDZkU3BrOHU2elpvMW8wV0xGblRwMG9XOGVmUHkybXV2MmExWHVuVHBxSC9YckZtVHpadHRaenQxN2RxVm1qVnIybDFYdEgzNzl1VE9uWnRLbFNyRktuc1VLYUNVbE9CN3pGUFVRY0RCQks3L1Z1VHJManRsTzRBbk1FT0F4cnZWVWhFQkdJaVpsN3dZV0lZWkJYRFhUcjBzT0I2ZU94OXpJeHp6THV4YzVHc1BvSE9Nc3FlQjFSNjBWeVE1MG5XVWlIeDhmTGg1OHlhOWV2WGkzTGx6c1hyb29nZVVudlJRcGs2ZG1xbFRwN3BzeCtiTm0rT1ZsTWRkcmdKTFYrYk1tVVB4NHNVZEpxUUpEdytQbXM4Wm5UczlsMy85OVJlK3ZyNzg5ZGRmYnErcitlT1BQN0pyMXk1YXRHakJwRW1UK09DREQ5emF6K3IyN2R2TW5UdVgwYU5IMnkwL2UvWXNqei8rZUp5T21aSXBvSlNIWFVYZ1hlQU9NTTVGM2JqV2Z3eXdmb0tjdGxOK012SzFHZ29vUmR4VkU3Qm10bWdXK2ZVTjBBMXpZeHpkQlNmSHVSajVlaURHOXA4eFBTK2RnRE9BOWRGOFo4eWM1eDRldFZva2VkRjE5QUM4K09LTExGMjZsSUlGQzFLa1NCR2JNbXNBNW1rUHBidmlHK2k1WXUwNWpNOTV3c1BEbVR0M0xuMzY5SEZheDE1aUgxZm5EUW9Lb2xPblRzeVlNY09tUjlHVm5EbHpzblRwVW1yV3JFbUhEaDFZdTNZdDMzMzNYYXovUjBkR2pCaEJuang1YU5PbWpkM3lRNGNPVWJ0MmJiZmJrOUlsN21xbklvbXZNK0NGeWJyYUNET1U5VC9NL01iUE1QTkVQSzF2ZmFRWXdmMFAzZWlzODBwS3h2ZE5pRHhDamdFdkFhMkFLWmo1WEFXQVJaaTVXZTZ5UHV5WkdXUDdhYUExWmtqZlVNeThzWGN4U1VRcVkvL2hrTWpEUnRmUkEzTDkrbldBV01OTkV6dlFzN0wyNnRucjNVc0kxdmNSbitOUG1EQ0J6Smt6OCtHSEh6cXNFeHdjekwxN3NSUGpXODlyYjBpc3hXS2hYYnQyZE8zYWxXYk5tc1c1WFQ0K1BxeGR1NVljT1hLd2NPRkNubjMyV1JZc1dPQnlQejgvUDc3Ly9udm16SmxqdDBmMDJyVnJuRHQzN3BGY0hzUVJCWlR5TVBQaWZuYlcwcGdVNTkyQjl6R0I0ZGZBcjl6L1BZOXIvVHlScjBHWW9ES213TWpYN1BGL0t5S1BqUFBBUm1BdXB2ZWpCUGQ3VkVZQno3bDVuTGN4US96c3JUZTZCSFBqZXdOelUvd0RadGtmZXcrR1JCNUd1bzRla0xWcjF3SW1PVTEwN2daZ1lXRmg4VHEvTmRCS3JJQXl2Z0hyNWN1WCtmcnJyL241NTU5Smt5Ym1NL3o3aWhVclpqZmd0UDU4N1AyY3Z2cnFLOTUrKzIzZWYvOTltKzFIamh6aDdObXozTGx6aDkyN2R3Tm1HUmQ3S2xhc3lJNGRPL2pvbzQ4NGMrWU1iNzc1cHRQM00zdjJiTjU3N3oxV3JGakJzODgrQzhETm16ZHRlbGRYckZnQlFKVXFWWndlNjFHaUlhL3lNTXNIV0I4WnZnMzhHL252WTVnUHdhTkFZMHkydWhrZTFFOGZXUjU5SGEvb3ZGMlVpNGhybHpCemxSZGlFb1AwQk95UE1icXZIbVprUUFzbmRRcGhodTBWQnBwamx2bnBFTGxOSktYUmRaUkk5dXd4c1hiTWVaTE9rc3g4KysyM0hEbHloSFRwMHJGNDhXTHExYXZuOGZtdGdVeElpTDM4U1BGbkRlUThPWDU0ZURnZmZQQUJJMGFNY0ptY3BuOS8rd254cmVlMTEzdlp2bjE3bTNVdHJTNWV2TWpNbVRQNStlZWZDUTBOSlZXcVZFNTdDMHVXTE1rUFAvemd0SDBYTGx5Z1c3ZHU1TW1UaDEyN2RwRW5UNTZvc2t1WExqRm8wQ0QrKys4L0huLzhjZGFzV2NQenp6OVBnUUlGbkI3elVhS0FVaDVtK2FQOSszeU1zbE9ZdGJWYVlPYVd6UENnL28zSU1rZHJUV2FLZkwwU3AxYUxTRXpoUUZlZ1B2ZXpTenFTRlRQL3VTV081NFo5amhuUy9tTGs5OE9CVHpEckJ0N0RKQ0lSU1dsMEhTV0NSbzBhc1hMbFNySmt5V0t6M1ZrQTFxOWZQLzc1NXgvZWVPTU5MbCsrN0RETHFEdUNnNE1wVmFvVXVYUG45dmdZem9TRWhGQ3paazJLRmkwYTUzMzc5T2xEeTVZdGVmdnR0K04xL3FKRmk1STFhOVpZWmZhQ1NZQWFOV3BRbzBZTjNubm5IZXJXcmN2WFgzL3RjWUtjbzBlUDh0TlBQeEVVRk1TWFgzNXBOekF0V2JJa2MrYk1ZY0dDQmJScTFZcGl4WW94ZmZwMGo4NG5Jc2xQS2U0dnpKemVUdm1Ia1dXN1BheGZJbHI5REhicWo0d3MrOFd6NW52TTBxTkhqd2UyZ0s2a0xKRy9zNDR5UGlhMTlaZ1JBNDU0WVliaE9ldDVxWVY1ancxamJQOHFjdnRGelBxelNjMHlac3lZcFA1MUVBOWhmcGQ4ay9xWHlJRkg2am9hTkdoUWt2d09uRDU5MnZMYmI3ODVyYk56NTA3THNtWEw0bldlbXpkdldzTER3K04xREdlQ2dvSTgydS9TcFV1V1E0Y094ZnY4SVNFaDhYcC8xNjVkaTlmNTE2eFpZN2x6NTQ3YjlmLysrMjlMYUdob3ZNNFpYNWhyY0V4U1gzelJxWWRTSG1hbk1mTWJNd0I1aVowazRHems2MVVQNjUvQXBFNHZoRmtlSk9ZU0k5YkhZV3M5YTc2SXhIQWUyMFhVWXhvTC9JRkpFT0tJZFpMTzFoamJCMkNTaWRRRFhnRFdlZGhHa2VSTzE5RUQ4Tmhqanpuc1FiT3FXTEZpdk05anIrY3VJYVZQYisvNXVtdDU4dVN4R1JicUtXZnpMdDJSSTBlT2VPMGYxK0hJenozbjd2VGtSNHVTOHNqRDdCNG1TeXVZRDdhWXNrVysvdUZoZlFzd0ovTGZsZTNVcnhEam1DTGlPUzlNSXBGcERzcS9BdjZIU1F3U1UvUTBmTmFoN2ZZV043UDJLQ1h1SFpwSTB0RjFKQ0lQbkFKS2VkZ053Y3dic2JkaTdRdVkrWTFUNGxGL0ZIQ2QyRWtMS21DR3hJN2pmbyttaUxoV0JmQ3hzNzA3OEErd3drN1pNRXltNVcvc2xGWERMUEJ1dFQ3YTlwaXlZUjRDYlhhM3NTTEpsSzRqRVVrMk5PUlZIbmI3TVVOenBrUytUb3JjWGgwelArUjE0Rm84Nmw4RTJtTXk1elhFOUVabWk5eHZJOGwzTHBwSWNwUWU4TWYwZXZ5Q1dmTEFnc202bkFtVFlUazZMOHhEbTQ3QVRxQk90TExVbUt6TkpZRm5vbTMvRG1nUytib2ZzeWc3d0dOQVA4eUM3SmNTNmcySkpBRmRSeUtTckNpZ2xKUmdLdWFEN1F0TXhyb3JtTVdZcTJHZTFNYTMvbExNZkpFaFFGL01oL2xpekFkMDR1VHhGa21aN2dFZllUSkZ0Z0lhWUc2TWZ3SlcyNmsvQnBPMUV1ejNsQUFjQVBaRysvNE9VQlBvRC95R21TdDlENU90dVFQM2g3U0xQS3gwSFlsSXNxS0FVbEtLcFpGZmlWWC9UOHlIcTRqRXo0K1JYKzc0T1BJcnJtNERuMFYraWFSRXVvNUVKTm5RSEVvUkVSRVJFUkh4eUtNVVVCWkl4R05YeGt5UWR5U2RnKzIxTU10UmVLb3UwQXpiekd3aWllTE9uVHR1MS8zMzMzOFRzU1VKcDB1WExtemN1REdwbXlHU1lody9mcHdmZi95UnNMQXdtKzBSRVJHWTVkT2NDd29LY3JwZ2ZIU0JnWUZ1SFZNa01TMWV2SmpEaHc4bmRUTVN4QjkvL09IMjlaY1V0bXpad3ZuejU1M1crZXV2djVMMWUwaXBIcVdBc2lsbWZvRzlCZW9kOFFaNjR6cm9ld2VURWEya2cvSXhtT0F2cHU2WU9RdFY0OUNtNkVwZzV2S045M0IvRWJmTm5EbVRtalZyOHZISEh6djlhdG15SmVYTGw4ZlB6eStwbXh6bDl1M2JSRVJFeE5xK2N1Vkt1bmZ2enZYcjF6MDY3dXJWcTFtNk5DNGpwNDFMbHk0eGZQaHc2dGF0eTcxNzl6dzZ0NGc3ZHU3Y3lmTGx5Mk50WDcxNmRid2VwcHc3ZDQ2UFAvNllnSUFBbSswaElTRjA3dHlacVZPbjJtd2ZOMjRjYmRxMGNYbWpkL2Z1WGVyV3Jjdml4WXRkdG1IOSt2V1VMVnVXMWF2dFRSc1VlVEMrK2VZYmZIeDgrT1dYWHp6YWY4V0tGVnk0Y01GbTI5U3BVNk1leks1WnM0YkF3RUNIKzIvY3VKRkpreVk1TEhma3Q5OSs0NDgvYktmQ2Z2MzExNHdmLzJCdktYLy8vWGZXckZualZ0MmVQWHRTcGt3Wjl1N2RhN2M4SWlLQ3Q5NTZpMHFWS25IMXFoTHdQMGlQMGh6S3Faak1aQ09BYnBIYnZBSHJZOVFudWIvdy9XT1laQzBmQXNVd2s5K3JZZFp1aWlrVjhCcG1qc0V4b0Nod0FRaU9WbWNLSnJQYTY5eFA1WjBWTTVGK0lMRVhEbmFYOVJ4ZmVMaS9pTnN5Wk1oQVFFQ0F5NXZRRlN0V3NHYk5HbXJYcnAybzdkbTNieC9EaHcvSDE5Zlg1Y0xNRXlkT1pQNzgrWXdaTTRhYU5lOVBoVTJiTmkzVnExZjNlR0hrMnJWclU2MWFOWDc4OFVkbXo1N3Q4RGkzYjkvbTc3Ly9ac3VXTGZqNStlSHY3MDk0ZURnQW4zLytPYU5HamZMby9DS3V6Sm8xaTNIanhqRm16QmcrL3ZqK05McURCdy9TcDA4ZkZpeFl3QnR2dkJIbjR4WXFWSWhYWG5tRnA1OSttckZqeC9MdXUrOEM5eGNwZi8zMTE2UHFuang1a3M4Ly81d3FWYXF3Yjk4K0tsV3E1UEM0dVhMbFl1alFvYnowMGt0OC92bm5mUFhWVnc3cnBrMmJsaU5IampnOW5raGkrdSsvLzlpOWV6ZE5temJsblhkaUp0ZTF0WGZ2WGlwVXFCQnIrOHFWSytuUm93ZXZ2dm9xQUtHaG9VeWNPSkZHalJxeGN1VktGaTVjU08vZXZhbGIxMTYvaEFuSUFnSUNxRnExS3VYTGwzZTc3Yk5YaDVxWEFBQWdBRWxFUVZSbnoyYlJva1ZNblRxVkR6NHdLNmxWclZxVkFnWGlQcUR2bjMvK29YdjM3aFFwVW9Tc1diT1NLcFg3L1ZXclY2OG1JQ0NBM2J0Mzg5UlRUem10OS9mZmY5TzNiMStibitPdnYvNUt5WklsOGZIeFljbVNKWnc2ZFFwZlgxOXk1Y29WVlNjb0tJZ0pFeWJRcTFldk9MVk4zUGNvQlpSaG1FeGxOeUsvTHdTc0JUNEZsbU42RUx0Ry9qczFjQWhvaTBtVmZRVzQ2K0M0RFNLUDlTVHdQU1liNkMzZ1pjeUVkakM5a1B1QWtkd1BLTnRnZ3N6NDNFbGFBOHEwOFRpR2lGdXNONHJ1U0owNnRjcy8ycnQyN1dMaHdvVWV0K2VubjM3aTZ0V3JYTDE2bFdYTGxqa05LdjM4L05pN2R5K1hMMSsyMlI3ZkQ1YTBhZFBpNit0TCtmTGxHVHg0TUdQSGp1WFNwVXRzM2JxVmd3Y1BjdlRvVWM2ZE84Zk5temZadTNjdmRlclVvVjY5ZW56MDBVZVVMRm1TWXNXS2tUMTc5bmkxUWNTUnNMQXc1cytmVC8zNjlXMkNTWUIwNmRLUksxY3VqNEpKcTVkZmZwbVBQdnFJRHo3NGdEZmVlSU5NbVRLUk9yWHRESXpBd0VCYXRXcEYzNzU5R1Rod29GdlhYSTBhTldqZXZEa1RKa3h3R2xDbVNaTUdMeTh2bXh0SGtRZHA2dFNwZUhsNThlV1hYenF0MTdOblQzNzQ0UWZtelp0SDgrYk5iY3JTcEVtRGo0OFAzMy8vUFdDR2RVNmJOZzFmWDEvQWZKNldMbDA2cWp5bUsxZXU0T1BqRTZkZzh1Yk5tNnhhdFlyMzMzOC9LcGdFYU55NE1aOS8vam10V3JWeSsxZ0E1Y3FWWS8zNjlhNHIydEc1YzJkT25UcmxOSmdNRGc2bVc3ZHVaTTJhbGNEQXdLaS9aeUVoSWN5Y09aTmN1WEx4eHg5L01HellNQW9YTHN5dVhidHNlakgzN3QzTDl1M2JPWFBtREdQSGp2V29uZUpjU2c0b244VUVlS2N3QzlOYkoxcGtCMllCK1lGMXdJdVk5UVRETU1OaFA0bmplYnBFN3ZNZFpqbUp0ekM5anJkajFGdUtXY2ZRcWsza1Z3Um1mcWU5M2s5WHJHUDRDbUo2UldOcWlGbFRjWWNIeHhheGtkQlA5WjU5OWxudTNidEg4ZUxGeVpZdEcxNWVYckhxRkM1Y21LNWR1L0xwcDUvR0toczhlSERVdjlPbWRmeE01ZTdkdS9qNys5TytmWHRhdEdoaFV4Yno1dGNUNWNxVm8wV0xGdHk5YTU0NVdTd1d5cFVyUiszYXRjbWFOV3RVdmR5NWM5TzFhMWNhTjI0YzczT0t1R1Bac21WY3ZIaVJmdjM2eFNyejlrNllqLzlQUC8yVWMrZk9rVEZqUmdDYjZ6ZzhQSnh1M2JyeDFWZGY4ZkxMTDBkdG56NTlPcmx6NTZaSmt5WU9qOXUvZjM5eTU4NE53STRkTzZoU3BRckRody9uaVNlZTRJMDMzc0RMeTBzOURaS29Ra0pDK09DREQ3aHo1dzc1OCtlUDlUa1RIaDdPOU9uVEtWR2lCRC85OUpQRDQ0U0dobkxpeEFucTFLbkRqQmt6cUZDaEFzV0xGNDhxai9rNXRINzlldDU4ODAzeTVzMXJ0endoV0FQaG9VT0gybXl2WExreUowK2VaT2ZPbmNtcTU3OWJ0MjRVS0ZDQVhidDJjZmJzV1Q3ODhFTW1UcHhJMmJKbG1UaHhJZ0NUSjA4bWUvYnNiTisrblZPblR0RzVjMmVtVFp0R3NXTEZFcTFkRnk1YzRNTVBQMlRTcEVua3o1OC8wYzd6TUVqSkFlVnVvQVptS09yL2dCblJ5dDdGREVNZENWZ0hib2Q2Y0k2bmdUS0E5WEZUYzB4Z3VTankreXlZUllZQlZnRy9Zd0xaS3BIZjN3VWFBUXVBZHBqNWtKNm9pSG0vMFQwTy9JejVQMzRSZURpeXBFaXlaUjJpNlk3UVVOZVhrNWVYRjlXcU9Wb1M3VDV2YjIrWFExcWRXYlpzR2VIaDRYYWZJTnNMWXEzKy92dHZSbzRjeWF4WnMxejJ6bzRlUFpyTW1UTURrQzlmUHZMbHkrZHhlMFVTeW9RSkU2aGN1VEsxYXRXS1ZlWW9HQXNLQ2lJaUlvSk1tVExGS3J0OCtUSmR1blFoVFpvMDVNcVZLK3BHTjBlT0hQVHMyWk1USjA1RXpmWDY1Sk5QdUhidEdwa3paMmJseXBXc1hMa1NNSDlIL3ZqakQ5S21UVXVKRWlVb1U2YU0zWFk4ODh3elRKbzBDWXZGZ3IrL1AxV3FWT0hNbVRQOC9QUFB2UHp5eStUSWtjUGhlL0R6ODNNNFBGREVYV25UcG5VNkwzTFNwRWtFQndlemFORWlmSHg4UEQ1UHpOL2o5ZXZYTTJMRUNJZmw4WFgzN2wyKysrNDdldmJzR1NzSTh2THk0c01QUDZSMzc5NXMyclFwUWM5cjVlZm5SNDRjT1hqdXVlZmNxajk1OG1UT25Udkg2dFdyeVpneEkyWEtsT0dwcDU2aVVhTkdVWE80RHg0OHlQejU4MW02ZENscDA2YWxWS2xTUFBiWVl6UnYzcHpkdTJQZUhzZDI0TUFCUm84ZVRhcFVxY2ljT2JQVGU0UG90bXpad3ZIangybldyQmtyVjY3MGVQcE1TcENTQTBxckNjQUpJQWNtT1E1QWZjQ1grOEVrM0o5TEdSZGZSaDdUT3ZUMEJhQkg1TG1leDh5cEhBSDhCOXpFOUNnMkFqSmpna2pyT0lQaG1BQXdEYTREMi9LWTN0YjkwYlpWeFFUSVZua3dpeHVmQlhwaWh1OUs4dkk0WnZqMURWY1ZrNHVRa0JDdVhic1dhK2hjVFAvOTk1L1RCQUlQMnJ4NTg4aWJOeThqUjQ2TVZYYng0a1cyYk5saTl6MzkvUFBQM0xoeEEyOXZiMmJObW1YekFYUG16QmtlZSt5eHFPOExGU29FT0o0akl5bldZNWdwRVVGSjNaQ1k5dTdkeS9yMTYxbXhZb1hkY2tjM3FmMzc5MmZIamgyc1dyVXExbkRzUEhueTRPdnJHL1h3SkxwSmt5WXhZY0lFeG93Wnc0WU5HeGcrZkRpZmYvNDUvZnIxbzNUcDBpN2JlL3o0Y2ViUG4wL1BuajJqZWpzQi9QMzlvNGJ5cFVtVGhySmx5MGJkdE1XODZmdnZ2LytZTm0wYXc0WU5ZOUtrU1hUdTNObmxlU1ZaU0xiWGtTUFhybDFqMEtCQmRPL2VQVjdCSk5oZWkwRkJRVmdzRmlwWHJteFR2bS9mUG9lZnZidDI3WEk2WERTbVVhTkdrU0ZEQmo3NXhQNkF2TTZkT3pOcTFDaW1USmxDeDQ0ZG5SN3IyclZyakJvMXl1MEh6dUhoNFV5Y09KRTBhZEx3KysrLzg4SUxMeml0Lyt1dnYzTCsvSG1XTFZ0bTAxUGJ2SGx6OXUzYkI1aWYyYVJKazFpMmJCbFpzbVNKcXZQT08rOHdkKzVjVHA4K1RaRWlSWnlleDhmSGg0RURCMUtrU0pGRTZSRitGRHdLQWVVdFRFL2R1NWpnTHhNbU8ycjF5SEl2VElBV093WGtmZFk2MGIwSTFNYjBVaFlIY2dQbE1ITWl5Mk9TK0R5SFdkWWp1dHlZWHNxaE9OY0FFNVRHMUFZVE1MNFNiVnNvNWcveUdjencyZFdZWWIzZkFPNTNLOG1EMUFKNEd6UHMyaGM0a3JUTmNTMURoZ3owN2R1WEFRTUdPSzMzenovLzBLNWR1d2ZVS3VjdVg3N00yclZyMmJwMXE5MUF6OC9QanhkZmZOSHUzQlJIODFVQWpoMDd4dnZ2djgrRUNSTW9XZkorY3VkMTY5YkZPYUFNQ1FuaHh4OS9wR3ZYcm00L0ZaVms0eFBNMy90VndHek0zK0JrNFp0dnZxRjQ4ZUkwYXRUSTdYMVdybHpKMkxGanFWMjdOc2VPSGJNNzVNMWVNT25yNjB1dlhyMllOMitlemUvL3lKRWphZEtrQ1YyN2R1WHR0OTkyK3Z0ZG9rUUowcVpOUzRVS0ZWaTBhQkZQUC8wMFlKSjhXZWRSeGd5Q3c4TENzRmdzREJzMmpMQ3dNQW9YTGh6VjZ4RTlLWkFrZThuMk9uS2tiOSsrNU1xVmkySERoam1zYytIQ0JRWVBIc3lJRVNOc3BqL0VGUDI2OFBmM3AwT0hEckhLeTVjdjcvQXpxVTJiTm00djYzWGl4QWxHakJqQm1qVnJiSUt2NkxKa3ljTHc0Y1BwMnJVclZhdFdwVnk1Y2c2UGx6Tm5UcG8zYjA3dTNMbHRSaTA0WTcyZTNhbmJxRkVqbWpWcnhwMDdkeGc2ZEtoTlZ2UktsU3BGQmRtcFU2ZTJlMjl5OSs1ZG5uamlDU1pQbm13elY5U2V4QndhK3loSXFRRmxLbXdUMWZ5QzZhVkxqN21SL3l4eWV5VmdPbWJaRDBlTFdUMlBXVzZrRmZkN0JWTmhNc1YrQTlRRVBzWWs5TWtlN2Q5M2dRUHhlQTliZ0h2QWNjRDZsOEliMCtPNENkZ0ZGSTdjL2p0bUNaSVptQ0czNzBXV1MvS1ZHVFBQOTFsTTl1SGptTUJ5Sm1iKzdXMlN5Y09BOFBCd1JvMGF4WWNmZnVqd0F5aTZjdVhLVWJac1dWcTJiRW5UcGsxcDJiTGxBMmlsZlpNblQ2WkZpeFlKM210WXUzWnRkdTdjeVRQUFBNUEtsU3VwV2JNbU8zZnVKSGZ1M1BUdDI5ZnVrTi9Bd0VDbVRwMGFhem1WUFh2MnNHblRKZzRkT2hRMUYwUWVHcmt4RHllckExOEJmMkVlNWkzRFhNTzNrcUpSKy9mdlorSENoVmdzRnQ1NTV4MW16cHpwY3Avang0L1RwazBiYXRldXpjcVZLMG1YenRIeXlmZUZoWVhScDA4ZjVzMmJ4K3JWcTZsWnN5WkhqeDRGeklPU2dnVUxzbWpSSWhvMWFzVFlzV1BwM2JzMzlldlhKMXUyYkhhUDE2ZFBINVl0VzBhOWV2VUlDQWdnVmFwVTNMNTlPMnJJdWNWaTRkU3BVNHdZTVlLSWlBak9uVHVIbDVjWG4zLytlZFF4ck1QYmN1Yk02Ykw5a213a3krdklrV1hMbGpGOStuUmF0MjdOWjU5OTVyRGVpUk1uV0xGaUJkbXpaMmY0OE9GdUhmdlVxVk0yODQzQitkUU1LM2Q2Q0VORFEyblRwZzE5K3ZTaGFsWGIxZXJ1M3Ixck16TGczWGZmWmUzYXRUUnExSWd0VzdZNDdlRjc5dGxuWFo3YlU5YnBMcGt6WitiZGQ5OGxSNDRjNU0yYk45YlA1Tk5QUCtYdzRjUDg5dHR2TnR2LytlY2Y1czZkUy8zNjlST3RqV0trMUlBeU0yYVprQnZBWmU0UFovMHpzbXdScG9jUnpMekZsekRETFhKZ0V2bUFXWHV5S2pBZkU5eTlEUnpGQkhsMU1FdDFPSnVrNGU1cXl6VWl6elVqeHZZN2tlMk5yaFptdVJGZmJJZUcvQWw4SFhuT1pqeEV3MFlrU2dsZ0dEQUFrMFJwYStUckR1d25YSHBnVXFkT3phZWZmb3FmbjUvRCtVNzJyRnk1a25Qbnp0R3NXVE9uU1hNU1MwaElDTE5temZJNDg1d3JmZnIwWWNhTUdYenp6VGZVckZtVGhRc1hNbkRnUU02Y09VUE9uRG5KblR1M3pSUFlXYk5tMGFGREJ5WGxTYm04TVo4WlZURWpVSFppSHY3dEJQN0dKSWQ3SUFZT0hFamp4bzFadm54NTFISWV6bHk5ZXBWWFhubUYwcVZMczNUcFVyZUN5VTJiTnRHalJ3OThmSHpZdW5WcjFMRHZvS0FnY3ViTWlaZVhGN2R1M1NKLy92eHMyN2FOSVVPRzBMNTllMEpDUXFoU3BRcVBQLzQ0ZWZQbXBVR0RCdFNyVnc4d044NERCZ3lJdWtaV3IxNU5wVXFWK1BUVFQ4bVVLUk43OXV5aFFJRUM5TzNiRnk4dkw3WnMyUkpyL2IzUTBGQzh2THppbEpWYWtwVmtjeDNaYy9Ma1NkcTNidy9BZDk5OTV6UVJ5K3JWcTFteFlvVk5Bamw3b2dkSDdkcTFvMU9uVHZ6d3d3ODJBWjRyWVdHdVoyMzE3ZHVYNHNXTHgrckpDdzRPeHNmSGh3a1RKdENnUVlPbzdWT21US0ZTcFVwVXFWS0Z4WXNYeHdwQ1kxcTZkQ2w1OCtaMU9JeDF6Smd4NU1tVGh6WnQycmp4am1KeloraThJNC95M01ZSEphVUdsTGN3MlZaanlvNFpibXJ2Nm02TkNTcXRnOVRmd1BRZWZXU243cnJJMTVmdGxNWFVFT2lGR2NKeEd4TkFadVIrNEZvRjA1djZEK2FQcFRPdlJSNGo1aXJPRVpnbmViZFFNUG13UzQvcDlYNFJNKy8yUE9hRGRDR3dBZk5BNDRGTGx5NGRyVnExaW5Wek9tZk9IQ3BXckVpcFVxVmk3Yk5vMFNMZWV1dXRKQWttd1N3cjBxVkxsNmdiM1lTV09uVnFldmZ1elprelp3Z0xDK1A4K2ZOa3pwdzVUbk5aSk1YS2labXJYeGU0Q3B6RFBDU2FEMnpIc3lSd2J0bTVjeWNIRGh6QXo4K1A1Y3VYdXd3T0F3TURhZEtrQ1preVpXTFZxbFYyay9GRXQzWHJWcjcvL250eTVNakJuRGx6ZU9xcHB6aDQ4Q0FsU3BSZzVNaVJORzNhbEFzWExwQW1UUnI4L1B6bzJiTW40OGVQWi9qdzRmVHUzWnZ4NDhjemQrNWMvUDM5OGZYMWpaVTg1K1dYWDhiUHo0OTA2ZEl4Yjk0OHhvOGZUNnRXclVpYk5pMDNiOTdrMUtsVFRudHNRa0pDRkV5bUhFbDJIZGx6K2ZKbG1qUnBRb01HRFpnelowNmluQ05ObWpSUnZZaldFU3RlWGw0dTUxQzZXanZ5aHg5KzROU3BVeXhhdENqVzBQRTVjK1p3OHVSSnZ2cnFLeXBYcmh6VnU1ODVjMmFXTEZsQ3JWcTFxRjY5T2gwNmRLQmZ2MzRPaDRhZVBYdVd0OTU2eStIYzVWV3JWbkhqeGcwYU5HZ1FsY0U1THM2ZE8wZS9mdjJZT0hHaTB5SEU5cmlUS0ZEaUo2VUdsTzVLaC9tREZJRkppT05zSHFVOVhrQnBUSEJZSGlnYTdkL1dkU3QvQi80QVFpSy8veDRUMURyUGJCSmJLcUFwTUEvN2EySk9CUFpnaHZDZWorT3g0Nm9CTUJjVG9FdmlTSTM1TU0ySm1admJIamdOakV1U3hqaVk2ekJqeGd6YXRtM0x1blhycUYyNzlnTnVsV00zYjk1azQ4YU56SnMzejZQOXc4UEQrZmZmZjEwbVc3RE95Vml4WWtXeVNySHVCbXR5TDBsY3FZRzhrVi9QWUI1UUhnQW1PZHZKVStIaDRmVG8wWU41OCthNU5UdzlORFNVUm8wYWtTcFZLalpzMk9Cd0tDcVlhMnJLbENrVUxGZ1FYMTlmbThBemZmcjBuRDE3bGdvVkt0aGtaTTZRSVFQLy9QTVBKVXFVQUV4U255Ky8vSktCQXdkeTdOZ3h1dzlmdkx5OHFGR2pCamR2M3VUS2xTdHhIcm9hSEJ6OElCOWlGVWZYMFlQd1FLOGplNjVkdTBiRGhnMzU1Sk5QS0ZteVpJSUdsREVma05TdVhacytmZnB3NE1BQmZIeDhiT1pRTGw2OEdHOXZiMTU3N2JXbytxTkhqNlpvMGFMY3ZIblQ3alU4ZS9aczl1L2Z6L3o1ODJNdEZ4UVdGc2EzMzM1TDJiSmxXYjkrZmF3SFVLVkxsMmJMbGkzVXJWdVg2ZE9uRXhRVXhKQWhRM2o4OGNkam5TZHQyclNrVDUvZTZYcVo5KzdkOHlpWUJOaTJiUnV6Wjg4bWE5YXNzYTV4ZjM5L3Uwa0RyMTY5Q3BpUkUrcWxURnlQY2tEcGpSbjYraitnSXlaWlQwaTBjbmV5WTNnQmg3ay9iN0pCdEg5SFQ1b1RFbnZYT0hzTkU3QTZtbVIxQ2xnTC9FRHNSRUFKN1RnbU02M25hem5JUzVGZnJvUmpuc3IralhraXV5MHhHK1dJbzREeXhvMGJQUGZjYzhrcW1BVDQvZmZmK2VHSEh6eEtjaE1hR2tycjFxMVp0MjRkMjdkdjU4a25uM1M1ei9UcDAvbjIyMitqdnZmMzkzZTVKSXJGWW1IQ2hBbDA2TkRCclNHR0Nld0M5a2RxU055MHdEendjU1VVQ01ETURkdUc2OUVvSGhrM2JoenQyN2VuVXFWS1hMbHl4WG1EUWtPNWRlc1dHVE5tWlBIaXhTNkgxMlhMbG8yK2ZmdmFMYlAyZU1UTUNtdmRYcmh3NGFodEowNmM0SlZYWG9sYXROMlJlZlBtZWJUMHg3MTc5eDdrOVhRTlhVY0pJVmxkUnpGZHVIQ0J0OTU2aThHREI5TzRjV08yYlRNZnd3TUhEblI2M1ZpWHRIREZZb245VEtKYXRXcjg5Tk5QakIwNzFtWjd4WW9WR1RSb2tFMUEyYTFiTjE1OTlWVisvUEZIVnExYVpSTTBidHk0a1pDUUVLWk1tWUk5VTZkTzVlVEprK3pZc2NQaGRWTzhlSEcyYk5uQzBhTkg3UzVCWkpYWTJWSDkvZjN4OGZHeG0ydkFPb2N5WmpCNzhlSkYzbnp6elVkK2pjZ0hJU1VIbENVdzQrK2p6eityaWUxdzB4T1JyODhCdVREQlpWdzRXeHdvTGxkV1dzdzhUMmM5cEgyQWxjQmVKM1VHWW9iT3RzTmt0azBzeDRGdlhkWVNaN3h3SGxBR1lZWld6OEVrV0xxS21ST2NKRS9EN1gzZ2dVa2dFSmNza2c5SzlFUkFwMCtmcG4zNzloUW9VSUFjT1hMWWZPaGR1SERCN3JJaEJRc1dwRjI3ZHZqNStia01LUC8zdi85eCtQQmhtMnl2elpzMzU1bG5uckhadDFpeFlzeWZQejhxS2MvNTgrZFp1SEFoVzdaczhiZ25OUjR1QWtNZTlFbFRvTkk0dnhHK0EveUtHYUozR0RPdDRqYUpjQjJmUDMrZVc3ZHUwYk5uVDVkMVY2MWF4V2VmZlVhMmJObFl0bXhabklhSTNyMTdsL2ZmZjUvdzhIRHk1czJMdDdjM3QyNlpuQ2t4YjdBdlhEQWZ2ekd2cndZTkdyQjI3Vm9xVmFvVXE4ZkVhc3FVS2N5ZVBkdnRkbG1kUDM4K3pzUGg0dUU2dW80U1FySzVqbUk2Y09BQTMzNzdMVE5teklnYTZtbjlQUHp5eXk5ZHpxR01tU1RHWFFVTEZveGF1elc2b2tXTGN1REFBVzdkdWtYV3JGa0pDd3ZqblhmZXdkL2Zuelp0Mm5ENjlHbWVlT0tKcVBvMWE5YWtaczJhZHM5eDhlSkYrdmZ2ejVkZmZza3p6enpqdEQyRkNoVnlPWDBrb2RmTGpPbjMzMytuYWRPbWNkb25YNzU4dlBycXEwUkVSTEIxNjFhWDgwREZjeWs1b0R3T3RNUmtEN3VPNmVseE50eTBFMmJkUml0M3VqYWNCWTNlbUFSQU1YL0c2VEREYTYyUGNqTmpnb2J0bU5UWjlsVEZ6TFYwZnNXYnBTY21ZZGJlM0lmejRGT1NsMURNSE5qem1LUkxzekFKcFpJRmV4bmtBZ0lDdUh6NU1sV3FWSEc0bjZOQTlFRXFVcVFJZi96eGg5MHlaOHVHdUd2WXNHR3hzdktsU1pPR2F0V3E4Y1VYWHpqYzc4OC8vMlRod29VMkdTcmxvV2JCekhHK2pja3FQZ3VUYk0yVE5ZN2pMSC8rL0F3Y09OQmx2ZUhEaHpObnpoemVmdnR0Rmk1Y0dPZjVoaGt6Wm1UdTNMazIyMDZkT29XdnIyK3NHK3p0MjdjemYvNzhPRjlmUzVjdTVlYk5teTZUY0lTR2htS3hXTml6WncvZmZmY2RKMCtlNU5DaFExRkpmdVNobEtUWFVYU0JnWUg0Ky92enl5Ky9KR3F3Wk85ejhzS0ZDdzduL2RXcFU0Zng0OGZUdVhObjNuNzdiWjU2NmlrQ0FnTGlQRHk4UzVjdVBQLzg4L1RyMXk5cTIrWExsN2wrL2JyZHZBaXVKT2JuL1hmZmZjZVJJMGZZdjMrLzNibWtqb2E4V2gwK2ZKaDE2OWF4Y09GQ21qVkw3RUY4ajZhVUhGQmFEUVpld0NUWnNYb0pNengxQ1BlVDJQaGc1Z1ZhdWZQWHc1djdjeWl6WUFJQzZ4ekt0SmhBOENQdUwvMWh3UVNGbWJFTmF0ZEhsdVVoZGhDUkdoaVBHY3JxempJay9ZRlhNZXM1MVFTT3ViR1BKSTFRVE9iZ3paaWU1UjA4b0NFOGNXWHZnMjNMbGkwQVRtL2VvcThabFpMODl0dHZMRnUyakN0WHJyQjgrZkpZVDVMamNwUCsyR09QSlhUejVNRzZDeHdFL0RFUDhYWUMvejdvUnJpNjRUMTU4aVRkdW5XalFvVUsvUDMzMy96eXl5OHNYTGpRWWYyYk4yK1NQbjM2UkJzK09tZk9IRjU1NVpXb09WL256cDNqbTIrKzRkQ2hRMnpkdXRYbG1uRmdFdkJFUkVSUXZueDVacytlellBQkF3Z01ER1RreUpFRUJBUnc1ODRkeXBZdG15anRsd1NYTEs2ajZESmx5bVEzd1l3MWNFcW9JYTlXWDMvOU5RY1BIaVEwTkpUZmZ2c3Q2dHd4cDI1MDZ0U0phdFdxc1gvL2ZrYU1HT0hSc2xnelo4NWs1ODZkN042OTIrYjR1WExsb212WHJuVHMySkU2ZGVyRTZaZ1JFUkVFQlFVNVRSN2tTYUFLWnRUUmlSTW5HRGR1bk0zbjY4Y2ZmOHkwYWRPb1VhTUdoUW9WY3Zqd3FtZlBudnozMzM5NjJKU0lVbnBBbVI3VFN6a1QrQy9hOWo4eDh3ei93aXdCRWdoVXhNeWx0SEtuaDlLQ0NmUytpN0c5RmlaUTNZNloxeGhkVGlBZjdzKzc2SW5wMWZ6VXpmcDNNTzk1SXlaUWVRMFRxRWp5OGpmUUJQTUU5aExKT0R1dnhXSWhORFEwMWlUNFNaTW04Znp6enp2TStGYTRjT0Y0cGZsT3pwbzJiVXFOR2pXaTVyRlVyRmpScHR6Uk1ENUpjZVpoSHZnRllCNEdKc1I4K1FRVkVSSEJoQWtUQ0FnSVlOS2tTVTdYazR0dXpabzFsQ2hSd21hTnVZVUxGK0x2N3grcmJseUh2RjY1Y29YWnMyZnp3Z3N2c0hidFdqSm56a3loUW9YNDRZY2ZtRFJwRXV2WHIrZTU1NTV6MmNhUUVQUGp2bnYzTHBreloyYklrQ0VNR2pRSWIyOXZ0bS9menVuVHB4VlFQaHlTL1hVVVhVSVBlYlVlcjMvLy9reWRPcFdPSFR0U3Brd1pQdjNVL20xZjhlTEZhZGl3SWRldlgrZnBwNStPYy91UEh6OU92Mzc5V0xWcVZhd0VPYWxTcFdMOCtQRlVybHlaWWNPRzBicDFhN2VQR3hZV1JvWU1HUndHZFczYXRPSGl4WXR4YmkrWSs0bVlTd1I5Ly8zM1RKbzBpVjkvL1pYTm16ZHorUEJoaC9zZk9YS0VTcFVxa1RselpvL083NHJGWXVINjlldVA5UHEzS2YydXB6M21qOU5ueEI1ci96bHdFdE5UZUFpVElUVjZENkE3UFpTanNUL3ZjUU5tVG1aQlltZGNUZVhtc1FGS1lSTDgxQ1Z1eTBYc0FEcGc1bEZ1eGlUUStSWVRPRXZ5c0NLcEcrQXVpOFdDdjcrL3pkeUR6WnMzNCsvdno2cFZxemh6NWd6ZmZmY2RRVUZCdlB6eXk5U3JWNDhjT1hLd2JkczJqNUxpeEZWd2NIQlNKTFVoWjg2Y3RHL2ZubDI3ZHBFM2IxNmJNaTFiOE1oWW10UU5jQ1VpSW9MbXpadkhPU2xGU0VnSTU4K2Z0d2tvR3pac3lKTlBQa254NHNWdHNyeWVQSGtTTHk4dkprNmNhUE13NWNLRkN3d2RPalFxeTJ0MHMyYk5zbnZldG0zYjBxVkxGNWZMSUFEa3padVhYMzc1SlNxSVRaVXFWVlJQN1owN2R6aDE2cFI3YjFhU1dySy9qcUpMNktHZDBZL1hvVU1IOHViTnl5dXZ2T0wwd2VTd1ljT29WS2tTN2RxMVkvcjA2VzUvNXR5NWM0YzMzM3lUaVJNbk91elp6SnMzTDVNblQ2WlJvMGFFaElSRXJidnBTa2hJQ0srODhvckQ4clp0MjhacExXdG5Sb3dZd2JCaHcxaXlaQW1OR2pWaTgrYk5UdXZ2MjdlUDd0MjdKOGk1WTdKWUxIejAwVWVzVzdlT1AvLzhNOUdXS2t2dVVuSkFtUUhvamxtUDBsNHdkaHZUczdnWEdBbkVURi9uVGxLZENFeDIyTkpBV2N5azhpY3h5VlAyQUl2dDdPT0Zld0ZsTHVBWFRQYXo0MjdVajJrbXBvZDJNakFBYUk3cHVYUm4yS3hJbEZTcFV0a0VrMmZQbnVYTk45K2tZOGVPTkd6WUVJRHg0OGV6ZS9kdVB2MzBVOXEwYWNOTEw3MUUyN1p0YWRteVphS204Ris4ZURGOSsvYkZ6OC9QSmhGQlFnb01ESFM0TnQrVksxZHNsa213c2pmblZPUkJzdjRPZW50N2U1VGg4TTZkTzF5OGVKSEdqUnRIYmN1Y09YT3NIcEVkTzNiUXRHbFRybDY5U3JseTVXeVNBdVhJa1lOVnExYlJyVnMzQ2hVcXhPdXZ2MDc5K3ZXZDNpaGJlelh0L2Qzdzh2S3l1YmFxVktuaWNBNzMyYk5ubVRkdkhyMTY5ZEtJQVVsUUNSMVFSa1JFRUJGeHYyOGllZ2JYbVBXV0xsM0t4bzBiNmRxMUswdVhMcVZtelpvY1BYcVVpUk1udXV6VnYzSGpCczJiTitlamp6NXltZHltUVlNR1VaL3pUejc1cEZ2SmJENzg4RU82ZGV2bXNMeCsvZm91aitIS3JWdTNlUGZkZHpseDRnUmJ0MjZOR29FUTgvOWsvdno1SEQxNmxNcVZLM1B5NUVuT256OVA1Y3FWWXgzUDE5ZVhIVHQyNE9YbDVmR0Q2WUNBQUg3Ly9YZkEvTnpXclZ2M1NHYVZUY2wvWlQvQnpKRThHRzFiaGhoMXZzVU1LZDBJcklsUmxncm5RV1ZIVEZiVmdwaGUwTjh4V1ZpSFl1WlNPcEltOHN1WmRNQUlUQS9yb1JqN2xzSmsvTHlObWFzSmpvZUhUTVgwa0piRkJNMUpueUZGSG1xN2R1M2k3YmZmcG5idDJyR0d0VHo3N0xPc1hidVd4WXNYMDdselovejgvQmcwYUJDYk5tMktOVS9RMTllWGZmdjJ1VHhmWUdBZ3ExYXRzcnNFUW5Cd01OT21UU00wTkpTWFhucUpQLy84TThHRHlxdFhyMUtuVGgzZWZQTk4rdmZ2SDZ0OCsvYnROamNDVm1GaFlRN2JiWFgyck1rQlpoMjJKNUtRN1AxZVJ1Zmw1Y1hkdTNleFdDeDJSeEtjT1hNR1B6OC9ldmJzYVhkK1praElDRjk5OVJValJvemdyYmZlWXNpUUliR0d2NmRMbDQ3MzNudVA5dTNiTTMvK2ZEcDJOTE5LK3ZmdlQ1Y3VYZXllZDhjT00wUEQzdnpybkRsenNtUEhEclpzMmVKMDZOcTllL2VZUEhreWUvYnNZZWJNbVc3M3NJaTR3OWtEd3hzM2JwQTVjMmE4dmIyakhvNjRHcWtUSGg3dTlKaDM3dHpod0lFRGxDbFRoc2FOR3pOcTFLaW9iT1VyVjY3azFWZGZwV0xGaWxTdFdwVldyVnJSdEduVFdMMWsxdm5FZ1lHQnBFcVZpbG16WmhFYUdrcFlXQmhoWVNiZlVZNGNPY2lXTFJ2WnMyY25XN1pzRkMxYWxQRHdjSHIzN2gyMVZJb3o3ajY0MmJsekowRkJRUlFvVUlCMDZkS3hhOWN1bDcxNkZvdUZYMzc1aFRGanh0QzJiVnZtejU5djB5c2I4K2YzMWx0djhlZWZmOUtzV1RPdVg3OU9tVEpscUY2OWVxemp0bWpSZ2hvMWF2RDQ0NDhuK3JJbktWMUtEU2lmd2F6ZE53K29BUFRBQkY5bE1VR1dWUldnT3ZDbW5XTjRZd0k3UnhaaTVpZTJ3TXpGZFA3cGZWOGFUTUllWnpKZzJud254bllMSm5sUWU4QTZzL2cvekdSMlIxWkdmb2w0YlBmdTNZd2NPWkpObXpZeFlNQUF1NGtLckpvM2IwN1ZxbFZwMmJJbG16WnRZc2FNR1F3WU1NQ21UdE9tVFhuKytlY3BXclNvMDZRR3JySkR4cHhUWWZYbGwxK3llL2R1OHVYTFI0WU1NWjhqM1pjaFF3YU9IVHZtTUluQTBhTkh1WGZ2SGpObnpxdDV5N0FBQUJOM1NVUkJWS1JTcFVxeHNybnUyN2VQd01EWUk4bXRDOGE3eXZLNmVQRmlCWlNTS0t3M1dJNHlSUll1WEppZ29DQjY5dXhKaXhZdGJHNEdRMEpDV0xCZ0FjZVBIMmZLbENrMjE3dkZZbUhldkhrTUd6YU1xbFdyY3VEQUFaZUpOcnk4dkdqWnNpVU5HemFrWmN1V2RPM2FsZlBuenpOczJMQllkZmZ2M3cvQTlldlhZNVcxYTllT0ZTdFcwS1JKRTVjQmMrYk1tZW5ac3lkdDJyUnhXazhrcnB3RmZ3Y1BIbVRVcUZGczM3NmRpeGN2a2o5L2ZwYzlYMkZoWVFRSEJ6c3NQM3o0TUVlUEhtWEVpQkd4MW9KOTZhV1gyTFp0RzIrODhRYmJ0bTJqZHUzYWRnUFl6Smt6MDdScFUxYXNXRUhac21XcFVLRUNSWW9Vb1VDQkF1VExsNDhjT1hMWTNXL1hybDFzMkxDQnNMQ3dCT3ZwejVzM0wzUG16R0hpeElsUkQxWmZmZlZWdTNYRHc4Tlp1blFwMDZkUHAxcTFhdmo3KzlzZE1SUWVIazVRa0cwcWlwZGVlb252di8rZVBYdjI4TVVYWDlodGY1WXNXY2lTSlVzQ3ZDdEpxZXc5RHVxRFdWYmo4Y2p2SzJHVzEzQVUzSFVtY2VZY3pzS3NweFJmQXpBOW80NVhtWldVeXRLalJ3OUxZanQ5K3JSbDlPalJsbGRlZWNYU3VuVnJ5K0xGaXkzMzd0MXplLytRa0JCTGh3NGRMTU9HRFV2RVZ0cDM3OTQ5UzJob2FLS2ZwMXUzYnBhY09YTmFnb09EYmJZWExGalE4dFZYWHpuZGQ4T0dEUmJBY3VMRWljUnNZaXlZQjFPRGt2aDNXTUF5WnN5WVJQdC9Qbjc4dUFXd3JGeTUwbTU1ZUhpNDVmMzMzN2RrelpyVitqdGg4NVVyVnk1TDc5NjlvNjZqNE9CZ2k2K3ZyNlYxNjlhV01XUEdXSzVldmVwUnUwSkRReTBkT25Td05HblN4Rzc1OHVYTExmbnk1WFBZN3VRaTh1ZmttM1MvUGhMSk1talFvQWY2Zjc5eTVVcEw0OGFOTFVGQlFRN3J6Smt6eDVJdlh6NkxuNStmeStOMTZOREIwcWhSSTRmbFI0NGNjZm1aSHh3Y2JGbTdkcTNUT3JkdTNiS0VoSVM0YkU5MEN4WXNzSFR0MmpWTys3anIzcjE3bGthTkdsa2FOMjVzdVhQblRxenk0OGVQVy9yMDZXTlp2bnk1eTgvelRwMDZXV3JVcUpFbzdVeU9NSDkveGlUMXhmZW9Tb3R0ajZ5cmZNalBBTEV6Q2NSZmNkeFB5dU5NUnB6M29FcktsZWdCWlZCUWtHWDI3Tm1XSTBlT1dDSWlJaEwxWENsUnJWcTFMSnMzYjNaYVorUEdqWlk2ZGVwWXJseTU4b0JhWmFDQU1ybEkxSUR5MEtGRGxzYU5HMXNDQWdJUzVIam56cDE3NEE4L2tqTVVVQ1lYRHp5Z2RPZkJhbmg0dU5PQU03b1RKMDVZd3NQRDQ5dXNoMUpjSGxJN3MzZnZYc3VOR3pjUzVGZ1BBNUpoUUpsU2g3emFFM05jbWYyVnp1L2JrMGp0T0pGQXgzRTJ6RlVrWHRLblQwK3JWcTJTdWhrUHJmWHIxN3VzVTZOR0RmejgvQjVBYStSUlZMcDBhWll2WDU1Z3h5dFlzR0NDSFV2a1llWk84cFpVcVZMWlRkaG1UMklsbEhzWUpGU0c5dkxseTd1dUpJa3FJWHJLUkVSRVJFUkU1QkdrZ0ZKRVJFUkVSRVE4b29CU1JFUkVSRVJFUEtLQVVrUkVSRVJFUkR5aWdGSkVSRVJFUkVROG9vQlNSRVJFUkVSRVBLS0FVa1JFUkVRa2daaWxBcE5HUUVBQTQ4ZVA1L2J0MjBuV2hwUWdLZjhQSDBZS0tFVkVSRVJFRWtqMzd0MlpNV09HUjBISjZ0V3JXYkpraWNmbkRnb0tvbnYzN3RTcVZZdWdvQ0NQandOdzhlSkZPblhxeEwvLy91dXd6clp0MjJqYnRpMG5UaVRNTXV2Nzl1MGpMQ3pNYVozejU4K3pmLzkrbDhmeDFMSmx5Nmhac3lhM2J0M3krQmlQR3Ura2JvQ0lpSWlJU0VveFlNQUF5cFVyeHkrLy9NS3FWYXRJbno0OUFBc1dMR0RyMXEwTzl3c09EbWJhdEdta1RwMmF0V3ZYVXIxNjlUaWZPMTI2ZEFEMDc5K2ZEQmt5ZVBZR0loMDllcFFwVTZhd2ZmdDI5dXpaUTZwVXNmdWgwcVZMeDZ4WnMvRHg4ZUdUVHo3eDZEd25UNTdrcjcvK29tWExsc3lkTzVjTkd6Ynd3Z3N2QUJBYUdzci8vdmMvaWhRcEVsVi8yN1p0L1B2dnYremR1NWZpeFl2YlBXYnIxcTBwVTZZTUJRc1dqRk5iUWtKQ21EWnRHaUVoSWRTclY0KzFhOWVTTld0V2o5N1hvMFFCcFlpSWlJaElBc21iTnkvOSt2V2pUNTgrYk51MmpWcTFhZ0hRc0dGRFNwVXFSY21TSmNtVUtaUGRmU2RObWhTdmMxc0R5cENRa1ArM2Q2OHhVUjl0SDhkL3V4d2FSU09lYUtsU0QxV0RVU3MwYXJUV21FYkZHS3VtS0ZxcEZOdWlxRVd4dnJBV20zaDZZWDBnWXNLZFZsdU5WQnRQVVV3MDhtak5ROU5XUVZRVXhHTkZHK3NCc0tVZVFFQndtZWVGWVZPNkxMc3NWUER1OTVQc0MyYXV1V2IrR0kxWFptZitUY29qeWI0TG1KaVlXRzh4K2RmNUprK2U3REpmYW1xcWNuTnpIZHIzN3QycndzSkNQWDc4V043ZTNnb0tDdEtHRFJza1NlZlBuOWZ3NGNOVlZsWm1qMDlLU3RLeFk4ZWNGcE9TNU9YbHBXN2R1aWs1T2RubHV2N3V5eSsvYlBTWWZ6c0tTZ0FBQUtBWnpaOC9YN3QzNzlidzRjT1ZtNXVybmoxN3l0L2ZYeUVoSWYvb3ZMV0YzNTA3ZCtydHYzWHJsZzRmUHF5WW1CaVh1Ykt6czlXOWUzZU5HemZPYVl5WGw1ZmJhM3Y3N2JjMWVQQmc5ZTNiVndVRkJRb05EVlZGUllXOWVKU2tsU3RYdXBYTDI3dmhFc2JiMjV0emtNOFFaeWdCQUFDQVp0UzJiVnRsWjJlclRaczJPbnIwcVB6OS9aL3AvS2RQbjNab2UvejRzV2JPbkttNWMrZHF4NDRkTG5Oa1pXVXBQRHhjRm92RjN2Ymd3UU9QZHYwa3FVdVhMZ29ORFZXN2R1MmN4cmdxRk4zVlhIbmdIbjdiQUFBQVFCTlVWMWNySnlkSHc0Y1B0N2RaTEJiVjFOU292THk4MGZseWNuSVVFaExpMWc1Z2FXbXBNakl5TkdYS0ZIdmJtVE5uVkZsWmFUKy9hYlBaRkJVVnBhdFhyeW8xTlZYaDRlRU41aXdzTEZSQlFZRnUzTGloeFlzWDI5c3pNek4xNnRRcEZSY1g2NHN2dm1qMGM3blNYSVdnTWFaUnU2ZG9HZ3BLQUFBQW9BbDhmSHowM1hmZmFkV3FWVXBPVGxad2NMQWs2Y2NmZjFSb2FHaWpjdTNidDArUmtaR2FQWHUyTm0zYVpHKy9mUG15ZHUzYTVSQi83Tmd4WldSa0tEazVXVE5tekpBa2pSZ3hRbWxwYVlxTWpGUjFkYlhlZSs4OVdhMVdYYng0VVowNmRYSzVob3lNREhYdDJsVnBhV2wxems5T25UcFZ1Ym01bWpCaFFwMzRwVXVYYXRTb1VZcU5qVzNTSlRaZVhsN0t5OHV6RjdFbEpTV3FxcXFxVTlTZU9YTkdBUUVCRGVZeHhyQkwrUXp4bXdZQUFBQ2FhUDM2OVJvNmRLaUdEQm1pcTFldktqQXdVUHYzNzlmbm4zK3VtVE5ueW1hektTQWdRRmFyVlNrcEtYcmpqVGMwZE9qUWVuUE5uejlmMHRNaXNyWTREUTRPMXVqUm85V2pSdy81Ky92YkM3MnNyQ3gxNjlaTjA2ZFB0NDhmTzNhc05tN2NxSWtUSnlvbUprYnZ2UE9PSWlNajNYNlc5UFIwVFo0ODJlRXlucnk4UEkwZVBWcWpSNCt1MDc1MjdWcHQzcnhaUFhyMFVFSkNnaFl2WGl3Zkh4KzM1N1BaYlBMeTh0S1RKMDgwZVBEZ09wZnk3Tisvdjg0NXk2U2tKSjA0Y2NKbHp0b0xnL0RQbzZBRUFBQUFtc2pYMTFlSmlZa2FQMzY4N3QrL3I2NWR1NnFvcUVnQkFRSGF1WE9uUGU3Q2hRdEtTVW5Sc21YTE5HblNwRWJOVVh0amJLM3k4bkw5L1BQUGlvbUpVV0Jnb0lxS2lpUkpmbjUrQ2d3TVZHeHNyTmF2WDYrZ29DQzM1Nml1cnRiaHc0ZVZrSkJRcC8zQmd3ZTZmdjI2NHVQakhjWjRlWGtwT1RsWnZYcjEwdUxGaTdWejUwNGRPSEJBM2J0M3Q4ZFVWbGJhM3pGWis0N01SNDhlS1NrcFNVZU9ITkdoUTRkY3ZvT3lWazFOamN2K3ByNDJCZTZqb0FRQUFBQ2FRVmhZbUZKVFU5Vy9mMytscDZkcnlKQWhEakhaMmRteVdDeDY4ODAzbXp6Zjk5OS9yNHFLQ2tWRVJEajBSVWRITjdxWWxLUkRodzRwT0RoWTkrN2RxOU4rL1BoeEdXTTBjZUpFcDJNWExWb2tYMTlmelo4L1h4RVJFY3JLeXJMMzVlVGthTU9HRFhyMTFWZFZXbG9xU1VwSlNaRzN0N2ZHangrdlk4ZU91VjFRdW9xcnJLeFUrL2J0M2NvRkFQOUdsWklNSHo0ZWZteVNsZ3N0amIvSHovZW5SdExYRG4rcWVOYk1paFVyVEdzMWMrWk1rNWVYNTlBK2RlcFVNMmpRSUtmakRoOCtiR3cybTF0elJFVkZtWDc5K3RsL0xpd3NOSkxNL3YzN2pjMW1NMzM2OURFSERoeG8xTG9uVFpwa2podzVZdWJObTJjZVBueG9iLy8wMDAvcnpHV01NWmN1WFRLU3pLVkxsK3EweDhYRm1RNGRPamlkNCt6WnMwYVNxYWlvcU5PZWtKQmcrdlRwWStMajQwMThmTHlaTld1VzhmSHhzZjhjSHg5dlJvMGFaY0xDd2hwOGhsNjllcG50MjdlNys4alBGVDM5TjhpenEzYi9JZXhRQXMrZmp5VjFkeGtGMU8rSnBJTXR2UWhvb2FTWFczb1I4RmlOcFA5cjZVV2c5WHI0OEtHeXM3UDEybXV2MVduUHk4dFRXbHFhK3ZYclYrZWltVnFWbFpYNit1dXZGUjRlcnIxNzl6WTRSMUZSa2ZiczJhTjE2OWJWMjIrMVdyVmt5UkxGeGNYcHJiZmVhdkIxSGJXdVhMbWlQLzc0UTJGaFlTb3FLbEphV3BxaW82TWxQZDI1bkR4NXNzc2NrclJ1M1RxbjUwTWI4dVRKRTQwY09iTEJNNVNiTm0zU3c0Y1BHOHhUVWxMaTh1SWVBQUFBQVA5dXJYYUg4c3N2dnpSUlVWSDE5bTNac3NYY3VIR2ozcjdjM0Z3anlXUm1acnFjSXlFaHdYVHQydFU4ZXZUSTN2YlhIVXBqakttcXFqSzllL2MyczJmUGRtdmRjK2JNTVNkUG5qVEdHRk5jWEd4R2pCaGhqREhtMnJWcjlhN0wyUTZsSzg1MktHL2Z2bDFuZHpZL1A5LzQrZmsxS25kRlJZV1JaTTZmUDkrb2NjOEx0Y0lkU3F2ckVBQUFBQUR1dUgvL3ZoSVRFelZ1M0xoNit6Lzg4RU85OHNvcjlmYmR2SGxUa2pSbzBLQUc1eWdySzlQR2pSdTFjdVZLdFczYjFtbWNqNCtQRWhNVGxacWFxbSsrK2FiQm5QbjUrZXJXclp0OVp6RWdJRUJkdW5UUjBhTkh0VzNiTmdVRkJkVjV6K1kvNGVXWFgzYTRXZmJ2YW1wcVpMUFpuUFpmdjM1ZFZxdFZ2WHIxYXU3bHdRbSs4Z29BQUFBMFVVcEtpckt5c25UbXpCbjkrdXV2RHEvV2NFZEJRWUc2ZE9uaTh1dXB5NWN2VjgrZVBSVWJHK3N5WjNoNHVLWk5tNllGQ3hZb0lDQkFVNlpNcVRmdTFxMWJEamU3eHNYRmFjbVNKWHJ3NElIbXpwMHJpOFZTcDcrMnNHdW93SE9sdExSVUJ3OGUxUFhyMS9YSko1L0l6OC9QYWF6Tlp0UHMyYlBsNCtPakxWdTJPS3hIa2k1ZXZLaStmZnMyV0dpamVWRlFBZ0FBQUUyMGNPRkNqUmt6UnVQR2pWTzdkdTJjN2tJMjVOS2xTL2IzVGpwejh1UkpiZDI2VlNkUG5wU1hsNWRiZVRkdDJxU2NuQnhObXpaTlgzMzFsV0ppWWh4aUpreVk0TkFXRmhhbXRtM2I2c3FWSzVvelo0NUQvK1BIanlVOVBmdlpHSThlUFpJa1RaOCtYZDdlM29xTGkxTmtaS1JXcjE2dDA2ZFBxM3YzN3ZMMTlWVkpTWW1xcXFycW5EZnQzTG16Sk9uczJiTjYvZlhYSFhLZk9IRkNZOGVPYmRSNkFBQUFBUHo3dE1vemxGRlJVU1k0T05panNhR2hvU1l1THM1cGYzbDV1UWtKQ1RINzl1MnJ0Ly92WnlqLzZ0eTVjNlpqeDQ1R2tvbUlpSEI2anZPdmJ0eTRZVjU4OFVYajYrdGI3NXhaV1ZsR2tqbCsvTGpMWENkT25EQnIxcXd4STBlT05HM2F0REhSMGRFbVB6Ky93VEdlbktIczNidTNXMmRRbjFkcWhXY29BUUFBZ09kUnF5d29RMEpDekxCaHd4bzk3czZkTzhaaXNaZ2RPM2JVMjE5VFUyTWlJaUxNNXMyYm5lWm9xS0EweHBoVHAwN1ppOHJPblR1YjNidDNPODExOSs1ZE0zRGdRQk1mSDI4T0hqeG8ycmR2YjJKalkwMWhZYUU5SmpjMzE2eFpzOGFVbHBhNmZMNVpzMllaUHo4L3MzVHBVblA3OW0yWDhjWTB2cUE4ZnZ5NEdUSmtpTnZ4enlOUlVBSUFBQUROb3RVVmxNWEZ4Y1ppc1poUm8wWTFHSGZ6NXMwNnQ3TWFZOHpDaFF1TnI2K3YrZlBQUCtzZHMyclZLcE9XbHViUWZ2bnlaWFB6NWsxVFdscHFEaDA2WkNTWjlQUjBwM1AvOHNzdjV1T1BQemJsNWVWT1krN2N1V01HRGh4b2xpMWJabXBxYW93eFQ0dkhBUU1HbUJkZWVNSE1tREhEN055NTAxeTdkczN0ZDJiZXUzZlBaR2RudXhWYnkxbEJtWitmYjJKaVlreDFkWFdkOW84KytxakJaLzl2b0ZaWVVIS0dFZ0FBQUdnR3YvMzJtNTcrbjc5aHQyN2QwbWVmZmFZZmZ2aEJMNzMwa3FxcXFwU2ZuNjlGaXhhcFk4ZU85WTc1NElNUEZCUVU1TkJlWEZ5czdkdTM2OXR2djFWMWRiV3NWcXY2OSsvdmRPNitmZnZxUC8vNWo5UCt6TXhNelpzM1Q4dVhMOWU3Nzc1cmJ4ODhlTERPblR1blBYdjJhTzNhdGRxOWU3ZWtwemZKQmdRRXFHUEhqbXJYcnAxOGZIeGt0VnJsNCtPanVMZzQreVZBL3Y3K0dqWnNtTU44MjdadDA1NDlleFFZR09od0lVOVpXWmw2OXV6cDhNN09VNmRPcWFTa1JLdFhyOWJxMWFzbFNSY3VYRkJGUlVXOVowRUJBQUFBNE85YTNRNWxWVldWZWYvOTk4MllNV1BjaXMvTXpEUitmbjdHWXJHWTZPaG9oL2N5TnNaUFAvMWtmSDE5VFZKU2trZmp5OHJLeklvVks4ekNoUXZONzcvLzdqSytvS0RBYk4yNjFjVEh4NXNKRXlhWUFRTUdtRTZkT2htcjFXb2ttWXlNRExmbXRkbHNEcnUxbmxpd1lJSFQzZDMvSm1xRk81UUFBQURBODZqVkZaU2UyTFZybDdsdzRVS3o1R3BLUVpXZW5tN3UzcjNiNURYVTFOU1krL2Z2TnpsUFl4VVhGei96T1Z1Q1dtRkJ5VmRlQVFBQWdCWXlZOGFNWnN2bDdPdXk3bWl1cjRwYUxCWjE2TkNoV1hJMVJrQkF3RE9mRTA5Wlczb0JBQUFBQUlEbkV3VWxBQUFBQU1BakZKUUFBQUFBQUk5UVVBSUFBQUFBUEVKQkNRQUFBQUR3Q0FVbEFBQUFBTUFqRkpRQUFBQUFBSTlRVUFJQUFBQUFQRUpCQ1FBQUFBRHdDQVVsQUFBQUFNQWpGSlFBQUFBQUFJOVFVQUlBQUFBQVBFSkJDUUFBQUFEd0NBVWxBQUFBQU1BakZKUUFBQUFBQUk5UVVBSUFBQUFBUEdKcDZRVUFBQUFBSG5na3FXMUxMd0o0eG95ay81RzByS1VYVXN1N3BSY0FBQUFBZUdDeHBKZGJlaEhBTTFZajZYOWJlaE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m9rdjhIYUtNaEZvaW02T2tBQUFBQVNVVk9SSzVDWUlJPSIsCgkiVGhlbWUiIDogIiIsCgkiVHlwZSIgOiAiZmxvdyIsCgkiVXNlcklkIiA6ICIzNjAwNDQ5NDgiLAoJIlZlcnNpb24iIDogIjU1Igp9Cg=="/>
    </extobj>
    <extobj name="ECB019B1-382A-4266-B25C-5B523AA43C14-2">
      <extobjdata type="ECB019B1-382A-4266-B25C-5B523AA43C14" data="ewoJIkZpbGVJZCIgOiAiNDE1NzExMjExNTM5IiwKCSJHcm91cElkIiA6ICIzNTY1MTI1NTQiLAoJIkltYWdlIiA6ICJpVkJPUncwS0dnb0FBQUFOU1VoRVVnQUFCWmtBQUFITkNBWUFBQUI4WTNXdEFBQUFBWE5TUjBJQXJzNGM2UUFBSUFCSlJFRlVlSnpzM1hlY1ZOWDUrUEhQTEx0TEx3b2lJSWdGRUdsQk5CR3h4MDRDR295YWdBb0oyRFh4cDFHd1lHSUxHR09peHNRU3U3SDNUcUtKR29wZlFER0tZa05BUkFVVmticVUzYjIvUDg3TTd1enViSnVkWlhiaDgzNjk1clV6NTU1NzczUHYzTG5vTTJlZUE1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McVFXc2dsdTBnSkVtU0pFbmFFdVJrT3dCSmtwSzBBWWFsc2Q3WndLQmE5RzhQekFKK25NYStKRW1TSkVsU0VrZHhTWklha2piQVN1QVNZR081WlUyQkRaV3NkeGJ3TCtDMFd1enJYR0Ewc0VlNTlpYkFzY0FqdGRpV0pFbVNKRWxicmR4c0J5QkpVcEpFRXZsR1lFMjVaVGNBUmNCNUtkWTdCbmcyUmZzaHdPbkF6QlRMT3NUMzhadHk3ZnNCUndNRGdZdHJGTFVrU1pJa1NWc3hrOHlTcElha3FKcGxTOVBZM2dEZ3VQanJHQkRGbjNjQ1dnSlB4TGU3THQ3K3gxcnVRNUlrU1pLa3JabzFtU1ZKalVVaFVKejArbkRnRDFSZCtxbVlzb25yV2NDUDRzKzNKNVRaYUFJY0FEd1A3SitwWUNWSmtpUkoybG80a2xtUzFCRGxBZGNTRXNCZnhOdjJBdFltOWNrSFZnSGZxMkk3T2NDbStQTUJRQTlnZHZ4MUQyQSs4SEg4MFFGNEpkNXZYcDJQUUpJa1NaS2tyWVJKWmtsU1E3UUp1S0JjV3dmZ0cycFh6aUpHNlFTQ3B3QzNBMS9GWHc4QTNrcnErNDk0MjFmQUpPQStURFpMa2lSSmtsUXRrOHlTcElhdUoyR2tjYkl1aEgvREZsZXpiaDVoTXNIV3dBamdJVW9uK2pzVytKU3lFLzk5QmZ5YVVEWmpaK0FYUUVFZFlwY2tTWklrYVl0bmtsbVMxTkM5RHZ5Sk1FbGZVMEpTK0hCZ1cyQXdvVlp6WmZJSVNlTFZRRDlnUmJ5OUNYQXhjQkpsUnpOTGtpUkprcVJhTXNrc1NXcm84b0RiQ0tVeUVwb1IvZzJyS3NFTTBBSllFMysrSXFuOWtIaDdjb0k1RjVnTVhFR285U3hKa2lSSmttckFKTE1rcWFIYldIMlhTclVHdmt2UlBpNiszUXVCNG5oYlYrQk00RFhnMlRyc1U1SWtTWktrcllwSlprbFNReGRWMHQ2a0J1dDJBSmFXYStzUERBR09KdFI3ZmlqZWZqMXdEeWFZSlVtU0pFbXFGWlBNa3FTR3JpbGhoUEc2cExaOXFWa3Q1WjJBL3lhOWJnTDhEUmdQdkFtY0J6d0hiRWVvenp3Z0EvRktraVJKa3JSVk1ja3NTV3JvOGdpSjRmSTFtYmVwd2JwOWdFbEpyeThCNWdEM3gxL2ZBOXdPZEFJdUJ6NnZhN0NTSkVtU0pFbVNwT3pKSlpUSGFKWFU5bE1nVnE3Zm5zQU9TYStuQWNQSzlXa052SkwwZWhUd0Q4cVcyY2dGNXNjZitXbEhMVW1TSkVuU1ZzeVJ6SktraGlRbi92ZFhsSjN3Ny94cTF0dUJNT0k1MlFqZzcvSG5Qd1YySlpURVNOUjQzZzI0RlhpQk1KSjVKcUY4eGl0SWtpUkpraVJKa2hxbFZsUWN5VndUMDRDUlNhOWp3Ri9pZjM4R0hKeTBiQmZnUnVCZVNtc3d4NEJ6Z2RYQVBPQ3ZoTVIycDFyR0lVbVNKRW1TSkVuS29uYkFkWlF0YVZFVFl3aVQ5eVVjQVhTTFA4K1BiKzhrWUFKaEVzSE9sV3luUGFGdTh3eENTUTVKa2lSSmtpUkowbGFvZkExbnFIM2lXcElrU1pJa1NaSWtTWklrU1pJa1NaSWtTWklrU1pJa1NaSWtTWklrU1pJa1NaSWtTWklrU1pJa1NaSWtTWklrU1pJa1NaSWtTWklrU1pJa1NaSWtTWklrU1pJa1NaSWtTWklrU1pJa1NaSWtTWklrU1pJa1NaSWtTWklrU1pJa1NaSWtTYXBYQXdjT1BHN2d3SUdqc2gySEpFbVNKRWxiaTV4c0J5QkpVaWJsNU9RY0Y0dkZUc3gySEpJa1NaSWtiUzFNTWt1U3RoZ0RCdzdjQ1JnVWk4VUc5dTNidDArMjQ1RWtTWklrYVd0Z2tsbVN0TVdJb21nUTBCRm9tNStmZjJDMjQ1RWtTWklrYVd0Z2tsbVN0RVhvMDZkUGZpd1dHeHhGVWFzb2lwcEZVVFNrYTlldXpiTWRseVJKa2lSSld6cVR6SktrTFVKeGNYSHJXQ3kyWHl3dUp5ZG45KzIyMjI2YmJNY2xTWklrU2RLV3ppU3pKR21Ma0orZjN5RVdpL1ZOdkk2aXFIY1VSVHRrTXlaSmtpUkprcllHSnBrbFNWdUVuSnljRVVDYktJcUlvb2hZTE5ZeUZvc055M1pja2lSSmtpUnQ2VXd5UzVLMkNMRlk3SmNwbWtkdTlrQWtTWklrU2RyS21HU1dKRFY2QXdjT0hCS0x4WHBFVVZUU0ZoL052T3NlZSt4eFlCWkRreVJKa2lScGkyZVNXWkswSlJoZDJZSW9pazdabklGSWtpUkprclMxTWNrc1NXclUrdmJ0dTIxT1RzNlF5cGJIWXJIOSt2WHJ0LzNtakVtU0pFbVNwSzJKU1daSlVxT1dsNWUzWnhSRlhSS2xNbUt4R0xGWURDZ3BtYkZ0Zm43K1FkbU1VWklrU1pLa0xabEpaa2xTWTVhVGs1UFRMeGFMdGEyaVQ0c29pdllBbW15dW9DUkpraVJKMnBxWVpKWWtOVnA5K3ZScEFleE5QSUdjR01GYzdua1RZSy9ldlh1MzI5enhTWklrU1pLME5UREpMRWxxdFBMejh6dEVVWFJ3RGJydWtaZVgxNlhlQTVJa1NaSWthU3Rra2xtUzFHakZZckVEWXJGWXgwUTk1bFFTZFptYk5HbXkvMllNVFpJa1NaS2tyWVpKWmtsU1kzWjY0a2x5cVl4VWJiRlliUFRtQ1VtU0pFbVNwSzFMeGY4amx5U3BFZWpmdi84dWVYbDVuOVJ5dFo1ejVzeVpYeThCU1pJa1NaSzBsY3JOZGdDU0pLVWpMeTl2RytENjVMWW9pam9CdzREY1dDejJBdkJwOHZMQ3dzTDJnRWxtU1pJa1NaSXl5SkhNa3FRdHhvQUJBd2JuNXVZK0dVVlJzMWdzOXZNNWMrWk15WFpNa2lSSmtpUnQ2YXpKTEVtU0pFbVNKRWxLbTBsbVNaSWtTWklrU1ZMYXJNa3NTZHBpckZ1M2JsN3IxcTFIUkZHVXMzSGp4dmV6SFk4a1NaSWtTWklrU1pJa1NaSWtTWklrU1pJa1NaSWtTWklrU1pJa1NaSWFsRmkyQTVBa0tZT2E5T2pSb3lYQS9Qbnoxd0dGV1k1SGtpUkprcVF0WGs2MkE1QWtLVk1HREJqdy9UWnQybnpZdW5YclR3Y05HblJvdHVPUkpFbVNKR2xyWUpKWmtpUkpraVJKa3BRMms4eVNKRW1TSkVtU3BMU1paSllrU1pJa1NaSWtwYzBrc3lSSmtpUkpraVFwYlNhWkpVbVNKRW1TSkVscE04a3NTWklrU1pJa1NVcWJTV1pKa2lSSmtpUkpVdHBNTWt1U0pFbVNKRW1TMG1hU1daSWtTWklrU1pLVXR0eHNCeUJ0UmpzQVBiTWRoT3JzRStDemJBZlJ5SFVIZHM1MkVQWGhxNisrNnRPcFU2ZDhJSGY1OHVVRGdQWFpqcW1lZkFvc3pIWVFraVJKa2lRQnhMSWRnTFNaZEFMdUFBWmxPeERWMlFmQVNjQ1NiQWZTU1BVQTdnZDJ6SFlnOVNVbkp5Y0dVRnhjSEdVN2xucjBOWEE4NGZNZ1NaSWtTVkpXT1pKWlc0dE9RQitnVTRzV0xjakx5OHQyUEtxbHdzSkMxcTVkbTNqWkZaUE02ZW9COUlyRll1MWF0bXhKa3laTnNoMlBhcUdvcUlpMWE5Y1NSVkU3b0RjbW1TVkpraVJKRFlCSlptMVY4dkx5dU9paWk5aHZ2LzJ5SFlwcWFkYXNXVnh4eFJYSmlXYlZRYnQyN2JqcXFxdm8wNmRQdGtOUkxjeWZQNTlMTDcyVVpjdVdaVHNVU1pJa1NaSkttR1RXVmlVbko0ZCsvZnB4MEVFSFpUc1UxZEw2OWV2SnpmV1dsU241K2ZrTUdqU0l3WU1IWnpzVTFVSzdkdTFvMXF4WnRzT1FKRW1TSkttTW5Hd0hJRW1TSkVtU0pFbHF2RXd5UzVJa1NaSWtTWkxTWnBKWmtpUkpraVJKa3BRMms4eVNKRW1TSkVtU3BMU1paSllrU1pJa1NaSWtwYzBrc3lSSmtpUkpraVFwYlNhWkpVbVNKRW1TSkVscE04a3NTWklrU1pJa1NVcWJTV1pKa2lSSmtpUkpVdHBNTWt1U0pFbVNKRW1TMG1hU1daSWtTWklrU1pLVU5wUE1raVJKa2lSSmtxUzBtV1NXSkVtU0pFbVNKS1hOSkxNa1NaSWtTWklrS1cwbW1TVkpraVJKa2lSSmFjdk5kZ0NTSkNsN29paUtzaDFEZFdLeFdDemJNVWlTSkVtU0t1ZElabWtyc0duVEprNCsrV1MrL1BMTFN2dWNkTkpKL1BlLy85Mk1VVW1sWG5ycEphWk1tVUpWK2M0WFhuaUJCeDU0b01vK2RiVjA2VkplZlBIRmV0dStKRW1TSkVsYklwUE1VZ08wWWNNR2JyMzExbXI3dmZmZWV6WGEzcFFwVTdqdnZ2c1lNV0lFaFlXRktmdTg5TkpMVEpnd2daVXJWOVlxVmlrVDVzNmR5OUNoUTNuZ2dRY3E3WFBQUGZjd2F0UW8vdkdQZjlSNVg5OTk5MTNLWlU4OTlSUkRodzZ0MGVkUGtpUkpraVFGbHN1UU5yT2JicnFKK2ZQblY5bG56cHc1VEowNmxkV3JWOU9zV2JPVS9kZXRXOGNkZDl6QjVNbVR1ZUNDQzZyYzNvTVBQa2grZmo3MzMzOC91Ym01ZlBQTk4weVpNb1dSSTBlU2t4TythOHJQejJmNDhPRzBiZHMyL1lPVDBwU2ZuMCtiTm0wWU5XcFV5dVdGaFlYODg1Ly81R2MvK3hrYk5teW8wVGIvL2U5LzgreXp6MVpvZi9UUlIybmZ2ajB6Wjg2a2VmUG1aWmJkZWVlZEhIamdnWFRxMUtuMkI3R0ZLeXdzSkRmWC8yeVFKRW1TSkVsYnI0SEF3cVpObTBaUFB2bGtsRTNMbGkyTFB2cm9vMmpkdW5WUkZFWFJFVWNjRWQxODg4M1JpaFVySWlCYXNXSkZtZjVMbHk2TlB2end3Mmp0MnJWbDJsZXZYaDBCMGYvOTMvOVZ1Yi9seTVkSHpaczNqODQvLy95U3RuLzk2MThSRUYxNjZhVWxiYnZzc2tzMGFkS2t1aDVldlhueHhSZWp0bTNiUnNDWHdPQnNYa3lOM0pIQWl1MjMzejU2L2ZYWHMvMjJscmoxMWx1anRtM2JWcnI4SC8vNFI1U1hseGN0WHJ3NE91T01NNklsUzVaVXU4MU5telpGYjc3NVpyUnExYXFvdUxpNHBMMVRwMDdSTGJmY1VxSC8xS2xUbzd5OHZHaisvUG5ScjM3MXE2aW9xQ2k5ZzZsSGI3MzFWdFM5ZS9jSUtBQ095Y1FGVWROOW4zcnFxZEhwcDU5ZWN1K3FxYSsrK2lvNjdiVFRvb1VMRjFaWWR2YlpaMGUzM0hKTHRlYzZFOGNwU1pJa1Nhby9sc3VRTnJPT0hUdlNzMmZQQ2lNb0s3UDk5dHZUcTFjdldyUm9rWEo1eTVZdHExei9qanZ1b0huejVseDY2YVVsYlhQbnpxVmR1M1pNbkRpeHBNMTV0UnEwOW9URStoWTdqRFF4b2o2VjR1Smlycjc2YXNhT0hVdTNidDBZTTJZTVAvdlp6MWkvZm4yVjI4ek56V1hRb0VGY2Q5MTFmUDMxMTBDb1QvN1ZWMS9ScjErL0N2MS85N3ZmTVc3Y09IYmRkVmNHRFJwa3lZd2tYM3p4QmZmZWV5L3Z2LzgrelpvMXE5VzZPVGs1M0hYWFhSVnFhYTlmdjU2Nzc3NmJsU3RYVnZuK1M1SWtTWklhUHYrdlRzcUNSeDU1aE04Kys2elM1UTgvL0REUFBmZGNuZmRUWEZ6TXpUZmZ6TVNKRTJuWHJsMUorNHdaTXpqbW1HUEl6ODh2YVN1ZjVDa3FLdUxXVzIrbHVMaTR6bkdvenJvQmp3S0xnY21Fa2ZudDJZS1N6c25YMy96NTh6bnBwSk1vS0NnQTRONTc3Nldnb0lBLy9PRVBBUHpnQnovZys5Ly9Qc09IRDJmMTZ0VlZiamVSb0w3ODhzdUJrQ3d0TGk2bVc3ZHVaZnE5OE1JTHZQLysrMXg5OWRVQWpCbzFpci8vL2U5ODlORkhHVHZHeHV6aWl5L213QU1QWlB6NDhkeDIyMjIxV2pjL1A1Kzh2RHgyM25ubk11MFBQL3d3M2J0MzUvenp6eTlwVzcxNk5WZGZmYlgzSFVtU0pFbHFaTGFZQklYVW1QejczLy9tNG9zdjVzYy8vakh2di84K1JVVkZ2UDMyMndCY2RORkZ2UHp5eStUbDVYSDQ0WWVYU1FTblVsUlVWT215Ung5OWxJVUxGN0pzMmJJeTlWVC8rOS8vc3RkZWV6Rmh3b1NTdnN1WEwyZktsQ2tsRTZLOS9mYmJUSmt5aGFsVHAzTHZ2ZmM2MHJCaDZBeU1CMzRGekFOZUE5NEEzZ0ZxTmd0a0E3Rm16UnJPT2VjY1dyZHVUVTVPRG0rODhRWUZCUVdjZSs2NUxGKytuTldyVjNQNzdiZHoxRkZIY2VHRkYvTGtrMC9TdW5Ycmt2Vi8vL3ZmYytDQkJ6Snc0RUQrOXJlL2NjUVJSNlRjVCtMYVArZWNjd0Q0N0xQUGFOS2tDVjI2ZENrVHk1bG5uc2tkZDl6Qk50dHNBNFJSMEpkZWVpbERodzVsNnRTcGRPN2N1UjdQUnNQMndnc3Y4SzkvL1lzMzMzeVR6cDA3YzhZWlovRE1NODh3ZlBqd0dxMmZmTzlJM0llaUtPTEdHMitrYytmT1hIdnR0U1hMWDMzMVZkNS8vMzErK3RPZnN0dHV1Mlg4V0NSSmtpUkprdXFpd2RSa2pxSW9PdXVzczZLamp6NDZpcUlvMm0rLy9hS0hIMzY0VEUzbVk0ODl0a3dONVZRU05abm56Sm1UY25seGNYSFVyMSsvS0RjM045cC8vLzJqTld2V1JGRVVSYk5uejQ2NmQrOGVyVjY5T2lvb0tDaDU5T3JWSzdyeXlpdkx0Q1VleWZWc3MyVXJyOGs4RVBnTWlNbzlpb0R2Z0lYQUM4Q0pRSFcxREJwa1RlYmpqeisrUWszbXRXdlhSa09HREltZWYvNzVsT3VzV3JVcU91aWdneUlnMm1PUFBhSkpreVpGYjc3NVpwaytyNy8rZWhTTHhhTDE2OWRIVVJSRkR6NzRZTlMxYTljeWZjNCsrK3pvNG9zdlRybVBrMDQ2S2RwcHA1MmlXYk5tcFh0b0diVzVhekovK09HSFVkZXVYYVBwMDZlWHRCVVVGRVQ3N3J0dmRQZmRkMWNaNjIyMzNSWk5talFwdXZMS0s2UDgvUHhvMHFSSjBjQ0JBNk5mL2VwWDBWMTMzUlg5N25lL2l5WlBubHhTaDM3MTZ0VlIxNjVkbzVkZmZybkN0akp4bkpJa1NaS2srdVBRUkNrTG1qUnBVdko4MWFwVnRHL2Z2dEsrTDcvOE1oczJiS2gwZVdGaFljcjJCeDU0Z0M1ZHVyRG5ubnN5Wk1pUWt0ck5qejc2S0JkZGRCR3RXcldpV2JObUpZOVlMRVp1Ym02WnR1UmxhcEJ5Z0xiQVRzQlJ3SDNBVjhBZHdIN0Fkb1NrYzROL0E2ZFBuMDV4Y1hISnRiNXExU3BHalJyRlpaZGR4dENoUTFPdTgrbW5uL0xZWTQveCs5Ly9ubzgvL3BnVksxWlVxRkcrY09GQ2R0aGhCNW8yYlFxRWtjekpwVEllZWVRUjFxeFpVMUltSTltS0ZTc1lQSGd3MjJ5ekRmdnNzdzhqUjQ1azJyUnBtVHJrQm0vdTNMa01HemFNMjI2N2pTRkRocFMwTjJ2V2pLZWZmcHJycjcrZWswOCttUysrK0NMbCtzY2ZmenpqeDQvbjRJTVBKaTh2andrVEp2RFdXMjl4NmFXWE1uUG1UQ1pPbk1neHh4ekRSUmRkQk1DdmYvMXJEajMwVUE0NTVKRE5jbnlTSkVtU3BNeXhYSWFVQllteUZWRVVzV2pSSXZyMzcxOXAzN3Z2dnBzTEw3eVFBdzQ0b0V6N3BrMmJBTmk0Y1dPRmRRb0tDcmp1dXV0NDl0bG5PZmJZWTB2YWk0cUttRFZyRmxkZWVXVW1EaU9iZGdXYUU1S25pUVJxTE1Xam9iUkQ2WmQ2NmJSM0JWcFZmVXBLdEFaK0Nad0VmQVM4Q1N3QS9nbk1xZUUyTnFzRkN4YncrZWVmMDd4NWN3NDc3REJPT2VVVVB2dnNNLzc2MTcveXhCTlA4T0tMTDFaWUo0b2k3cm5uSHZyMDZjT1VLVk00N2JUVDJIYmJiVk51ZTVkZGRpbDV2V1RKRW5iY2NVY2cxQ2FmUG4wNkJ4MTBFT2VlZTI2RmRmL3puLzh3ZCs1Y2JyamhCaDU3N0RHNmRPbFNabHNOUUJkZ24vano4dGRkVGRxUy81Ynh3Z3N2TUdIQ0JPNisrMjcyMldlZkNzdmJ0Mi9QWC83eUY2Ni8vbnA2OU9qQnozNzJNOGFNR2NPUUlVTks3bTl0MjdZRllOcTBhVVJSUkJSRnhHSXhubjc2YVc2ODhVWnljbkxZYmJmZGlLS0k0NDQ3am84Ly9wanAwNmRYZHF3amEzQWN0VDN1NnA3blVQbVg4Y1hBVEdCV1pRRkxraVJKMHRiRUpMT1VCWW1Sd1o5ODhnbmR1M2VuWThlT0piV1F5OHZOemFWUG56NWNmLzMxWmRyWHJGbkRzODgrbTNJVTlCVlhYTUZsbDEzR0RqdnNVS2I5cWFlZTR0SkxMNjIyem5NamNESXdJUDQ4T1VtV3FlZVo3bGZYZFhLQUp0Uk9IdEEzL2lnR1RnRStCZDVPRVU5V1BmSEVFMENZSU83NjY2L25Cei80QVpkY2NnbGR1blRoK09PUForM2F0WFRwMHFWa05ITENEVGZjd01hTkc2dThuai81NUpNeWllSFBQdnVNWFhmZGxTKysrSUp2dnZtR0cyNjRnVldyVnJIbm5udXl5eTY3MEtKRmk1VGJPZTIwMHlyc3Z3RTRCcmlBREY3M3ExZXY1bmUvK3gxRlJVVmNldW1sVEo4K1BXWGlkOW15WlZ4MzNYVk1talNKb1VPSDhwdmYvSWI3NzcrZjhlUEhjOFVWVjVUcCs4b3JyMUJjWE15WU1XTTQvZlRUR1RkdVhKbmxCeDU0SUNOSGp1U0JCeDZvTUJJOXlhMFpPc2JxbnBkdnF5ckpQQlU0cUpMbGtpUkprclJWTWNrc1pVRmlJcXpISDMrY1gvLzYxMEJwQ1kyWFhucUpWYXRXbGZUTnpjMU5XUktqWmN1V0xGaXdvR1RVWU1LY09YUEl5Y25obUdNcWxtdmRkZGRkR1Rod1lJM2pqS0tJMjI2N2piRmp4MWJZVDVibEFha3lmcWxxdDVadmkycnd2S2JicXVsNmRkMStIdENCOU8vWlJZU3lHVzFJZmQ2eTZwRkhIbUhJa0NHODk5NTdEQm8waUZOUFBaWDc3cnVQeXkrL25JNGRPNWIwdSs2NjZ6ai8vUFBMckh2a2tVZXkvLzc3YzhFRkY5Q3FWZG5CM2w5ODhRVlRwa3hoaHgxMktCbXBQR3ZXTEw3KyttdjIzbnR2RGpua0VJWVBIMDZiTm0zbzE2OGZzMmZQWnRDZ1FXWEsyUUE4OXRoalpYNFIwSUEwSlpSTFNhV20xMkdKYWRPbU1YWHFWTTQ4ODB4MjNYVlhsaTlmenJKbHk5aGxsMTFTZnY0blRacEVMQmFqU1pNbURCOCtuSGZlZVljZi92Q0haZnFzWExtU2Q5OTlseVpObWpCeDRrUUdEaHpJN05tejJYMzMzWUZRdnVlcXE2N2kzbnZ2NWJ6enp1UGJiNy9sOU5OUHIvQWVBR3NxaXpzTFdoQStTenRuT3hCSmtpUkphaWdhVk5aSTJsckVZakcrKys0N1pzK2V6Y01QUHd4QTY5YXRPZkhFRTduNDRvdjU4c3N2R1RBZ0ROUk5KS1JUYlNOVjR1ZU5OOTZvdEJ6R3RHblRlT2loaDFJdSsvcnJyNWt5WlVxWkVkWHZ2ZmNlenozM0hQLys5Nzk1NElFSEdsS2krUTVnQ1JVbndrc2swT3JTRG1HVVlrTnE3d2M4REpRZG1sNjFUWlNXeTVnRHpDQ01ZdjRoTUtJVzI2bFg3Nzc3TGw5Ly9UWGp4NDlud29RSkFFeWNPSkUrZmZxd1lzVUtXcmR1WFhMZGZmcnBwN3p5eWlzY2ZQREJKZXZQbVRPSGJ0MjZrWmVYVjJIYlhicDA0YkxMTHVQUVF3K2xSNDhlQUNXL0NHamR1aldEQnc5bXdZSUZiTnk0a2Q2OWU1T1hsOGR2Zi90YnJycnFxcEp0RkJZV2N1S0pKM0xublhmeTNIUFBWZnA1ekpLbmdOOVQvZlZjM2V0cEFQdnV1eS83N2JkZnljYmJ0MjlmWmIzNFpCMDZkS2lRWUFaNDVwbG5PT21ray9qTFgvNUNqeDQ5R0QxNk5Jc1dMYUpYcjE1TW5EaXhwRVJHdTNidDJHT1BQVGp1dU9PNDhjWWJHVE5tREljZmZqajkrL2RQakZUZnY0Ym5aSFA0SlhCUnRvT1FKRW1TSkVtYjMwQmdZZE9tVGFNbm4zd3l5cllMTDd3dzJuMzMzYU5WcTFhbFhIN3NzY2RHNTUxM1hoUkZVWFRhYWFkRm8wYU5TbnRmZSsrOWR6UisvUGdvaXFKbzhlTEYwZHk1YzZNVksxWkVCUVVGWlI0OWUvYU1ycnp5eWdydGlVZHhjWEhhTVdUQ2l5KytHTFZ0MnpZQ3ZnUUdaL2w2MnR3R0FwK1JPa2xlL3JFR3VCOFlDblFuMUhKT0xnRndKTEJpKysyM2oxNS8vZldzdnFkUkZFVW5uM3h5OVBqamowZTMzMzU3MUxadDJ6TExGaTllSEYxenpUVWxyNmRNbVJMdHR0dHUwYVpObTZJb2lxSWxTNVpFUURSMTZ0UmE3WFA5K3ZVUkVFMmZQajBxS0NpSWpqcnFxSkpsL2Z2M2oyYk1tRkh5K24vLysxOEVSSC8vKzkvVE9ieU1lK3V0dDZMdTNidEhRQUdoWEVhZFZiYXY1NTkvUHZybW0yOHFqZVdERHo2SXJyNzY2aXJqUGVxb282TFBQdnNzYXRteVpSUkZVVlJRVUJETm5Ea3pPdUtJSTZJYmI3eXhRdjkxNjlaRlAvLzV6Nk9PSFR0R0F3Y09qUDc1ejM5R1VSUlZPdm82Uzg0amZOWVdaenNRU1pJa1NXb29Hc3l3UkdsckVvdkY2TldyRjYxYnQ2NjBUeUt2a3FqZm5BbmR1bldqVzdkdUtaY1ZGeGVUbTV0THMyYk5NclkvMWJ0RXNuRXRZZFR5M2NBL2dQWFpES3FtRml4WXdQcjE2eGt4WWdTMzMzNTdoZVhkdW5YanNjY2U0NFFUVHFCNzkrNGNjTUFCZlBMSko5eC8vLzJNSGoyYTJiTm4wNlpOR3dZUHJ2bDNEaXRYcnVUTEw3OEVvR1BIampScjFvejE2OWZ6OE1NUGM4SUpKL0RqSC8rWU04ODhremx6NWhDTHhaZ3hZd2JkdTNmbkY3LzRSY2FPdTdGNDZxbW4rTk9mL3NTUlJ4Nlpjdm1zV2JPWU1XTUdwNTEyV3NvUnoyKysrU1lISFhRUTIyeXpEUkRxWVQvMTFGTnN0OTEyM0hERERSeDg4TUZzMkxDaHpEcExsaXpoaVNlZTRKMTMzcUZ6NTg1VjNpTWxTWklrU1EySFNXWXBDNklvWXU3Y3VTVjFZc3Q3KysyM1M1TEJtVXd5VjZXb3FHaXo3RWNaVVFETUExNEQzZ0RtQXU5bU5hSTAvUEdQZitUbW0yOEdTcjlVS2U4SFAvZ0JGMTk4TWZmZmZ6L05temRuOTkxMzUrbW5uMmIwNk5ITW5EbVRILzNvUnluTHVLeGJ0NDRQUC95UWp6NzZpSG56NWpGdjNqemF0bTNMd0lFRFMwcG5iTC85OWdEc3RkZGVUSnc0a2VPUFA1NEREamlBU1pNbU1XM2FOUGJmZjM5ZWZmVlZ4bzRkbTZwRzhCWXZQeitmd1lNSDg1dmYvQ2JsOHR0dnY1M2k0dUpLUzJvODhjUVRYSDc1NWF4Zkg3N3o2TmF0RytlY2N3NEFpeFl0WXVQR2pSVzJQVzNhTkdiUG5rMnZYcjB5ZUNTU0pFbVNwUHBta2xuS2dpaUs2TisvZjBsOTJQS1dMRmxDY1hGeHltWGxQZlBNTXd3ZlByek9NUlVYRjFlYTZGT0RzWXhRbS9reFlDSHdGYkF4cXhHbGFlSENoWnh6empsc3UrMjJRTlZKNXJGangvSzN2LzJOdG0zYnNzc3V1NVFzZStXVlZ4Zy9mbnpLOVZhdFdzVWhoeHpDTnR0c3cxbG5uY1ZOTjkxVWtsUis0b2tuYU4yNmRja28yVjY5ZXZIeHh4L3ovdnZ2bDB4STkvbm5ueE5GRVZPblR1VVBmL2hEeG82N01ZblhRcTVTWmUvYmloVXJPT1dVVThqTnpVM1pwNnA3alY5NFNaSWtTVkxqWTVKWnlvS2FKSkFUZmFvYnlmenFxNjltSk1sY1ZGUmtrcm5oK2h6NE9UQ1RNS0ZmbzdmenpqdVhlVjNaWjZKWHIxNFVGaGF5YU5FaXZ2ZTk3M0grK2Vlejg4NDdzMnJWS2hZdVhNalFvVU5UcnRlcFV5ZGVmdmxsQmd3WVVHR2s4OGNmZjF5bWJFeVhMbDFLbnUrNDQ0NE1IejZjd3c0N2pMbHo1OUtuVHgrNmQrK2U3bUUyYWpXNVQxV1dFTjVtbTIxS3ltUVVGaGJXNnQ1aWtsbVNKRW1TR2grVHpGSVcxQ1RoVXRPa3pBY2ZmRkRsOHVMaTRob2xiV3JhVDFueGRmeXh4U29zTEV4NS9mWHMyWlBCZ3dmVHUzZHZBUGJmZjM4QUhuMzBVVTQ4OFVTYU5tMWE2VFlIRFJxVXN2M05OOThzS1prQlliVDBKWmRjUXA4K2ZRQjQrdW1uQWJqcnJyc1lQWHAwZWdlMEJkaTBhUk16WnN4Zzh1VEpLWmZQbmoyYndzTENhcmRUVkZURXBrMmJLclJWcG55ZFprbVNKRWxTdzJlU1djcUM0dUxpYW1zeWI3ZmRkZ0RrNXVheWR1M2FTcmYxL3Z2dmwweGFsa3FxQkU5bC9Vd3lLMXNxdTA3YnQyL1A2NisvWHFIOXhSZGY1UExMTHk5NWZlV1ZWM0xDQ1NkVXFPVzdmdjE2M25yckxiNzN2ZS9Sb2tVTGxpNWR5Z3N2dk1ENTU1OWYwcWREaHc1Y2RkVlZGZll4WThZTTdydnZQaUJNR05paVJRdnk4dkxTUHNiR1p1UEdqZXk3Nzc1TW1EQWg1ZkxiYjcrOUpDRmZsVlR2N2FaTm15Z29LT0NQZi94am1mWkZpeFpWZWIrVEpFbVNKRFZNSnBtbExOaTBhVk8xTlprVEl3UzdkKy9PblhmZXlVc3Z2VVRQbmozTDlKczVjeWFMRmkzaXFxdXVxalRHdG5KeUFBQWdBRWxFUVZUSnZHSERocEtKdDZwU1ZGUlVvMUdKVW4wb0tpcGk0OFpRWHZxRER6N2dsbHR1cWJMLzdObXp1ZTY2NjREd2VYbjg4Y2U1NVpaYmVPMjExOHFNVW83RllyejIybXNNR3phTVZxMWFzV2JOR2dvS0Nqanh4Qk9yM1A3YXRXdnAyTEVqTFZ1MkJPQVh2L2dGdSs2Nks5ZGVlMjFkRHJOUk9mUE1NNnVjZ08vb280K3UwVWp2b3FJaSt2ZnZUMUZSVWNrRWlnVUZCUXdaTXFUQ3hIOXZ2dmttT1RrNWRRdGNraVJKa3JUWm1XU1dzcUFteWR4RW4zSGp4akY5K25UR2pSdFg0V2Zrc1ZpTXZmZmVtOXR1dTYzUzdiUm8wWUtERHo2NDJ2MDFiOTY4VEhKTzJweUtpb3JJeTh1anNMQ1EzcjE3TTNyMGFMcDM3MDY3ZHUzcWxIUnMyclFwRXlaTVlPVElrZXl6eno0c1g3NmMzLzcydC9UczJaTVpNMmJ3eUNPUHBGeHY2ZEtsZlBmZGQ1eDc3cmtzWGJxVUo1OThrbGdzeHVHSEg4NWhoeDJXZGp5TnlSNTc3RkhsOHNTdkxhclR1WE5uM25ubm5RcmJmdW1sbHlyMDNYUFBQZGx6enoxckhxUWtTWklrcVVFd3lTeGxRYytlUGF0TS9CNTU1SkhzdSsrK0FMUnAwNGJISDM4ODdYMjkrdXFydEdqUm90cCs4K2JObzNYcjFtbnZSNnFMbzQ4K21yRmp4NVpNMGxkZGdyTzJkdHh4UjI2NjZTWmF0bXpKNFljZkRzRGd3WU5wMnJRcFBYcjBvRTJiTmxWT3N2blFRdzlsTko2dFNhcnpXdDJFcHBJa1NaS2t4c1VrczVRRnlmVmdVeGszYmx6RzlsV1RCRE5nZ2xsWlZWVlpoa3o1eVU5K1V1WjFUazZPbzJZbFNaSWtTY29BQ3g5S2tpUkpraVJKa3RMbVNHWkprclppTVd0WFNKSWtTWkxxeUpITWtpUkpraVJKa3FTMG1XU1dKRW1TSkVtU0pLWE5KTE1rU1pJa1NaSWtLVzBtbVNWSmtpUkpraVJKYVRQSkxFbVNKRW1TSkVsS20wbG1TWklrU1pJa1NWTGFUREpMa2lSSmtpUkprdEpta2xtU0pFbVNKRW1TbERhVHpKSWtTWklrU1pLa3RKbGtsaVJKa2lSSmtpU2x6U1N6SkVtU0pFbVNKQ2x0SnBrbFNaSWtTWklrU1drenlTeEpraVJKa2lSSlNsdHV0Z09RTnFmaTRtTGVmZmRkMnJWcmwrMVFWRXZ2dlBNT2hZV0YyUTVqaTdGeDQwYm16Sm5EK3ZYcnN4MkthbUgrL1BtK1o1SWtTWktrQnNja3M3WXFtelp0NHJycnJ1T21tMjdLZGlpcXBZMGJON0p1M2Jwc2g3SEZXTGx5SlJNblRpUXZMeS9ib2FnV0Nnc0xXYkZpUmJiRGtDUkpraVNwREpQTTJsb3NCejRIMm4zMzNYZlpqa1YxOHlYd1ZiYURhTVNXQU11S2k0djU5dHR2c3gyTDByY0srRFRiUVVpU0pFbVNCQ2FadGZWWUFvd0ZPbWM3RU5YWk1tQlJ0b05veE9ZQnh3SHRzeDJJNm1RRjhHNjJnNUFrU1pJa0NVd3lhK3NSQVIvR0g5TFdyQmlZbSswZ0pFbVNKRW5TbGlNbjJ3RklraVJKa2lSSmtob3ZrOHlTSkVtU0pFbVNwTFNaWkpZa1NaSWtTWklrcGMwa3N5UkpraVJKa2lRcGJTYVpKVW1TSkVtU0pFbHBNOGtzU1pJa1NaSWtTVXFiU1daSmtpUkpraVJKVXRwTU1rdVNKRW1TSkVtUzBtYVNXWklrU1pJa1NaS1VOcFBNa2lSSmtpUkprcVMwbVdTV0pFbVNKRW1TSktYTkpMTWtTWklrU1pJa0tXMG1tU1ZKa2lSSmtpUkphVFBKTEVtU0pFbVNKRWxLbTBsbVNaSWtTWklrU1ZMYVRESkxraVJKa2lSSmt0Sm1rbG1TSkVtU0pFbVNsRGFUekpJa1NaSWtTWktrdEpsa2xpUkpraVJKa2lTbHpTU3pKRW1TSkVtU0pDbHRKcGtsU1pJa1NaSWtTV2t6eVN4SmtpUkpraVJKU3B0SlprbVNKRW1TSkVsUzJrd3lTNUlrU1pJa1NaTFNacEpaa2lSSmtpUkprcFEyazh5U0pFbVNKRW1TcExTWlpKWWtTWklrU1pJa3BjMGtzeVJKa2lSSmtpUXBiU2FaSlVtU0pFbVNKRWxwTThrc1NaSWtTWklrU1VxYlNXWnB5OUVhaUdVN0NEVm9iYklkUUIwMDV0aFYvN3ovU1pJa1NWSVdtV1NXdGh6dGdWbkFqOU5jZndMd1N4cEhvbWI3RkcyN0FrM1QyRlk3NEI2Z1g1MGlxcHVqZ0cxcnVVNFg0SElndHhiclhBcmNEYlNxNWI0YWdyckV2aTN3TUxCVFJpT3FIeTNqai9KMlQzTjd2d2JPQlBMU2pxaHUyZ0REMGxqdmJHQlFMZnJYOWY0blNaSWtTYXFEeHBCTWtsUno1d0tqZ1QzS3RUY0JqZ1VlcVdTOUdMQUFlSWVRYUY1ZXpYNWlRSlIrbURXeVBiQXMvbnhuWUNsUUVILzlEMkFWSWVhRVVjRFR3TzlxdVovbXdEcWdMekF2eGZMTmNheC9JaVRVbml2WDNpVCt0eWpGT2oyQjQ0SDlnUGRxdUo5ODREUGdWTUs1U3ZZRHd2ditTUTIzdGJuVkpmWXh3QzJFejhEejFld25CeWhPUDh3YTJZNFFiMkkvZlNpOTlub0NMeExpVGU3L3kzaS9yMnU1cjJzSW41L2pVeXpiSE5kMkcyQWxjQW13c2R5eXBzQ0dTdFk3Qy9nWGNGb3Q5cFh1L2ErMnpnT3VJMXlQTzJab201SWtTWkxVcU5WbUJKeWtodUVRNEhSZ1pvcGxIWUExd0cvS3RlOEhIQTBNQkM1T3NkNlBDRDgzSDB2MUNlYS9BTTBJeWI3NlRGQk5CUjRGVmdNbkFQOGxqTW9FV0EvOEIzZ3NxZjlld0d0cDdLY3cvbmR4aW1VSEE1TUpveU5ybTl5cmpRM0FHOEFmeTdWM0pKeUhFNEQvbFZ0MktMQW5xUlBNRHdQdkU2NkY4aFlURXRvOWs5cnlnUEdFYzMwUTJVMDAxMGZzWnhIZXgrb1N6SDBJMTl3b0twN3ZUQnBHU0lhK1NCaUJleWF3RzdDRThFWEtlc3BlQzcyQndhUjNEUmFTK3RyT0o1enJsNEMvcGJIZG1rb2trVytrNG50NkErRUxsUE5TckhjTThHeUs5dnE0LzBtU0pFbVM2c2drczlUNEZBRURnT1BpcjVOSEkzWWkvTlQrQ2NMSTMzWHg5dkxKeS9MT0k0d2FIRk5OdnhpbFNlZ0J3TnMxanJyMm1nQVBBdThTa2tOVHk4V1JTbVVsQWZZbUpQSStwZlNjSkNUS0JwMUh4WkdXQUU4U0VueXBFbDZaVWtUcTJOY0RYYW45ZWQ0ZWVJcHcvc3FQVmkwa0pDc2ZqYjlPSFBPa1d1Nmp2bVE2OWdPQTdvVDN2WHp5c2J5bThXM3ZUempuOWZVbHlpYkNjVXdtSkpDUElpU1lvZmJYZGhQZ2FxQUY4Q1VWWTk2SDhHLzloQlRyemlTVUg5a1crTGFHc2RkV3FsSDR5Y3VXcHJHOVROLy9KRW1TSkVsMVpKSlphbnlLS1p1NG1VVW9FZkU4SVVGM0ZtSFU0QUhBT1lSRTFsUXE5MlBDYU1vakNNbXZxaHdDL0R1dHFHdXZxbGlhRStKT3JyRzdFNVgvOUg0bXFVYytRcmdQWGswb1daRTgwckl2OENHbEk1MnpvWkNRUUVzazBab0Jmd1grWE0xNnlkZklxY0NCd0RoQzB1MUF3bkUrQnR3RmZBejhBVmlieWNEcklKT3h4NEJyQ2ZWOXF5dVZzQXZoUEMrc1ErdzFWZDIxdlMxbEUrTGJFVXBPcEZKRTZnUnlRaXZDZFRNNXFTMFg2RVhxOGpDYlV5RmxTNU1jVGhpaFA3NktkVEo5LzVNa1NaSWtaWUJKWnFueHlhRTBTVFVBNkFITWpyL3VBY3duSk44K0p2eDgvSlY0djFRSnBYekM1SEVuRUNiT093djRodFRKMm83QUNFSkM1KzRNSEVkMVV0WEZUWXk0UEIvNGpqQnAzNWVFRWFoL0ppU2ZPaEdPSVZWeWVEL0NxT1JraVpITXY2SjBaR3d6UXVMdVJXQWsxU2ZmTTJVL1FzbVNCWVN5Q2JtRUVheUpoR01PSVFsNklPSDlyVXp5TlhJRW9meEVZbFJuRDhMSTN3MkU1TzMvRVJLT1A4L1VRZFJSSm1NZlE2Z3ovZ2poSExZbmxOVklkVzBOSlZ3L1B5RmNXL1VwMWY1YkVvNzdNOElYSE8wSTczVitQSzVFWXJVcnBhT2VrelVsMUMvT0w5YyttSEFkSlNldER5RmNhMFBaZkFuWVBFTEN2d253UmJ4dEw4cCtRWkJQcUxYK3ZTcTJrOG43bnlSSmtpUkowbGJyWUVxVEtuOGhKRzRTTGlmVVdVMzJCMEt5WlJLaDVteXlhd2tqZ2hNcSswaytoSi9qYjA3dkFmM2l6eDhDZmtvb29mQW5Rc0xzWVVJeXRnMXdCM0JodkgwMmxZLzBiVVdvZmR1c2hqRTBUeWZ3TkZ4RjZwLzBOeU4xYldJSUl6N2ZxR1RaYTRRNjI1MEpJMkRieDl2ekNZbjAzWlA2OWlXVUN0bWRNRWxjdG1VcTlwMEpaUk9heGw5WGRXM0Q1cjIrajZPMG5uaHZRa21ZUG9TRStHL2lqeFdFRWRqOWdjZmpiVmNUemttM1NyYTdLMkUwYjAzVTlETlFWN21FRWVLdFVpeWJUT1VsVEtaUjl0NlVrTW43WDdyT0l4eFRxbHJYa2lSSmtyUlZjaVN6MVBqa0VVWnl0aWFNTEg2STBrVE5zWVM2dzhtSm02OElFK2J0VDBpOC9ZSXdTblk0SVZuelA2cXZWVXQ4dlJuQUtYVStncHBKVlErM2tGQTdlZ3BoSkdzcndzakhmTUxrWldzSW95T2ZybVNiUStPUGQydXcvNWFFY2cwSEF4L1ZKdkFNMkFWWWxLSjlNR0gwYm5VUzE4aElRaUxzRi9IMkxvVHpPb3lReUUxMkJTR3hld3loSm5LMlpDTDJwb1NSNmFNSkU3N3RXTTArZDRqdjcwamdyVG9mUWZWU1hkc2JDQ08yRTE4Mm5Fc284YktPTUtMNWo0U0U5TDZFMGM2cDNFU1lJTE1tSSsrSEVZNzEzQnBIblRrOXFUZ1N2d3ZodjBtcVM5eG02djRuU1pJa1Njb2drOHhTNDVOSFNKS3NKb3owWFJGdmJ3SmNESnhFelJKbDd3R2Z4SisvVFBnSmUxV1RmeDFPS0IreHVhU2FBSzJZOEhQNTNQamZ5a2FuVnRaZVJFalVKVTl3bUV0SXlyV203S2poZnNEcGJQNEVNNFNScmdjU2Z1ci9UMExTTEljdzhuTUUxU2VCRTlmSWRZUlIzb255RCtjVEV2Ui95SHpJR1pPSjJEc0FGeEVtVHZ3dlliVDdZaXF2cnowWStDSGhDNWZOb2JKckc4cit1NXpxT3E1cVJIWlh3bWQvU2xMYlZZUlJ5K1cvU0JwTUtFV1NEYThUZnBIUWt2Q0Z3RzhJOTVkdDQzRlZWUWM5VS9jL1NaSWtTVklHbVdTV0dwOFdsQ1pEVnlTMUh4SnZUMDZ3NUJJU2sxY1FSdndtK3lUcGVVMlNhNmtTWS9VcDFmN3lDRFZ6K3dEZkJ6NlB0K2NELzQrUUxPNUthVzNsOG1wYlc3bW8raTcxWWlPaEZNaTE1ZHAvVDgxR0dTZGZJOG4xaFk4bEpHNlREWTMzZjR5R0lST3hmNTcwZkduOFVaV0ljTDJsR21GY0h5cTd0anRUT3JKNFBTR1oyaHdZUktnUjNnRllYc1YyRzh2MW5RZmNScWlkbnRDTWNMK3FicUxOVE4zL0pFbVNKRWtaWkpKWmFueGFrM3Bpc25HRTVPU0ZsSTZLN0FxY1NhaHorMndkOTd1QjFIVlY2MHNPWVVLM0x3ay9yODhEYmliVUlTNklMNCtBTndtbEVhYkgxNXRNbUF3dWxlb1NXT1UxcVdYL1RLa3NTVjVUcWE2UnZvVGF4WWNEMnlTMS94TDRHbmdtQS92TmhHekVubzFyZTFkQ3plWHRDZGYyZDRSeUg0a2thYUwyZUJmQ2NTZXUzUjBKaWVkVUpSKzJodXM3Vy9jL1NaSWtTVklWVERKTGpVOEhLbzdNN0E4TUlkU2Y3VW1vVXdwd1BYQVBtVW13ckNTVUhhaE1FOExQM3pNMVlqQ1BNTkhmdTRRNnRPMElDYmU5eS9YclJ5aDFzRS84OVI3QUNjQjRRc21GWkcwSUU4bVZMeDF3T2FFMFJySk9WRjZhb0IycEUxMlpVdFdJMmlaVVB3SjFXMkJadWJiZkFWY1MzcU0vRVJKeG5ZRExDQ09DRzBLQ0diSVRlM1hYTm1UMlBjOGovSkxnSmtMNWxoR0VrZm03RTBia0p1d2YzMjlpZEhNT1lkSzVMd2dqdXhlVzIyNGJRcTNsZmtsdDYrS1A4dGQ4TCtEVkZMRmwrbk9jU21YWGQwMlMzdG02LzBtU0pFbVNxbUNTV1dwOGRpTFVtVTFvUXBqMGJqeGhWTzk1d0hQQWRvVDZwQU15dE44dkNCTm5WYWFZTU5IYVVFTHk3UGs2N204OXBUK0xQNE9RNE51ZFVDN2dLMExpYUIxaFJPZlh3SjJVSmh0SFZiTE5Ub1JSalgrc1pIbXlwb1FrWmlyYnhmZjNjWHhiWDlkZ2U3WFJGQmhJeGNSZ2pPcVR6QjJCSllUemwzQUU0ZHlOSkNReFR5T01DcitjY0J5cEpobk1obXpGL2dYaHk0YzJWSjVjemVSN25oL2ZKNFQ0OXlTVWdmaVlNSEhkQU1Kbi9DSENkZjhCNFRNTlZkZWszaDZZUkRpSDFibURzdVVtRWpMOU9VNmxLV0dFOGJxa3RuMnBXUzNsYk4zL0pLbFdvaWphWENXWUdveFlMTGE1UzZ0SmtpUkpxb05YZ1c1SnJ5OERia2g2ZlRnaE9mVXFvWXhFcG93a0pHZ1REcTJrM3c4SlNjTDdxWHFTc3VwVVZiN2c1NFNKM0xZbEpPRjZBcmRTL1VqSSs0R3hkWWdwV1ZOQ292dHI0SUE2YnVzcXlpYStMeVFrK01vckpKUUxnSEQrMzBqUjV5REsxaTd1U0JnTjNpT3A3V1hDUkhvTHFINEU3K2FVemRnL0FnNU9lcDNxK3M3VWUxN1Z0ZDJNVUNQOUFzSUk1dXNKa3hnT3JtYWJQUW1maVV6SjFPYzRsekJ5T2ZtWTF4RkdKQ2U3bExLL1BKZ0cvRGpGOXJKMS8wdDJIdUdZTW5tK0pXMWhvcTFRdHMrNUpFbVNwSnByRGJ5UzlIb1U4QS9LSmxkemdmbnhSMzRHOTkyQk1GSzRlL3oxbFZYMFBaZVFoRGsxZy90UDJKdVFZRXpVWGY2T1VGTGdGOEIvZ0IwcVdTOFArSkJRQ2lCVFdoRkdqWDVPM1NaR0xKOWtIa3lvdlZ2ZXNLVDlIRW9ZdVpscVcwZkduN2NHWGlLVUVrajJDOEw3azZtRWU2WmtNL1liZ2R2anoxc1NSc2Fta3FuM1BKVWM0RkZDU1JBb1RUSTNKN3pYVlIzenI0RkxNaHhQSmo3SHFaTE1QNlhpdWR1VHNwL2RhWVRyUFZrMjczL0pUREpMcWxhMkU3N1prTzF6TGttU3NzdHlHVkxqTWdMNGUvejVUd21UaDUxRWFZM1QzUWdqZWw4Z2xJYVlTVWlJdkVMZGZRUGNEZHdIREFjR1ZkSDNiOEQvQTNiSndINlRIVVlZMVhrNElZbVU3QzdDVCtQbkFYOG1KSitTKzV4QkdQRzROb1B4ckNFa1JtOGlKQ2JYVk4yOVVqbkFYbFFzajVIS2J2Ry9pY2tReXhzSS9CWm9TeGdaZWpZaHVRNGhHWGNPSVZGN0xtR1N4SjNqL1ZLVlR0amNzaG43OVlSUjAxTUlJNVdMSyttWHFmZTh2T2FFY2h5enFWZ1NvNERTWHhLY0JGeEwrRXdueWsyMEFINUMrRnhtVWlZK3h6bnh2NytpYk8zczg2dFpid2NxWHQvWnZQOUpVb05YVkZSRVRrNE9WcTJRSkVtU1ZKVVk4SmY0MzU5UjlxZjl1eEJHWXQ1TGFRM1NHQ0VadDVxUWVQMHJJYkhUcVE0eGJFTW8wYkFVMkVBb0gxQ1pYY2hjT1lOYzRDeENHWW55aWFlTlFPZWsxK09CdVlTNnNnbTdFNUpQOVNFR2ZLK08yL2dqTmFzVG5leFFRb21IWkVjVGFoaDNKeVQxRXFOSGN3bEp5bWNJaWRyRSs5YVRVRlpnRGFFTXhPWHhiV1JEUTRoOURLSGU5V0xnOTFYMHk4UjducXcvNGYwdi84WE54WlM5Ym5zUlBuODNFQ1lNVFBnellTUndmYWpyNTdnVkZVY3kxOFEwd3Z1ZTBCRHVmd21PWkpaVXJVeU1EUDdrazAraXFWT24xcmovL2ZmZkh4MTQ0SUhSb2tXTGFyMnZzODgrTzVvK2ZYcUY5dHR2dnoyNjRJSUxvcFVyVjFhN2pXeWZjMG1TbEYxK3pTMDFIa2NRa2lXZkVYNEdYa1JJd3V4QW1LenNTZURMRk91MUIwNEhma1JJMHFVcXNWQWJMUW1qRzBjREp3T3YxM0Y3TmJFellTVDE2bkx0T1lSanVwbXlveVNUSjhkclFwaGs3SzlVUGpvMTIwNEYzZ09tMTJLZDNRbTFpcCtOdjQ0QnZ5VFVOTTRubkk4QmhOckIyOFMzL1JxcEp3MDhGQmdITEFNbUVFYk9iazROS2ZaOUNNbmRRc0xvNE0xaEFQQk9pdmJEQ2FPcWt5ZkVLei94NHlHRXo4YmI5UlpkM2JRREpoSytJS3Bxd3NyeXhoQW1IVXhNc05oUTduOFFrc3pYeFdOSlZkWkdra29tL3Z2a2swOTQ5TkZIaWNWaU5HbVNldXFJd3NKQ21qUnBVbUVFOHMwMzM4enk1Y3Q1N3JubjJHKy8vYXJiSDN2c3NRZGZmdmtsYjcvOU5wMDYxZTQ3dGY3OSszUFJSUmN4Y3VUSU11MkhIbm9vclZ1MzVxR0hIcUpwMDZyR0ZqanhueVJKa3RSWXBQb1A5K29tdXRQV3BmdzEwcGl1ajhZY3UrcGZRN3IvT1pKWlVyV1NSL2pPbXpjdldyMTZkY3JSdjQ4OTlsZ1VpOFdpdDk1NnE5YWpqNVBkZGRkZFVlZk9uYVAzM25zdk92MzAwMnU5L3FCQmc2TFpzMmVYYVZ1d1lFSFVva1dMQ2lPakowK2VISDN6elRjVnRwSHRjeTVKa3JMTG1zeFM0NUhxUDk1ck16SlFXNzd5MTBoanVqNGFjK3lxZjk3L0pEVmF1KysrZTZYTEprMmF4SWdSSXhnNGNHRGEyMSt5WkFrWFhuZ2hEejc0SUgzNjlHSGZmZmRsL1BqeFhIUE5OVFhlUms1T1Rzbnp3c0pDY25OenVmNzY2K25TcFFzUFB2aGd5YkxGaXhkenh4MTMwTHQzYjQ0K09sc1Z0aVJKa2lSSmtobzNSekpMcWxaTlJnLy84NS8vakdLeFdQUy8vLzJ2MWlPUEU5YXVYUnZ0dmZmZTBaLy8vT2N5N2VlY2MwNTA1cGxuUnBzMmJhcDAzUmRmZkRHYU5HbFNOR25TcEtoYnQyN1IyV2VmSFkwWU1TSTY0SUFEb3BrelowWkhIWFZVOVB6enowZi8rYzkvU3RZWk5teFlOSEhpeEpUYnkvWTVseVJKa2lSSmFpeE1Na3VxVm5YSjRlTGk0bWpJa0NGUkxCYUxSbzhlSFJVVUZOUTByMXppMjIrL2pRNDY2S0Rvc3NzdXE3Q3NxS2dvR2oxNmRMVDMzbnRYS0lPUnNIYnQybWpEaGczUnhvMGJveFl0V3BUMEt5b3FpczQ0NDR4bzJiSmxVV0ZoWVRSczJMQ29vS0FndXVlZWU2TGRkdHN0V3I5K2ZjcnRaZnVjUzVLazdMSmNoaVJKa2phblhZR3V3QmZBeDBudEI4Yi92Z0dzalQvdkF2UUV2Z1BlcDNTUzF6MkJWc0FpNE5ONFd6dkNwS2pFKzM0WGY5NGQyQWxZUStua2ovbnh2dTNpTVh3UmIyOEo3QlYvL2xwU2JEM2pzVlFXOC84QkcrTFB1OGFQOFR2Q3BLNkY4ZmE5Z1dZcFl1NUxtSmkydm1KZUFueFN3NWkvamNkUlB1YjV3T2Z4dG0zamNSVEhqMjlWdkQzeHZpYkgzQ3pldHczd0liQTAzdDRXU05TSFNJNTVONkJUUGNYY2wzRDl2SjhpNXU4b25VQTEzWmdYQXd1cG9ULzk2VTk4K3VtbkRCOCtuS1pObTlLc1dUT2VlZVlaRGpua0VGcTJiRm50K3ZQbnorZUVFMDdnakRQT1lOeTRjUldXNStUa2NNRUZGL0RJSTQrd3p6NzdjTWdoaHpCdTNEaU9QUEpJV3JWcUJVQ0xGaTBBbURsekp1dldyYU80T015UC9PeXp6M0xKSlpmUXNXTkhBSDcrODU5ejNISEhNV3ZXTEY1NTVaV3FKZ0RzUURoMzZ3bm5lVTI4UFhHT3ZpRmNNd0F0NG4xYnhmdCtGVzl2RC9TTFAwOCt6N3NESFFtZm5VVko3UWVtNkxzVDRUT1V2TC9rdmg4UUpnd212czNkZ1hYeHZ1dmk3WDNqeDFNKzVyN3h2L1VWODFmeGJaZnYreTZ3dkZ6TWErSjl5OGU4bEhEdFFqaS91OGRqZmk5K1BBRGJBNzFUeEpIWXhrSkt2MHh0QXV5WG91L09oQWx3NnlQbXZvUjczdnNwWWk2a2RMTHNuUGgyYXh0ejh2NlNZLzRmc0RMK3ZCUGgybDBWajJOOXZQMTdoUHR3OG4ycVRUeU9mTUo1L2piZXZnTmhvdTd5TWZjbDNKY2FRc3k1OGI3bFkxNFB6SXkzNWNiN2JodGZmMG04dlNrd09FWE10ZmwzWHBJa1NaSzJTbzVrcnJzcmdDK0I4Z1ZqdjR3LytpYTFuUnh2ZXh6WUxxbjlwWGo3K1VsdFF3aUp3cmZqenhQT2ovZDlLYWx0dS9nMnY0enZJNkZ2VWh6SnJxa201cTVKYmFja3hkd21xWDFXSlRGL1VNOHhYMUdMbUIrb0pPWlRrdG9PVG9wNVVGTDc1U2xpN2dZOEYyOC9JYWw5bjBwaXZyNGVZMTRZWDVZcTVzY3pFUE1seVkxVmpVQ2VPM2R1MUtKRmkraTExMTZMeG80ZEc0MGZQejZLb2loYXNXSkZkTkpKSjBXdnZmWmFwZXNXRlJWRk45OThjM1RjY2NkRlR6LzlkSFR0dGRlbWZFeWVQRGxxMTY1ZE5IejQ4T2pWVjErTmV2ZnVIUUhSaUJFam9wVXJWNWJaNXFSSmt5SWdHajU4ZUhUbm5YZFcyT2VDQlF1aVpzMmFSYWVlZW1wVmh4VUJSOGJQODFUS2ZvNFQ1K2pPcExZZWxINk9rNHM3SDFuSmViNDUzdmFiY3UycCt2NG0zblpYSlgyUFQybzdPdDQyTlI1VHdwMlZ4RHkxbm1PK3VaSytSNmFJK2FWS1lyNCtxYTF2VXN6SjJ6aStramp1aXJlZG5kVFdwcEsrbDlSanpMTUkxMUtxbUQ5SWFtdWFac3pYbDJ0UDlOMG5xZTJFZU50emhQdENRdUkrZkhsUzI2Q2ttQTlPYWsvY3A4ckgvRUFEaXZtRFNtS2VWUzYyUk16Sjk5YXVsY1JjbTMvbkpXMUJITWtzU1pLa3pTbVhNRm8wcjF4N3MvamZXRkpiazNoN2ZybjJwdkgyNVArV3pZbTNKNTZYMzEveThNdFlmSnZONHZ0SWJtOUdSWG0xaURteHY1ckczQ3pwZVgzRVhQNi85OU9KT1hsL2xjV2MyRi81bUt2Ynh1YU11V2tsTWVmWFE4d3ByVjY5bXBFalIzTE5OZGR3d0FFSGNPKzk5NVlzYTlldUhiZmNjZ3ZEaGczais5Ly9QbGRlZVNWNWVhV1gzTUtGQzNud3dRZlpiNy85T1AzMDB5a3NMR1NISFhhZ1o4K2VKYU9TazUxL2Z2ZytJemMzbDNmZWVZZm5ubnVPbi96a0p4WDZQZlhVVTNUbzBJRUpFeVl3WnN3WWlvdUxHVHQyTEFEdnZmY2V4eDU3TERmZGRCTTMzbmdqWjU1NUpwTW1UYUp0MjdhcERpLzU4NXJwODV5NDlpdTdOcEpWZDQ5SjNsOWw5NWg4VXNlYzZqT1l5Wmp6SyttYmZENFRNVGV0Sk9iazQ4NnBKT2JFTnNxcjdqTzR1V0pPZFcwa3RyR0JzdEtKdWJKckl4TXhwOXBHK1pnemVUM1hWOHlWL2Z1VFc2NDluWmhqU05vaStlR1dKRW1xdWZPQTY0RFBDRDlmVmUzMW9QUm50QjhsdFI4VS8vc0dwVCt6N3dMMElwUXptRWRwdVl5OUtDMlhrZmdaZWp1Z1QvejVQRXBMVCt4RWFlbUpOK0p0K2ZHKzdlSXhKRXBQdEtLMDlNU3JTYkgxb3JSY1JxcVkvNC9TbnlWM2pSL2pkNFNmaXlmS09BeW10RnhHY3N6OUNLVW42aXZtSllUU0VUV0orZHQ0SE9Wam5rL3B6Nk8zamNkUkhEKytST21KeFB1YUhIT3plTjgyaE5GeWlkSVQ3U2d0UFpFY2MyOUt5MlZrT3VaK2hPdG5Yb3FZdnlQODVMd3VNUzhHRmlRYVU5VW9YcjkrUFVjZGRSU0hIWFlZRjE5OE1RRGp4bzJqUTRjT1RKNDh1YVRmMnJWck9leXd3NGlpaUNlZWVJTE9uVHNudGtrc2x0bi9mVnU4ZURHLy9PVXZXYjE2TlgvOTYxOVp1SEFoYjd6eEJ0ZGNjdzJQUHZvb045eHdBN2ZlZWl0OSsvWmx4WW9WakJremh1blRwek5xMUNoKzhwT2ZNR2pRSU5xMENRUEpZN0hZZG9SenQ1NXduaE9mNDhRNStvWnd6VUFvMzlDSGNQM09vN1QwUkFkS1MwOGtuK2MraEpJTHlaOGZLTDAya3ZzbVBqL0orMHZ1bS95K2RveHZlMTI4YjZLTVF6OUt5MlVreDl3di9yZStZdjRxdnUzeWZkK2x0R3hFSXVZMThiN2xZMTVLNmNqWlZ2RytMY3B0b3hPbDVUS1M0MGhzWXdHbHY5akpwYlNNUTNMZlhTZ3RsNUhwbVBzUjdubnpVc1JjQ0V5THQrWEV0MXZibUpQM2x4enoveWk5RHlmMnR5b2VSK0xlTTVEUzBoT0orMVNiZUJ6NThlTk9sSjVJM0tmS3g5eVBjRjlxQ0RIbnh2dVdqM2s5NFo2YmlLM1AvMmZ2enVOanV0NEhqbit5aDlncFFWUlFlNm1scmFYV1VrdlZMclcxUlAxYWZLdkVVcVhVVXFxVzJrcURvaEk3c1JlaGFva3RJWWcwaXRoaWlTMlJSSkE5bWZuOWNXV2F5Y3drazBneVdaNzM2NVZYNWM2OWQ4NU56OXc1OXpublBPZFZtVlBlVzIzNUwxMUd5akpuNUh0ZUNDR0VFQ0pQc0VWN1NwNFErVVVKb0tTcEMxRkFTYm9NSVVTNlVxZVNTRWhJVVBmbzBVTTlmLzU4cmUwcDAyV2tGQm9hcW43enpUZlY5ZXZYVnljbUp1cE5UM0grL0huMXYvLythekI5eGN1WEw5Vmp4b3hKYzFIQjc3Ly9YdjMzMzMrcjMzdnZQYzNDZjdkdTNWSi8rZVdYNnNHREI2dmo0K04xanBreVpZcTZidDI2NmxLbFNxbVhMMSt1Mlc3cXY3a1FJcy9ZQXZpaG0wcEdDSkhIU2JvTUlVUis1Z0Q4SHpBTjNXbHFRdVJsL1ZFNlVSYVp1aUJDWkVBYllETkszZTJKOXFnbklmS3RGeTllOE9XWFgvTEZGMS9RdFd0WG80NHBVNllNcTFldnBrT0hEZ1FHQmxLblRoMmRmUUlEQTVrOGVUSmZmLzIxM25PRWhZV3hkT2xTZXZYcVJZc1dMWFJlajRtSklUZzRtSGJ0MnFGV3E0bVBqMmZWcWxVa0ppWXliOTQ4R2pkdXpNeVpNelVqbFpQTm16Y1BOemMzT25ic1NLbFNwWXk2SGlHRVNLRW15dWhxYVFjSUlZUVFJczhZRGZpaVRETVRJajg1eW4vVDBVWE9rcEhNbWRjR1pjR2ZDUDZiTWl0RXZwUTh1dmYyN2R2cU1XUEdxTy9jdWFOM0pMR2hrY3pKZnZ2dE4zVlNVcExlMXp3OFBOUWZmUENCd1dOdjNMaWhMbDI2dE1IWFhWMWQxVUZCUVdxMVdxMXUzTGl4WmlSenNzcVZLNnNEQWdKMGpyT3dzTkE3d3RuVWYzTWhSSjR4REdVUVVFZFRGMFFJa2JWa0pLb2NWdGNBQUNBQVNVUkJWTE1RSWo5elJzbEpXWTBVZVJLRnlPUHFvYVNCS1F4OEFKdzJiWEdFTU5wNW9EM0ttaUIzMHRsWGlId2hMaTZPaFFzWEdueGRwVktsZWZ6Ly92Yy9nNjlaVzZkZWIwMVhXckhmSmsyYTRPam9hSEMvdEk1TlNrclNXcFJRQ0NFeVlLV3BDeUNFeUI3bTZlOGloQkI1VWkyVWFWaUZnUzRtTG9zUVdha2g4QVpRRkdocDRySUlrUkV2Z1g5UkZrV1NCWDlFZ1ZDclZxMDBYMDh2eVB5Nnh5WWxKUmw4clZHalJwcC9KeVltcGhsVXpzaDVoUkJDQ0ZFd3lVaG1JVVIrTlNERnYvc0NMcVlxaUJCWnFERFFDaVduTFVCem9EZ1FhYklTQ1NHRXlMVEV4RVFTRXhNemRXeENRZ0xCd2NITW1UTkg3K3RoWVdGR256c3BLWW1FaEFTZGJZYkV4Y1ZoWjJkbmZHR0ZFT0kvallFaVFEQnd5OFJsRVVKa0lRa3lDeUh5b3lKQTV4Uy8yNy82M2RNMHhSRWl5eFFCbXFiNHZTWlFBZ2t5aTd5aEF0QU9zQUQrQWg2YXRqaENtRjU4ZkR4eGNabGJtemcrUHA1S2xTb3hjZUpFdmEvZnZIbVRGU3RXR0hXdXBLUWs0dVBqdGJZbEpDVGc1dWFHdmIyOTFuYTFXazFVVkpRcytpZUV5S3c1d052QTd5aTVtWVVRK1lRRW1ZVVErVkVUb0ZLcWJTNUlrRm5rZmRWZi9TU3JBdFFHN3BxbU9FSmtTQTFnSHNwSS9KNUlrRmtJdW5YclJ1UEdqVE4xYkxObXpXamJ0cTNCMXl0V3JNaTllOGF0VVZxMmJGbWRvTEc5dlQwdUxpNDRPRGhvYmZmeThwSlJ6RUtJMTJHRDBoYVF4TzVDQ0NHRXlQVW1Bb21BT3NWUEpGREdsSVVTSWd1c1FidGVxNEVOSmkxUndUTVc1ZTl1WE9SR3BOUUEyQUg4K2VyZlF1UmI2anhHcFZJWnRTMHRwdjZiQ3lIeWpIZUJOaWdMV1FzaDhoRVp5U3lFeUcvS29PU3N0VWkxM1Fib2hBVGtSTjVWREdYMFoyb2ZJM21aUmQ1d0JSZ09tQUhQVEZ3V0lVUUtabVptUm0wVFFvZ3NjTjdVQlJCQ1pBOXpVeGRBQ0NHeVdCbmdQVDNicllFUFgvMVhpTHlvRzFCU3ovYVNRSjhjTG9zUW1SRVBoQUloci80dGhCQkNDQ0dFeUNja3lDeUV5Rzlhb3o4dGhobFFEM2d6WjRzalJKWXdBejVMNC9Vdlh1MGpoQkJDQ0NGRWJqWU1aY0cvanFZdWlCQkNDQ0ZFV282Z203TTIrZWNGeW1oUUlmS2F0NERiR0s3YlQ0QjNURmE2Z2tWeU1tZmV1OEJoNE1TcmZ3c2hoQkNpNFBGRGFVc3RNblZCaEJCWlMwWXlDeUh5azhyQUIybThYZ1Jsa1FraDhwcjNnSEpwdkY0TWFKRkRaUkVpczRvQWI2UE1LaWxpNHJJSUlZUVF3alFlQW5lQWNGTVhSQWlSdFdUaFB5RkVmaklVWllHL3RQUUN4Z09xN0MrT0VGbkNFcWdMRkU1akgxdVVrYUhXU0s1YmtYdmRBWDVCcWROM1RGd1dJWVFRUXBoR0YxTVhRQWdoaEJBaUxYYkFQeGhPSjVEeVIwWjhpcnlrTkhDRzlPdjFQNENEaWNwWWtFaTZEQ0dFRUVJSUlZUklSZEpsQ0NIeWk2WVlIMkJ6enM2Q0NKSEZISUZHUnV4WEU2aWV6V1VSUWdnaGhCRGlkUlFCaXFQTXhCTkM1Q01TWkJaQzVBZG1RR3VncUpIN0R3VktabDl4aE1oUy9Vay9EUXdvcVRKNlozTlpoSGdkSllCbUtMbnpTNWk0TEVJSUlZUXdqVVhBYnBSbk1pRkVQaUpCWmlGRWZsQWFhRWpHOHN4M3pxYXlDSkdWN0lDQkdkamZDVmxRVGVSZWRZQVZ3SnBYL3haQ0NDRkV3Zk11eW1Mc2I1bTZJRUtJckNWQlppRkVmdUFBTk1qZ01kMlJ4VTlGN3RjT3NNL0EvbVdCVHRsVUZpRmVsem5LcUh4YnBBMHFoQkJDRkZTL0FHTlFSak1MSVlRUVF1UnFWa0F4L2xzUXJiVnBpeU5FbG1vS1BBSWlrSUN5S2NqQ2Y1bFhBbWlPc3ZpcXBNc1FRZ2doaEJBaUg1RlJmRUtJL0tZUThBWEtTR1VoaEJDNXh6UGdqS2tMSVlRUVFnZ2hoTWg2RW1RV1F1UTNSWUdlS0drR0FPS0JKTk1WUndnaENpUTdvRXdHandrRFhtWkRXWVFRUWdpUmU1UkhXYkQ2T2NyTVBDRkVQaUZCWmlGRWZtTU9XTHo2OTI1Z0hYRFJkTVVSUW9nQzZSM2dkQWFQYVFONFpVTlpoQkJDQ0pGN0hFQlpUMmN4U201bUlVUStJWXV1Q0NIeU15OWdGeEJ0Nm9JSUlVUUJjdzY0bllIOTd5Q3BOSVFRUWdnaGhNaXpKTWdzaEJCQ0NDR3lXaUt3T2dQN3J3Y1NzcWtzUWdnaGhNZzlHZ0pteUNobUlZUVFRdVJ5aFlCdXdIQ2dub25MSWtSMktBc01Bb1lBbFV4Y2xvSm9MS0FHN3BtNklIbEFIZUFGeXQ4cnJaOFhRRk1UbFZFSUlZUVFRZ2doaEJCQ0NDRnlsQVNaalZjQ09FNzZRZWJqZ0wySnlpaUVFRUlJSVlUSUFwSXVRd2doaEJCQ1pJY1hnQzlLSU5rUU5Vcis1ckFjS1pFUVFnZ2hURzA4c0Fqb1llcUNDQ0d5bHFXcEN5Q0VFRUlJSWZLbEpNQWZKZGhjek1BK01jQkZKQit6RUVJSVVWQU1CQnE4K3ZkdVV4WkVDSkcxSk1nc2hNaHZySUYzZ0ZMQU5lQ3VhWXNqUkpZckRqUkNtWTNrRHp3MWJYR0VTTk5wSUFURFFlYm53Tm1jSzQ0UVFnZ2hUR3c3NEFPY01YVkJoQkJDQ0NIU1VoYjRFNGdBUnBpNExFSmtoM2RST2xEdUFPMU1YSmFDU0hJeVo5d09ET2RqUG16Q2Nna2hoQkJDQ0NHeWlPUmtGa0xrTitaQUVaUUZwMnhNWEJZaHNvTWx5bWptNG9DVmljc2loREhjMDNodFpZNlZRZ2doaEJCQ0NKRnRKTWdzaEJCQ0NDR3kweUhnaVo3dG9TZ3pUNFFRUWdnaGhCQjVuQVNaaFJCQ0NDRkVkb29EUFBSczMvUHFOU0dFRUVJVUhING9LYk1XbWJvZ1FvaXNKVUZtSVlRUVFnaVIzZFlDc1NsK2p3VTJtcWdzUWdnaGhCQkNpQ3htYWVvQ0NDR0VFRUtJZk84K2NCdW84K3IzYThBdDB4VkhDQ0dFRUNiU0Z5aUVralpMQ0pHUFNKQlpDQ0dFRUVKa3R4ZkFlYUQycTkvL0FaNlpyamhDQ0NHRU1KSHJwaTZBRUNKN1NMb01JWVFRUWdpUjNXS0JrMEEwRVAvcTN5OU1XaUloaEJCQ0NDRkVscEdSekVJSUlZUVFJaWY0QW1GQTRWZi9Ga0lJSVVUQjB4c29Bd1FBWjB4Y0ZpRkVGcEtSekVJSUlZUVFJaWY0QTRFb3VabjlUVndXSVlRUVFwakdGR0FGNEdUcWdnZ2hzbFp1SGNsY0NhaG02a0tJUEMwSXVHdnFRdVJpbFlFcXBpNUVOaWtPeEFIM2dMSkFHOU1XSjl2Y1Jhbm5RcitLUUhWVEZ5S2JWRU5aS01VUzVScGpUVnVjYkhVTFpjRTRvVjllYkM5ZEJLekplL2ZtYUpUQWVKeXBDNUpMbFFWcUlRTllja29ZeXVLWkNhWXVpSW5sNSs5Nllad1h3R1hrM3Z3bVVOWFVoY2lBQjYvK2EwYmVhZy9FbzR5K2xuUmZoa2w3SUdkRkFsZklSZmRBTTFNWFFBOEhZRDFLeFJRaXMrNmhyRnA3eDlRRnlZWGVBamFpTkVieUszT1UrNXNLVUp1NExOa2xGUGdVNVNGVGFMTUgxZ0NOVEYyUWJHVHg2ci81dVk2RFVyOC9CNEpOWFpBVXhnSUxVSUxmcHJ5UE9nSnJ5WHZ0cGVTMloxNnJ0L0hBRE9BUFV4Y2tGeW9ETEFUYWt6dWZMZktqbDhCbzRJQ3BDMkpDRHNCSzh2ZDN2VWhmTERDVGduMXZkZ1RjZ0pxbUxrZ0dtTDM2VVpPMzJnTXFsTC8xREpSMmdkQW03WUdjRndkOEIydzFkVUdTNWNhUnpBNG9EMHoyZG5aMldGcm14aUtLM0NveE1aSG82R2pVYXJVdHloZXVCSmwxdlFYVU1ETXpLMkZuWjRlRmhVVzZCNGpjSXlrcGlhaW9LTlJxZFFtVWU2VUVtWFhaQTNVQSs4S0ZDMk5sWldYcThvZ01Ta3hNSkNvcUt2bFhCM0pYa0RtM2NFVGFTemtpS2lxS3hNUkVnTHFBRlRKNk5MVXlRRDJndk54enM5L3o1ODlScTlXZ0JKUTh5VnNCbXF6a2dIelhGMmd2WDc0a0tTa0pvRFpLNTN1U2FVdGtNbzVBVFRNek0vdkNoUXRMZXlDYnhNYkdFaGNYQi9BT3lzelpVTk9XS0ZlUzlrQU9TbkVQckE5c0o1ZmNBM1B0SGNqT3pvNnBVNmZ5L3Z2dm03b29JZys1ZE9rU1AvNzRJeEVSRWFZdVNxNVhva1FKWnMyYVJaMDZkVXhkRkpFQk4yL2VaTXFVS1R4NThzVFVSY24xckt5c21EUnBFaTFhdERCMVVVUUduVHQzamg5Ly9ERmxvRmtZWUdkbng2eFpzMmpRb0lHcGk1SnZmZnZ0dDV3L2Y5N1V4Y2dUeG8wYng0Y2ZmbWpxWXVSclRrNU9QSDM2MU5URnlEWGt1NzdnR2o1OE9JR0JnYVl1UnE1UnNtUkpmdmpoQjJrUFpKTzFhOWV5YnQwNlV4Y2p6NUQyUVBZYk5Xb1VBUUVCcGk2R2psd2JaTGEwdEtSKy9mcTBhWk9YVXZTSTNNRGEydHJVUmNnVHJLMnRhZFNvRVUyYk5qVjFVVVFHbENoUkFsdGJXMU1YSTA4d056Zm43YmZmbHUrUlBDZzJObFpHNGhqSjB0S1NCZzBhU0QzUFJpVkxsalIxRWZLTU9uWHFTRjNNWmpZMk5xWXVRcTRpMy9VRlY5R2lSWlAvS2RQeVVaN3RwRDJRZlk0ZE8yYnFJdVFwMGg3SWZzV0xGemQxRWZTU1pOeENDQ0dFRUVJSUlZUVFRZ2doTWsyQ3pFSUlJWVFRUWdnaGhCQkNDQ0V5VFlMTVFnZ2hoQkJDQ0NHRUVFSUlJVEpOZ3N4Q0NDR0VFRUlJSVlRUVFnZ2hNazJDekVJSUlZUVFRZ2doaEJCQ0NDRXlUWUxNUWdnaGhCQkNDQ0dFRUVJSUlUSk5nc3hDQ0NHRUVFSUlJWVFRUWdnaE1rMkN6RUlJSVlRUVFnZ2hoQkJDQ0NFeVRZTE1RZ2doaEJCQ0NDR0VFRUlJSVRKTmdzeENDQ0dFRUVJSUlZUVFRZ2doTWsyQ3pFSUlJWVFRUWdnaGhCQkNDQ0V5VFlMTVFnZ2hoQkJDQ0NHRUVFSUlJVEpOZ3N4Q0NDR0VFRUlJSVlRUVFnZ2hNazJDekVJSUlZUVFRZ2doaEJCQ0NDRXlUWUxNUWdnaGhCQkNDQ0dFRUVJSUlUTE4wdFFGRUVJSUlZUVFRZ2doaEJBaVAxR3IxV3BUbHlFOVptWm1acVl1ZzhnL1pDUnpCbmg0ZUJBWEY1ZnVmbnYyN09IeTVjdEduM2ZEaGcwWjJqOGozTjNkQ1E0T3p2Qng5Ky9mSnlvcXlxaDljOVAxaXJ6cjVjdVgyZjRlMTY5ZjU5ZGZmeVV4TVRIRHgwWkhSMmREaVVSQmMvYnMyV3c5ZjkrK2ZkbXpaNC9CMTArZVBJbTd1enQ1b0wwcmNwbWJOMjltKzNzOGV2U0l2WHYzR256OXlwVXJtYnAvaS93bEpDU0VHemR1WlBsNTc5eTU4OXJuT0hMa2lOeGY4N2xIang1eDc5NjlUQisvWThjT0lpTWpNM3pjcFV1WE9IejRjS2JmVjRpYzVPM3R6YlZyMXpKOS9JWU5HL1ErZTYxWXNZSkxseTY5VHRGRUFaQVRjWVgwRk9TMmdBU1pVL2oyMjIvWnNXT0h3ZGVuVHAxS2x5NWQwcTB3SjA2Y29INzkrcXhldmRxbzk5MjNieDhOR2pUZ3I3Lyt5bEI1azkyOWU1ZUFnQUM5ciszWnM0ZTZkZXR5Ky9adG84NTE1ODRkdnZubUc5NTY2eTIrK09JTG80N0o2ZXNWK2RPcVZhdG8zYm8xUGo0KzJmWWVOV3JVd01mSGh4WXRXaGpkaVpKczFLaFJkTy9lbmJDd3NHd3FuU2dJUHZ2c016cDE2c1R6NTg4MTIySmlZdGkxYTFlYXgrM1lzWVBUcDArbmUvNHJWNjdnNXVaR1FrS0MzdGRidG16SnpwMDcrZmpqajRtSmljbFk0VVdCbFpTVVJKTW1UUmczYnB6VzlqdDM3cVRaQWJkbXpScGlZMk9OZnArNHVEaTZkKy9PNk5HajliNitaTWtTcWxTcHd0V3JWNDArcDhoL0hqMTZSSzFhdFJnN2RteVdubmZFaUJIMDdkc1hGeGVYVFAwNE96dlR2bjE3UHZ2c3N5d3RsOGdaK3A2Vjd0MjdSMUJRa05hMmN1WEs0ZXpzektGRGh6TDFQcU5HamFKeDQ4YUVoNGNiM0VldFZuUDc5bTEyN05qQnFGR2pxRk9uRGcwYk5xUkhqeDVHQmU0T0hqekl6Smt6Q1EwTk5ialByNy8reXRTcFU3WGFJNi9qd29VTDZlNXo5dXpaTks5YjVDMm5UcDFDcFZMcGZXM0praVUwYXRRSVB6Ky9USjE3NnRTcE5HclVTQ2RZK05OUFAvSEJCeDl3NU1pUlRKMVhGQXk5ZS9kbTZOQ2hQSHIwS05QbkNBb0s0c1dMRjVrNk5qbzZtbzRkTzdKcDA2Wk12MzllVm1EU1plemJ0NCtOR3pkU3JsdzVMbCsrVE9IQ2hhbGF0U3FnOUF6YjJka1JGUlhGcFV1WHFGdTNMclZxMVNJa0pJU3laY3Rxem1GalkwT1BIajFJYnphQnRiVTF4WXNYWitqUW9VYVZ6Y3JLaWxxMWF0R2hRNGRNWGR2czJiTU5ObWl0cmExcDI3YXQ1bHFUQlFVRlVhVktGZFJxTmY3Ky9odzhlSkM5ZS9keThlSkZhdFdxaFpPVEU5V3FWZVBCZ3dkVXJGZ3h6ZmZQNmVzVitWT2hRb1U0ZCs0Y2xTdFh6dkN4S3BXS2RldldNWGp3WUozUHAxcXRKanc4bk5LbFN3UHd5eSsvVUsxYU5aNDhlYUx6dVhqKy9EbkZpaFhUK3g1V1ZsYkV4Y1ZwemlORVpsaFpXZUhnNEtCVno5UnFOYjE2OWFKdjM3N1kyOXZyUGM3ZDNaMktGU3ZpNStlSGxaV1Z3Zk5iVzF2VHVuWHJOUGVaUDM4K3RXdlg1dGl4WTN6ODhjZWE3VStmUHFWTW1US1p1Q3FSM3gwL2Zwenc4SERlZmZkZHJlM256cDNqKysrLzU1TlBQdEU1SmpJeUVqYzNOL2J2MzgvT25UdjFudGZOelkyNmRldnkzbnZ2QVVyOUJSZzVjcVRlL1cxdGJXblVxQkcxYTlkK25jc1JlWnlOalEwcWxZcStmZnRtK1huTnpNeFl2SGl4M3RlOXZMeG8wcVFKdHJhMmVsKy9lZk1tN3U3dVJnL1NFTGxMeDQ0ZGFkS2tpZGIzNE42OWUwbEtTc0xYMTFmelRHaHViczZrU1pQbzBxVUxSNDRjb1dYTGxrYS94NDBiTjNqNDhDSGJ0bTJqVktsU1dxK3RXN2VPQnc4ZUVCNGVUa2hJQ043ZTNpUWxKVEZ5NUVobXpweUpnNE1EcFV1WHBtVEprdW0rajYrdkwxT25UaVVrSklTbFM1ZnEzU2N4TVpHNWMrZlN2bjE3V3JWcVpmUTFwT1RwNlltOXZUME5HelprNU1pUlZLaFFnVXFWS2dIdzRzVUxZbUppdEo2bFBUdzhLRk9tRE9mUG4wK3puU0p5bDVVclYrcDA3aVlrSlBENzc3OHplUEJnbllGbTRlSGg3Tm16aHpadDJoaHMxNmJIMHRLU0VTTkdVS1JJRWMyMmUvZnVFUndjeklRSkUyalhybDJtenB1YkpTWW1ZbWxaWU1KejJjck16QXcvUHorZCsyeEduRDkvbnZIang5T3paODhNSCt2ajQ4UFpzMmM1ZXZRb0FBTUdETWgwT2ZLaUFsT0xQL25rRTgxRFVJOGVQYWhWcXhaejVzd0JvRTJiTnJSczJaS0pFeWRxSGRPeFkwY2NIUjNadm4wN0ZoWVdSbi9vcmEydHNiQ3dTRGNZbmV4MWJpWVBIejdrOXUzYkJoczRoczVkcDA0ZEJnOGVqSVdGQmFWS2xhSk9uVHFzWExtU21qVnJhaDd5akpXVDF5dnlMMHRMUzJ4c2JDaGZ2cnhtVzBCQUFMLzk5aHVnMUROemMzUGk0K014TXpQVGFwdytlUENBN2R1M2MrellNZHpkM2JYT2UrSENCYVpPblVxTkdqVTAyMXEzYnMydnYvNnF0ZCtkTzNmdzhmRmg2OWF0dEc3ZEdwVktoYm41ZjVNOXJLMnR0Um82UW1TR2xaV1ZUaUEzdVM0UEh6NmNObTNhNkQzdStQSGpEQjgrUE4ySE1nc0xDNjNmbnoxN3BuZGFZYjkrL2JDMXRlWDQ4ZU1BUEg3OG1HSERockY0OFdLR0RCbGk5UFdJZ3NITnpZMlBQLzZZL3YzN2EyMjNzYkhoNmRPbmVvTnlseTlmeHMzTmpSOSsrTUhnZWJ0MDZjSjc3NzNIMjIrL3pmcjE2elgzWEVQdENRc0xDNzJmZ2NlUEgyZjZRVmJrUGNuM09Sc2JteXc5YjNydDA4V0xGK1B2NzgvcDA2ZTEyaXFwbFN0WExrdkxKWEtHbVprWlRaczIxWFJ5dlh6NWtsV3JWakZqeGd5dFFDbEErL2J0cVZpeElpdFdyTWhRa1BuWXNXT1VMbDJhN3QyN0EwclF0VUtGQ256d3dRY01HalJJYTkvaHc0ZHo1ODRkeG93WmsrRnIrZWVmZnloY3VEQS8vdmlqd1gxc2JHd29XYkprdWdIbXhNUkVaczJheGJObno3UzJ4OGZIczJiTkdvb1VLY0xSbzBleHNMQ2diZHUybXIvZnNtWExPSGp3b05aSXZwczNiOUsrZlhzSk1PY3h2WHYzSml3c2pEZmZmSk5DaFFvQkVCZ1lpS3VySzk5Kys2M08vcTZ1cnJ6NTVwdHMzcnladVhQbjh2UFBQMmY0UFMwc0xIVGF0Q2RQbnNUYzNKemh3NGRuN2tKeXNYdjM3dEd1WFR0V3JWcGw4Rm5Ba0VXTEZsR3VYRG42OWV1bjlleDY1Y29WcGt5WndyeDU4M2pycmJleXVzZ21kK2ZPSGV6dDdmVjIvTnJhMmxLblRoMjk3WVM5ZS9mU3RtMWJpaFl0bXViNUxTMHR1WGZ2SGpObXpLQjQ4ZUpaVnU2Q1FLSjlhU2hVcUJCTm1qVFJ1Y0dsSjZONTAxOG42UHJMTDc4d2Z2eDRnNitudk5HazdCMUxTa3FpUVlNR1dYS1R6c25yTGNDS0FwV0JLNEQrZVVsNW5MN1BXYjE2OVJnMWFoUlZxbFRSTkdwcTFhcEZvMGFOdEJxdHZyNitiTisrWGUvb29SVXJWakJtekJnKyt1Z2p6YllsUzVaUXAwNGRyVzB0V3JSZzBxUkp2UFBPT3dDTUhUdVc4dVhMTTNyMGFHeHRiYlUrU3lKYjVQczZEbWgxNHZuNysxT3RXclVzN2J4SWVUL2V2WHMzSDMzMEVlZlBueWN1TG80cVZhcFF1SEJoQUp5Y25IaisvRGxYcjE3RjJ0cWFhdFdxNGU3dWpvV0ZoWXlreUY0bFVPcDVBSG1rbmo5OStwVGR1M2ZqNitzTEtPMkhxS2dvaWhVclpsVDdLSzFHL0J0dnZNR0dEUnRvMmJJbGE5YXMwUW15cEthdnZiRmd3UUptelpyRjBhTkhhZGl3WWJybEVScDU5cDVyVEwyN2VmT20zb2ZxWjgrZVlXRmhvYmRlcG5mZnM3VzE1YU9QUGtvendDelNsV3ZyWGVyLy96dDM3cVJXclZvNmFZSkF1UmM1T1RueHdRY2Y2THcyY2VKRVB2LzhjK3JXcmF2ejJ2YnQyN0czdDJmMjdOa2tKQ1N3Y09GQ2loWXRpbytQajg3c09uMGlJaUxZc0dFRDMzenpUWnI3blQxN2xoNDllcVE1NnRuWTUxdExTMHNHREJpQXViazVsU3BWWXZueTVXelpzZ1VmSHg5Y1hWMjE5alAyZkFMSXhaK0YxTXFVS1VOMGREUXJWNjdrZi8vN0g5YlcxZ1FIQjJObFphVTFpQWVVV2FHTEZpMWkrZkxsbENoUmdxZFBueElRRUVDOWV2VU1uajhvS0loeTVjcHAycWlndjM0ZU9IQ0FqaDA3VXFWS0ZZUG5ldm55Wlo0Y0ZQVExMNzhRRWhLaTA1bGpqTnUzYjNQMTZsV2QwYkk3ZCs3RXo4OHYzV0RxS3pXQTZ4bCtjeE02ZVBBZ3MyYk53dFhWbFc3ZHVtbTlsdFo5WnNXS0ZRd2JOb3dMRnk1UW9VSUZnL3NsbjZNZzUxYk9MTG5McDdKeTVVcDY5dXhKMmJKbE0vMGxtRElZRlJNVHc3Qmh3L2poaHgrb1hyMjYzdjFUdnMreVpjdTRjZU1HUzVZc1NmZDluajU5eW9VTEYxaTRjS0ZtVzNSMHRGWnVyYmk0T09MaTRnZ09EbWJ3NE1GMDZOQ0I3Nzc3TGt1LzRIUHFlZ3U0MHNBcW9CS3dIMWdQQkFMUGdmUlhvOHdEOUFVUDR1TGlxRmF0bWxZdlpHUmtwRTZqT1hsQnpoSWxTbWh0Mzdseko1czNiMmIrL1BsYTJ5OWN1TURhdFdzNWNlSUV4WW9WdzkvZkh4Y1hGL3IwNmFQWkp6WTJGbmQzZC83M3YvOWhhMnViNGM0bWtXSDV2bzZEZHBENXl5Ky9KQzR1anRPblQyTnBhY215WmN2WXZYdTMzdU1lUEhpZ2QvdkZpeGRadDI2ZDV2ZDc5KzZ4YTljdS92bm5IOXpjM0dqYnRpMzc5dTBqTWpLU3ZuMzc0dWJtcHRVNDkvSHhZZVhLbFJ3K2ZGZ25GWUxJRnUwQmQ1UUh5dVBBR3VBY0VFWXVyZWV1cnE0TUhUcVVXclZxQVhEbzBDRysvdnByUER3OHNxVHpyVVdMRmd3ZE9wU09IVHRxdmdmQ3dzSVlOV29VeFlvVm8weVpNcHAydzhtVEozbisvRGt1TGk1YTV4ZzhlRENlbnA2ODg4NDcwaUZvdkR4enowMU1UTlJhOERFNTUzeDhmTHdtNS9lVksxZVlPWE1tYm01dW1oUnVqbzZPT3NHSXZYdjNVcWhRSVk0Y09XSXc3WVVobHBhV09tMlZpSWdJM056Y01qWGF0SUJLV2U4MkFGdUIrOEFMVEZ6dlVyZnpObTdjeUp3NWMxaThlREZlWGw2VUsxZU9Rb1VLRVJZV3hvc1hMM0IwZE9UWXNXTWNPM1pNYzB4a1pDVGUzdDZjTzNlT0hUdDJhTFZYdzhMQzhQTHk0dlRwMDVvT2tHKy8vWmJRMEZBV0xGaWdNN3Izekprek92YzdUMDlQcmwrL3pzT0hEdzJPRG4zdzRBSDM3OS9YYXRPQ01qdncrdlhyOU83ZE84Ti9tOVNCUkgwa2VKeGh1ZmF6b00vZHUzY1pNMllNRlN0V3hNbkppZURnWUJ3Y0hIVHVpYk5temFKSmt5WjgrdW1uQUh6MzNYZjA2OWVQa3lkUGFnWU1wWGJnd0FHbVQ1L083Ny8vcmtsTmtQcTdQQ2twQ1U5UFQ5YXVYV3V3ak43ZTNuVHYzbDB6K3lxdnVINzlPcXRXcmVLdnYvNWl6Wm8xZlBqaGh3YlROK3BqYlcydGsyNVNwVkxoNXViR25EbHp0R2JYYk5teWhlclZxOU80Y2VQVXB6a054QUsvQXp1QVJ5aDFNZGV1dGx5NGNHSEN3c0l5bkRyRnhzYUdEei84TU0wQU04Zzk3WFVVaUwvY3laTW4yYjkvditiM0sxZXU4T1RKRTAxNmpOdTNiM1B3NEVIKytlY2ZObS9lek9MRmk0MU9Kdi93NFVQR2pSdW45ZUgxOGZFaEtpb0tGeGNYUWtORHVYWHJGaE1uVG1UWnNtVk1tVElGT3pzN3JSdm50bTNiTURNenc4WEZoYnQzNzZKV3EvSDA5S1J6NTg1cHZ2Zml4WXQxSHJSaVkyT1pQMzgrYjd6eEJnQi8vZlVYRlNwVVlNT0dEWnBSbTQ4ZlAwNDNZQllaR1VsNGVMaE80OXlVMXlzQXFBaDhCUXhCNlczMEJzNEF2c0JsRTVZclc0d2RPeFpmWDE5Mjd0eUpnNE1Eb1BTUXB3NG1Kd2VaVTZkNnFWZXZIdWZPbmRNSlNsdGJXOU9nUVFQTkYzaWhRb1YwRXZ0YldWbFJwMDRkWTN0L1JkYkpsM1hjejgrUGhnMGJhaDRpUFQwOUNRd014TXZMaXlKRmltQnViczdJa1NQVFRKZWhiM0dWUm8wYVVhcFVLU3BYcm95Wm1SaytQajcwN05rVEZ4Y1gvdmpqRDgxK2hRb1ZvbjM3OWpSdjNweUxGeTlxUnVKdDM3NmR5Wk1uUzRBNVoxbTkrdmtFNkFLRW80eHNQZ3pzSlJmVjgrZlBuN05seXhhOHZiMDEyOWF1WFV0RVJBU2xTNWZtNmRPbldmSStxMWV2SmlFaGdaVXJWd0pRdW5ScERodzRvTFBmK1BIanVYUG5qc0djdVNKVGN2MDlOemc0bU1tVEoxT3hZa1hNemMySmpJd0VsSUVoeWUzZEN4Y3VjT3JVS1U2Y09FSFhybDJ4c3JLaVZLbFNPdTFrUHo4L1NwUW9rV2FBK2M2ZE95eFpza1JuOU5LRkN4ZXd0TFRVT3VlUkkwZTRmUGt5Ly83N0x4TW1UTWlxU3k0SUtnTGZBV09CcXlpZGJTYXRkeW1mVlI0L2ZreENRZ0lmZmZRUmJkcTA0WnR2dnRFRUhLWk5tOGJCZ3djTmRnb2JzbUhEQm5yMTZxWHpmVnVpUkFtR0R4L09HMis4b1VtbjFhaFJJeTVmdmt6SGpoMDFNKytxVktsaTFMM1B5OHNMUzB0TERoMDZoSmVYbDJiN3RtM2JDQTBOWmVmT25YVHQyalZEWlRlR0JHUXlMZGQ5RnZRSkRnNm1YTGx5T0RrNUFYRC8vbjNlZlBOTnJYMHVYcnlJdTd1N1ZwcTJ0OTU2aStiTm05Ty9mMzg4UER6MHBrcXhzYkhCMHRLU0xsMjZhTGFsRGw2ZlBIbVNGeTllc0hQblRxMk9IWUFuVDU2d1pjc1dCZ3dZd0lBQkF6aHg0Z1F0VzdiTUU4OXdTVWxKT0RzNzg5MTMzOUd5WlV2S2xpM0xnQUVEOFBEd01CaVVUMDNmelBVOWUvWVFFUkdCbjUrZlp2SFM1TlEzTGk0dStvTE1BQTdBanlqMU1RQTRoVklQVHdDUFgrYzZzME55eWxZN083c01IV2RzbXRma05vQU1OTXU0QXZGdDBLeFpNOHpOemFsZXZUcEZpeGJseElrVGRPellrZSsrK3c1UWVvcmJ0Mi9QK1BIak5RL2xWbFpXeE1mSHAzdnVDaFVxc0huelpxMXRYYnQyeGM3T1RtOURZTTJhTlZxL0h6OStuQ1ZMbGxDM2J0ME1QVFE5Zi82Y1k4ZU9NWFBtVEszdHBVcVZZc0dDQllBU0tKNDhlVEt0VzdmV3lUZHRhV25Kdm4zN2VQeFkvLzFpMzc1OVBIbnloT1BIajFPdFdqV1RYNi9RWVFYVUJlb0EvWUNud0Q4b0FZcTlnT0hscEhPcHVMZzQ0dVBqbVRkdkhvOGZQMGF0VmhNZEhVM3YzcjI1ZCs4ZURnNE94TWZIRXgwZHJaUHZNQ1ltQnRBTk1sZXZYcDMxNjljemQrNWNyY1QvNTg2ZEl6RXhVZk9nZU9YS0ZVSkRRNmxVcVJMdDI3Y0g1QXNsRjhnM2RWeWxVckY2OVdwKysrMDNiR3hzaUkyTlpkeTRjZXpZc1lNR0RSb0FTaU16UFliMmNYUjBOS29jUTRZTVlmcjA2Wnc2ZFFvbkp5ZE9uejVOeVpJbHRVYmdKWTlNRVRuR0RHVTBVeHVnTlRBRnVBYXNCYlpnNG5yK3d3OC9NR25TSkUwdXVwczNiN0pyMXk1V3IxNU5sU3BWQ0F3TWZPMzNpSXVMdzgzTmpUMTc5dkRsbDErKzl2bEVwdVhhZTY2am95TWJOMjdVL0I0WUdNaUtGU3VZTkdtU1prVG9nZ1VMZVBueXBTWjRabUZoZ1kyTmpVNm50SldWbFNZd25kYjdEUmt5QkFjSEIwcVVLS0Y1Z0hkMmRzYlcxdFpnVWNQR0d3QUFJQUJKUkVGVSsvWG16WnVadnNZQ3pBcW9EOVJEdTk1NUFOdFJSdGJsaUpTQm1zMmJOek5seWhTbGdLbUNZbkZ4Y1JrYVpRaks5N2VycTZ2V29LZUVoQVNtVEpuQ0R6LzhvSlZLWVBiczJVUkVSTkN6WjAraW9xTG8zNzgvdlhyMVl2MzY5VWJsbmo5MjdCamR1blZqeFlvVld0dlhyMTlQMWFwVnRkN3I1Y3VYREJnd2dHN2R1dUhrNVBSYWJWOExDd3QyN05paCtSejQrL3R6OSs1ZHJVNlpLMWV1MEtsVHAweS9SejZYYXo0TCt0eTllMWNycFV0d2NMQm1rVWRRQXBqRGh3OW43ZHExT2ltRlpzK2V6ZnZ2djgvSEgzK3N0eDViVzF0alkyT2o5UnlYT2dqbzd1Nk9pNHNMclZxMTB1a2syYlp0RzF1MmJNSFYxVFhQNWM1MWNYSEIzdDZlYWRPbUFWQ3paazJjblozcDJMRWpPM2JzTVBoOWRlWEtGZmJ1M1Fzb2FTUHQ3T3g0OE9BQnUzYnR3c1BEZzE5Ly9aWFRwMCt6ZS9kdVRSeG80Y0tGTkduU3hKZ2MyWFpBVStCOWxObE5UNER6d0Q2VXVwaHJSemRucGVRZ3MzU2daVnlCK0l0WldscHE1Y3dLREF4azFLaFJtbEVNNXVibVdGcGE2b3hxU0o2T2x4RXhNVEVjUFhvVU16TXpnL25nVXZycHA1OHkvQjRBdi8zMkd5TkdqRWl6RjhiYjJ4dVZTcVUzajR5RmhRVWRPblFnUER5Y1ljT0dhZldVSlNVbHNXREJBdHEwYWFPelFGVnFPWFc5d2lBem9NaXJIMGNnT1NIUmRwUXAyZWRSdmh5aVRWSzZORVJFUkRCaHdnVE5vcHIzN3QzRDB0S1N6ei8vM0dDK3c3dDM3d0xvOUp3blQ1ZlZOekxwODg4LzUvUFBQOWZhTm56NGNHSmpZOVBzNkpBcDE3bEducTNqeVE0ZE9xUVpoV3hqWThQR2pSdjU0NDgvTkIwYW9BU2lVMDc5VGsydFZtdE5GODhNQndjSEZpMWFSSThlUFFCbHl0eTZkZXMwRDVYcjFxM0R4Y1dGMDZkUFU3dDI3ZGQ2TDVFcFprQWhvT0dybjE5UlJwRzRvYVRXZUVRTzF2T1ZLMWV5ZGV0VzNucnJMU1pQbmt4TVRBeG56cHpobzQ4K3d0blpXYk5mVEV5TXptaFJVS2FHcCtYKy9mdXNYYnVXRlN0VzBLOWZQM2J2M2sxNGVIaUd5aGdiRzh2eTVjdTFSaG1LMTVicjc3bkpnMEJTamw2S2o0L1hhZ084Ym4yb1g3LytheDB2TWt4ZnZYTUZEcEZEOVM3bE0xVlFVSkRCZFd0aVkyTU41bno5NTU5LzlOYWRyVnUzWW1WbHhiSmx5elM1Yk5WcU5aY3VYU0ltSmthekdQWHg0OGY1NVpkZk9IandJQ3RYcmlReU1wS2lSWXN5ZHV4WW1qVnJ4c2FORzJuZXZIbWExK0hwNmFsWjNENVpjSEF3NGVIaGpCMDdWcXRqdWtpUklpeGR1aFFuSnllbVRwM0svUG56TllzU0dpUGxJdG1KaVluMDd0MWJaK0cvbEcxdDZZZ3hpc2svQy9vRUJRVnBEVHk3Zi8rK1poMGJVSUtsdzRjUDE1dW00c2FORzN6enpUZDgvLzMzMUt4WmsySERoakY4K0hCTjBEcjFJQ0hRL2p4R1JVVng4ZUpGamgwN3h1TEZpM1dDekFFQkFWU3BVaVZQQlpoVktoWGZmdnN0MTY5ZlorL2V2VnJYMjZkUEh5SWlJbWpVcUJFTEZpekF5Y2xKSitaVHExWXRIQndjS0Zhc0dFZU9IS0Z0MjdhTUh6K2VSWXNXc1hEaFFtYk9uRW10V3JXNGUvY3UxNjlmSnpFeGtaOS8vcG1USjA5bVpEMHRjNVMxUkVvQU5ZR0J3RXFVOUM3cmdadmswdlF1V1NtckZ4a3VDQXBjaS96S2xTczhlL1lzM1pWMFFXbXdaclNSZXZUb1VhS2pveWxWcWhRelpzeWdkT25Tekp3NVUrOTBEVjlmWC83KysrOTBBN21wUlVkSHMyZlBIazZmUHAzbWZzZVBId2VVcVN0ZmZ2bWwxbWhPYzNOelNwWXNTZm55NWJsNjlTb2ZmdmloNXJoejU4N3g4dVZMdnZ2dXUzUnYxamx4dmE4aC9SVTA4ZzU3SUNQREp2cTgrcm1GTXMzbEVuQU1aUnBXcmxDeVpFbVdMVnVtdVhHN3VibHg0c1NKTkJmVU1SUmtUaDdKbk5IOGlzbFdybHhKbno1OUtGMjZ0R1piUmhlME5KSEtLQ01nODROOFY4ZEJHU1UwWWNJRXphS1VTVWxKREJvMFNLdUJIQjhmajFxdHhzM05qYU5IaitvOVQvTFUzWXc0ZWZJa3k1Y3ZwMnpac2xydjllNjc3OUsyYlZzc0xDdzA2UW1TRFJvMGlFT0hEdVcySUhNMUlITWY3dXlSL0pSbFE4WS9mM1ZSSGlDTjFlTFZ6MHVVZkxsblVScjMyVDZGdGx5NWNrUkdSdUx2NzQrenN6TkZpeGJGM2QwZFB6OC9yZjBLRlNxa3Q4UHU4dVhMYk5pd3dlRDVwMDZkeXRhdFc5bXlaWXRtd1phVW5lTFBuajFqOXV6WldyUEtVdWRrUG5YcWxDWk53cFl0Vy9ST3c4MWlaWUJXUVBwVEQzSy9QSHZQalk1V1lpc3BSNVBHeHNacXRRR3k2anY4N3QyN09ya3VVNzVXdEdoUnJabFNPYXc4eWd5SXZDUWo5YTRvdXZYT0Q2WFQ3VklheDcyMmlSTW40dXpzek5xMWE3VVdJd05sa0VSZ1lLRE9MTkhBd0VEMjc5L1A5dTNidFJhaGlvcUt3c1BEZzdObnoySm5aMGVuVHAxd2RIVFVHV2w4OGVKRmhnMGJ4djc5KzNuLy9mZFp1blNwNW51L2MrZk91TGk0MEtKRkMzcjE2c1hnd1lQcDFLbVR6ajN2d29VTFBIcjBTQ2VIY3ZKOU8vWGlXS0NrSnpwNDhDRE96czcwNk5HRHp6NzdqRFZyMW1nRi9xS2lvalQzNS9qNGVGUXFGZUhoNFRnN08ydlNlQmpiRWE0djlWY1dLSVB5V2NqVkMraWxraWMrQzhsdTM3NnQxY0VSSEJ5c2Fjc3VYYnFVZXZYcThlalJJNzJkenV2V3JVT2xVdUhxNnNyVXFWT3BYYnQydWpOS1V0N0ROMjNheE9qUm95bFZxaFRYcmwzVDJkZmYzOTlRK29mc1VoUm9Ea1JtNXVDb3FDZ0dEaHlJZzRNRCsvYnQwOXQyNmRtekoycTFtdUhEaHpOcjFpeUdEUnRHcjE2OU5NL0o1dWJtRkN0V2pLU2tKSHg4ZkRScFVRTUNBbmp2dmZkbzBhSUZBQk1tVEtCLy8vNUVSRVN3Y09GQ3pmb2FlaGpiZ0NvRy9BLzRFdVg3UDdrdWVwUEQ2VjFlNTE2U25Hb3p2Zk5iVzF2THdMTk1LSEJCNXQ5Ly81M09uVHRySmZvMnRHS2t1N3U3WmlxenNaS244NW1abWJGbXpScGF0V3BGZ3dZTjhQTHkwcG1DUEdIQ0JKbzBhVUtqUm8wNGNlS0UwZSt4YXRVcXZ2amlpM1NuTk8zWnM0Y2lSWXJRdUhGanlwVXJSNzE2OVRoMDZCQnZ2LzAyTDErK3BIRGh3cno5OXR1c1hyMWFLOGpzNmVsSmhRb1Y5SzZZYklycmZRMERVQjdvOHdNTElEUGRzOVZlL2ZSR21lcnlCR1VxZHE2NFcyYTBaL0RPblR1QWJucUE1Q0N6dnR4VmtaR1JmUFhWVjVRcVZVcnpmbWZPbk5Ha3kwaEtTdUxHalJ2Y3VuV0xPWFBtYUw1SThraVF1VGN3TWQyOThvYXNyT1BueVNYZmIyNXVic1RGeFRGdzRFQkFhZFNrbnI2ZG1Kakk1NTkvenJ4NTh3eE9oWFZ5Y3FKaHc0Wkd2V2RDUWdKYnQyN2x6cDA3TEYrK1hLdXpjTWVPSFN4ZnZoeG5aK2U4dEZEVklKUXBwTGxGOHZESnNpaDVsRFBDREtXdVoxUVJvUEdybi84RFFsQWE5Tm1XMTZkSGp4NEVCUVZoYjIrUFNxWGlndzgrWU1HQ0JUcWRmSm0xWXNVS0JnNGNxRFdpUDJWSHlzdVhMM24yN0JuZmZQTU50V3ZYemkwamxkOEhPcGk2RUZra0srKzVQb0R1VUxSczh2VHBVMnh0YmJWR01zZkd4bXI5bmxVUGhjMmFOYU5uejU1WVdWbHg3dHc1clp6TSsvYnRRNlZTNGVQam85V1psNFBhQVorbnUxZnVrbFgxN2g1S3ZjdXlHMFBLZGwrRkNoWG8xcTBiLy9kLy84ZW1UWnUwOWdzTkRhVlZxMVpNbno1ZGEvdXlaY3Z3OHZMU0dXbDg3dHc1VnE1Y21XYmUwTC8vL3BzLy92aUQ0OGVQYTRKSVNVbEptbUJ4OGlqaElrV0tNR1hLRkZxM2JrMU1USXhPY0dyOSt2VjgvZlhYSEQ5K25QZmZmMSt6L2VUSmsxU3FWRWtyVlVaSzF0YldiTml3QVRNek16WnMySUNEZzRQV2xQcDE2OWJoNCtPRGc0TURseTVkNHRHalI3aTZ1bXJlNDhxVkswWUhtVjkzVnBZQlRZQ08yWEhpYkpTVm40WHpaR043QU9EV3JWdDg5dGxubXQvdjM3OVBwVXFWdUhMbENnMGFOS0JseTViY3UzY1BsVXBGK2ZMbHRaN3hVblpFOSs3ZE8wUFBmeXFWaWpObnptaFNjQ1ozY0NSMzdxblZhczZjT2NPTUdUTmU5eEl6b2lyS0Fua1pqbkllUFhxVWhRc1hNblRvVUc3ZnZzMlNKVXYwN3JkaHd3YWlvcUx3OVBUa3h4OS9aT1RJa2F4YXRZcU5HemRTdCs1LzRRMWZYMTlldm56Si92MzdDUXNMWThhTUdWb2RydmIyOXNUR3htSnRiVTIvZnYzU0tscEdFMWluVE84U2g1SlNLd2lsOHpsSEdtemJ0bTBqSVNGQmI4ZUd2NysvemhvS0tWOUxtZXJGa05qWTJEeVIxenMzeWhVdDlwd1NIQnpNcGsyYmRCYjFTNzFxZGJMNjlldHJOVkxEdzhQVGJMU0doNGV6YytkT0dqWnN5TDE3OTdDMnR1YTMzMzdqL2ZmZlovYnMyYmk2dW1yMlhiTm1qV1lFenUrLy8yNzBOY1RIeDdOcDA2WjBnN1EzYnR6ZzBhTkhkT3JVaVlTRUJHYk1tS0ZaNEdubnpwM0V4TVJRcGt3WmF0YXN5YWxUcDdTTzlmRHdZUERnd2VrRzJYTGllbCtURmJscjlOdnJNT2YxQXNQbUtOT3dpNUtIL3liKy92NVVxRkJCWjlSUVRFd01abVptZW9QTXhZc1haK3ZXclZyYkRLWExTTmtqYWt5TzNGekFrano4L3pPVnJLemp4cTJVa1FPKy92cHJ2djc2YTgzOU5EWTJWbWRVVk9IQ2hWbTNibDJhNXlsVnFoU2RPM2RtN2RxMUJsZEQvdWVmZndnSkNXSE5talVzV0xCQXMrNUFTcXRYcithZGQ5NWg5T2pSbWJ3aWs4aHQ5L0tVRDNLbWFFZFpBZVZRSHFxejlhRXl1ZE5qOGVMRnZQbm1tMXBwTWw2WGpZMk5Wb0FabERhT3RiVTFoUW9Wb21MRmlqUnMySkJtelpxeFljTUdUWm9YZldKaVlveGVJT2MxV1pDNzZ1THJ5TXA3YnVGMDlzMVNvYUdoT3FQZ1ltSml0SUo0V2RWUkhCY1hSOHVXTGZVK25BY0hCMU82ZEdsVEJaZ2hiN1lCWHJmZUphY1ZLb1l5bXlUYkRCZ3dnT25UcDdONzkyNnQrMDlvYUNpdFc3ZldtVDBYSGg2T282T2p6b3pOdG0zYkdueVBzTEF3L3ZyckwwcVhMazIvZnYzNDdydnZLRlNvRVBIeDhWU3NXQkVMQ3dzbVRweElRRUFBbHk1ZHdzdkxpNkNnSUwwejkrTGk0dGk3ZHkrK3ZyNk1HalZLNjdVVEowNmt1OEM2dWJrNWE5ZXU1ZHExYTF5OXFqMUJZY1NJRVl3WU1RSlF2Zy9Dd3NJME9hdVRKU1ltR3BXVDJaaEJUSmxnVHNIK0xHVHJ0UjgrZkpoNzkrNnhlL2R1L1B6OFVLdlZSRVJFNE9ibXhyNTkrL2oxMTE5cDJiS2xwaFBheDhlSHBrMmJhcDBqTEN3TWYzOS9yWUZ0YVVtK2grL2J0NC94NDhkcllqRE5talZqNzk2OW12Ykl0V3ZYQ0FzTE0vcThXY1FNNWY2amY2U2lIakV4TWF4Y3VaS3laY3V5ZS9kdUxDMHRDUWdJb0Z5NWNucG53eVIvYml3c0xOaS9mejhIRGh5Z1ZhdFdPcWw2ZHUzYVJaa3laZWphdFN2Ly92c3ZYMzc1SmV2WHJ3ZVVnVlk5ZXZTZ1M1Y3UzTDE3bDQ4KytvaFZxMVpSdlhyMXpGKzVmaGJrVUYxTWFjdVdMVnk0Y0VIdlBTVTRPTmpnR2dvV0ZoWkdEWmlJaVluUkdSZ2tqRk5nZ3N4cXRab2hRNGJ3MDA4LzZmVGl4c1RFYUVaQ3BuVDA2RkYrLy8xMy9QMzlVYXZWQkFVRlVhVktGWVB2NGU3dVR0V3FWZW5ldlR0TGx5NEZvSEhqeHZUcjEwK3J0eVFrSklSdnYvMld1WFBuWmpqbjI3cDE2K2pYcjErNlBZRHIxNjlueUpBaGhJZUhFeGtaaVlXRkJkT25UK2ZRb1VPOGVQRUNRTk5BcjFxMUtrZU9IS0ZkdTNiNCt2cHk1Y29WL3Z6enozVExraFBYKzVyY2dkczUrWWJaeUI3NEFXVkJub3k0aGRLN25UeWx5Zy80RUdYMFM1N2o3ZTFOa3laTmRMWkhSMGRqWjJmM1dnK1ZqeDQ5b25QbnppeGF0SWkyYmR0bTEzUytyTFlWOERkMUliSklWdGJ4T2loVDJrMHVkWjJNaUlqUTZoV1BqbzVtNk5DaEpDVWxVYlpzV2Mxb3plWExsOU82ZFd2cTFQbnZ6MUc3ZG0zKy9QTlBoZzBicHRsMjgrWk5kdS9lemViTm0zbjQ4Q0VxbFlwUm8wWnByZENkN1ByMTZ4dzZkSWpEaHcvcjdUQlZxVlJNbWpTSnI3NzZTaXZ2WGk2d0JuaGc2a0trWUk5U3Z6SVQxWFI4ZFd4bUhpd2pnT3ZBUVdBSDhBYXdNYzBqc2tCQVFBQi8vUEZIdWltNnNrTHg0c1h4OC9PallzV0tnQkxZY0hOelk4ZU9IUWFEeks2dXJzeVpNNGVqUjQrbXV5NUVGdkFHMXBGLzBtVmsxVDIzS3JBNXJZT3kwbzBiTjZoWnM2Yld0dWpvNkd3WmNaUmVDaFlUajNJNkJCd3daUUV5NFhYcjNVWEFDNlhlTlFKMHYrd3lLZlgzdFptWkdSMDZkT0MzMzM3VHV2L2N1blZMNy9QZ2t5ZFA5SFlDUjBkSE0zUG1UTTJ6NXJWcjEzajQ4Q0V1TGk1NGVucHk4K1pOOXV6Wnd5ZWZmRUxMbGkzNTZhZWZPSGZ1SEd2WHJ0V2NvME9IRHJSbzBRSkhSMGVEc3pyV3JWdkhwNTkrU3VuU3BiRzF0ZVhPblRzNE9qb1NHaHFLcjY4dlAvendRN3AvQTJ0cmF6WnQyc1REaHcvVDNUZTFwS1FrQmc4ZXJBbis2Y3ZKSEI4Zm4xMXBEWkx2elhtaThmNUtWbjRXbXZOZi92d3MxNlpORzZaT25jcTMzMzZyNmRCZHNtUUpGeTVjWVB2MjdiUnMyWklqUjQ3UW9rVUxiR3hzT0hmdUhNK2ZQNmREaC84bS9seTllcFgyN2RzemE5WXN2di8rZTZQZnUxT25UbHFwVzdwMjdjcWdRWU0wOWV6QWdRTlVyVm8xcDlPODNRSVdZbnk2akdPMnRyWTZvMm9OelN6UVIxK3VhMUJtUVRnNU9RSHc0NDgvYWthYkJ3UUU4TlZYWHpGaHdnUjY5dXlKU3FWaTJyUnAxSzlmbis3ZHU5TzNiMSthTm0yYU1rM2xDekkyc2o0QlpYYjBPWlE2NkFNRW9MUUhzbjFXUVZSVUZPYm01cG5xdEZxd1lJRlJ6L2xoWVdHbTdFVE8wd3BFa0RuNW9kdkp5VW52eXVYang0K25mUG55ZE8vZW5kR2pSMnQ2d2pwMDZFQ0hEaDBJQ0FpZ1U2ZE9EQjgrM09DS3VMR3hzU3hjdUpEVnExZHo5dXhacmRkV3JGaWhTVzJSbUpqSVo1OTlSbzhlUFJnN2RteUdyaU1wS1lrMWE5Ync5OTkvcDdsZlltSWlHemR1NU9USmsxcjV3dnIwNlVPVEprMjRmZnMyWm1abW1oNGNKeWNubGl4WlFydDI3ZmoxMTEvcDJiTm5tc0gwbkxyZUxIQWI1UUVvUDNCRVdlVEJXSCtpUFBENW9reGZlVTRHZWx0ekV3OFBEMXEwYUlHNXVUa1hMMTdVdXhCTFZGU1UzcFcrdmJ5OG1EWnRHdVhMbDZkczJiS2FCNGhUcDA2UmxKU2s4MlhmcGswYi92NzdiNW8yYldvd2pVNHVjeGVwNDNtbWpxdlZhbTdmdnEwMUFxOXc0Y0pzM3F3Ym0zRnpjMlBBZ0FIcGpoeGR2MzQ5UC83NEk4T0dEV1BldkhtYUJ2M0ZpeGQxMG0rY09uV0tjdVhLOGVlZmYybzZFbU5qWTdsMjdScFZxbFJCcFZMaDcrL1B0V3ZYMkxoeG84R0ZqVXpnRmtyak5UZlprc25qK2dBZllIeVFPUlk0dzMrTC9RUUJ5YjNpMlo2UC9kNjllM3o2NmFkczJyU0pva1dMY3V2V0xTNWR1a1JDUWtKNjB5N1R0V2JOR2p3OFBLaFVxWkxlYWVReE1URUVCZ1lTR2hxS3ZiMjkzaW1Qc2JHeG5EMTdsbEtsU2pGMjdGZzJidHlZM1VHL3A4QUpsSWVydkM3UDNuUDkvZjFwMUtpUjFyYVhMMTlxUFF4bTFVaG1mUXRTcFdUaXRzSWpsQ0JUcnY3dVN5VWo5UzRLMkFmc0lRZnFuYjcvbDJYS2xPSGd3WU9hMysvZXZVdEVSSVRPS0UxUTFrN1FOd1c3Y09IQ0RCbzBDRHM3TzhxWEw4KzFhOWR3ZEhSazhlTEZPcVBzU3BZc1NWQlFrRmFIMlpVclZ6aHk1SWhtK3JlZm41OU8rcXpFeEVTMmJ0M0tqaDA3QVBqa2swOXdkWFZsM3J4NS9Qbm5uOWpaMmVuTUhER2taczJhT3AwNHh0aStmYnRPcXNUVVVzNXl6V0pQVVQ0TGVha0RNTmQrRmxLenNySmk2dFNwT3R1ZlBuMkt0YlUxdFdyVklpUWtoSjkvL3BucDA2ZlR0MjlmM24zM1hRSUNBalFqUVM5Y3VJQ0ZoUVU5ZS9aTTkvMHVYcnpJMDZkUEFkMTdjSTBhTlVoS1NzTGIyNXRtelpxeGE5Y3UrdmJ0bXdWWG1TRXZVTnBtb2NZZWtQbzdLVHc4SEc5dmI3MkRRcExObURHRFFZTUdHWXpMSEQ1OG1JOC8vbGlUWDdoU3BVcnMycldMV2JObWNlVElFZmJzMmFQNVhqUTNOMmZtekpuVXIxK2ZKVXVXNE9Ua3hMaHg0NWd5WlVweXU4bllkczFMWUJ2S1FLZHJRQmhLL2N4UndjSEJ0R3ZYamxtelptVnFsbDN2M3IzNTlOTlA2ZCsvdjhGOVFrSkNOSU1lUk1ZVWlDQ3p1N3M3enM3T3ZQdnV1M3BmSHpCZ0FKY3VYV0x2M3IxMDZkSkZaN3BGalJvMUNBZ0lTSE5oajk5Kys0MVdyVnJSc1dOSHpwNDlxOVZRU2ZuQU0zcjBhS3l0clhVV2V6REcxcTFiK2VTVFQ5TE02UVd3ZS9kdSt2ZnZyOU9iYm1scFNaVXFWZkR4OGFGcTFhcWFBRUxuenAzNTZxdXZXTHQyTFZ1M2JzWFgxemZkc3VURTlRcWpxRkh5SUwwQXJxQXNDTFdIREh6cDVWWWhJU0ZNbkRpUnZuMzdVcjU4ZVJZc1dJQ05qWTNleHNtTEZ5LzBMbExadW5WcmpoOC9UbHhjbk5ib2YyZG5aNnBWcTZZWjFaRXl0MWV5K1BqNDdNb2JKekltMzlUeCsvZnZFeHNiaTRlSEIyKysrV2FtUnZOczNMZ1JKeWNuVGFONzJyUnB0R3JWaW5idHRDY25OR3JVaUMxYi9vdUQzcjkvbnpWcjFuRHc0RUd0WHY4RkN4YXdjZU5HdG0vZm5wT0xzZ3JEMUVBOHltaVFKU2oxM1NUT256L1B4eDkvakkyTkRmLzNmLzlIVEV3TW5UdDNwaytmUGxvQmxwaVlHTDBCNExDd3NEVFBQMlRJRUFZUEhxeDNWTjZUSjAvbzFxMGJkbloyL1AzMzM4eWJOMDhuR0pPUWtFREhqaDF4ZFhXbFdiTm1tYnhLb1VldXZ1ZXFWQ3JPbnovUDExOS9yYlU5TWpLU2tpVkxhbjdQcXVCdmVxT2Q4c2lzcDd4QVg3M2JnTkxSbGpNRlVLdUpqbzdtMXExYlZLdFdqZmo0ZUh4OGZIajc3YmMxK3h3NmRBaEhSMGU5VTYwZlBueW9OL2dNWkdpVXBaK2ZIeU5IanRUOHZtelpNb29YTDg3cTFhdDUvdnc1N3U3dWJOaXdRU3M0c21yVktpWk9uS2hwQzNmcDBvWHg0OGN6WWNJRTFxMWJSN2R1M1RLOERrcEdwUmRnaHY5U0lvazBtZnl6WUl3SER4NFFFaEtpR1RqUnRHbFRldlRvZ2JPek00Nk9qbFNxVklucDA2ZHJ2cnZQbkRsRDM3NTk5WDRXRWhJU2lJNk9adkxreVJ3K2ZKalBQdnNzelRRRlE0Y09aZXpZc2F4ZXZab3paODdreVRoRGJHd3NuM3p5Q1hQbnpqV1lqblhSb2tYWTJ0cnFUWDhIeWtDcytmUG5NMnZXTEVDSkFkMjZkWXYrL2ZzVEdCakloQWtUdE81ZkFILzg4UWN0Vzdaazc5Njl4aXhhcTBJWjJCQUpYQUIyb3RSRmt6OGdGeXBVaUFjUEhtUjZ3ZWV3c0REbXo1OVBwMDZkdE5vT0tTVi9GNGlNS3hCQjVpRkRocVM3VDNJRmJkVktlNFoxVEV3TTNidDN4OEhCZ2RXclYrdTlDVHg5K3BUdDI3ZHo2TkFoUUdsdzZtdmNMbHEwaUdmUG5tbnk4R1NFV3EzRzFkV1YvZnYzcDd2ZmxpMWJOTGw0VkNxVlRnTTRNREJRcXdmY3hzYUdFU05HTUhUb1VFYU1HTUU3Nzd5VDVudmt4UFdLZENXZ1RKdjJSdWxKUFk4U2xNZ1hrcjgwM2R6Y3FGT25Ea2xKU1pwRm9rcVhMcTJ6LzdObnp3eCtRWUF5NVRveE1WSFQ4VksyYkZtaW9xS1lPSEVpWVdGaGJObXlSU2Y0Rmg4ZlQxUlVqbmZNaXYva3V6cCs5ZXBWM256elRYNzY2U2VhTjIvT3VISGpzTFcxMWVRdlRDa21Kb1pObXpaeDZkSi9pNGJmdjMrZm5UdDNzblhyVnJadjM2NVo4VGgxZ0ZtZk1XUEcwTDkvZjYwNkhoY1h4OEtGQ3hrOWVyUUVtRTFMamJLUW54L0s5UGVkS0F2NW1OVGJiNzlOeVpJbHFWZXZIcU5IajZaRml4WjZSNGNXS2xSSWI4Njd5NWN2czJHRDRSaTV1Ym01M2piVnhZc1g2ZFdyRjYxYnQyYjE2dFZZV1ZueC92dnZNMjNhTksyRmZVYU1HTUdwVTZmNC9mZmZlZSs5OTZTZDhmcnl4RDMzMUtsVHFGUXFQdnJvSTYzdFlXRmhXdmV4ckFveXg4ZkhzM256WnExN2NiTExseStubkdvc01pY0d1SUV5NWRyazljN0N3b0xObXpjelo4NGNWQ29WRmhZV25EeDVVdlA2bWpWckdEUm9rTjVqSHoxNlpGU2dOUzJQSGowaUtDaUkxcTFiYTdZdFhyeVl3WU1IMDZSSkV6WnUzTWp1M2J0MVp0WldxRkJCYTZTeXRiVTFmZnYyNWZQUFA4Zkx5MHZyR3BJbEpTVzk5dm9qd2NIQjdOcTFDeHNiRzc3NjZxczA5MzM2OUNudDI3Zkh4Y1VsUy9QNzV5TzU2ck9RTEN3c2pNREFRQUlEQTdsOCtUSkJRVUZVcUZDQjVzMmJFeHdjVExseTVRQ2x6cjMxMWx2TW1qV0wxYXRYMDZwVks1WXVYY3JjdVhPeHNiSGh4SWtUYk51MlRlOTdYTHg0a2REUVVNNmZQOC9ldlh1eHQ3Zkh6YzNOWUptR0RCbkNyRm16Nk42OU8yM2J0dFVKcE9ZRnlaMHRZOGVPTmRoK1dieDRzY0dSenQ3ZTNuVHUzSm5peFl0cnZ1OVNwdld4c0xEZzNYZmYxZXF3QWpoNDhDQjkrdlJKTDhBY2hWTDNUcUhVUXkvZ3NWRVhsa09TWTNlWkRRSmJXVm5Sdkhuek5PTUhWNjVjb1ZldlhwazZmMEZYb0Zya2FyV2FyNy8rbXBzM2IrTG82S2kxK0ZKRVJBUUFQLy84czFabGUvNzhPZWJtNWp4OCtKRE5temN6Y09CQW5mTk9talNKMzMvL1hUTmRYNjFXNnpSdVo4eVlRVkpTa21ibDNvemFzMmNQclZxMTBqdGFNeVV2THk4bVQ1NnN5WmVrcnl3blRwelFTUnNTRVJHQldxMDJhcHBwVGx5dk1PZ3hzQnRsMnVxL0tOUEQ4a1VrOU9YTGx5UW1KdEt2WHordVg3K09wNmVucHVHeWJ0MDZIang0d0xScDAvUWUrL2p4NDNSekpzWEd4dXFzQkE1S1FIdi8vdjA2bzA4R0RScVVKeHN0K1VDK3JlT0hEeCttUzVjdVZLbFNoWjkvL3BrdnZ2aUNBd2NPMExGalJ4d2NITFFXTGx1N2RpMERCdzVrOE9EQnIvMitSNDhlWmZmdTNSdzZkSWpFeEVSTlkzYjY5T21vMVdxREl5UkV0b3RBQ1NodlIzbXd2STh5aWpsWHNMVzE1Zno1OHdiYkJWbWRKa0NsVWpGMzdseW1UWnRHNmRLbGNYZDMxN3oyeFJkZjBLMWJONVl1WGNySWtTTnhjWEhoeFlzWDNMeDUwNmpGVzBTYTh0UTkxOFBEZ3dFREJ1ZzhsRDk0OEVBclBWQlcxYytFaEFUNjlPbWp5WG1aMHZYcjE0bVB6elVmMmJ6bU1jcVU2KzBvcWI5TU11VTZKYlZhalkyTkRlUEdqU01rSklTZ29DRG16cDJyV1J0aDM3NTlYTDU4bVYyN2R1a2NtNUNRUUVoSWlONTBHV2xKU2tyaXdJRURkTzNhRlZBVzhhcGN1YkxXWUNCcmEydk5laVIrZm42OCsrNjdPb0dSN3QyNzY1eDc3Tml4T0RvNlVyOStmVnEwYUtIemVseGNITEd4R1I4Y0d4VVZ4ZDI3ZDJuZnZqM1ZxMWRuekpneFZLcFVpUUVEQnFCU3FYampqVGV3c0xEUXUvQmZtelp0dUh6NU1oRVJFV2tHZHdxWVhQZFpTTW5YMTVmT25UdlRva1VMUm93WXdjeVpNelV4bEZHalJtbWxFNmhSb3daNzkrNEZsTkg3MGRIUlJFUkVFQjRlVHBFaVJXalpzcVhlOTVnNGNTSUpDUWtzV2JKRWszSXpyVmtpTmpZMkRCNDhtTm16WjJ1bEJzMUxqQjNSYitpN0xPWHNYbjM3cFBVZG1FYm4wa09VM09aN1VOcWtvZVNpZG1sS3J4dGZTdS80NTgrZmMvMzY5VFFYYmhXR0ZhZ2dzNW1aR2N1V0xkTTdjdWJhdFd1c1c3ZU9TWk1tVWF0V0xhUFA2ZTN0emNDQkE3VVN0NnZWYXEwYjQ4S0ZDMm5YcnAzZUwzaGpMVjY4R0E4UGozVDNhOU5HTzBWajZwSE1JU0VoWEx4NFVkT1lBWmcxYXhhSERoMWkzYnAxREJreXhHRHVROGk1NnhVNndvRVJ3RC9rclVVdGpIYjgrSEdpb3FLNGYvOCt4NDhmMTNSaVBIbnloQWtUSmpCNzlteURqZmVnb0NDdHhTVlNzN0d4SVRvNld1OXEzRlpXVmxoYlcyc2FOY2xTZjVaRXRzdlhkVHg1MWZYazJTaURCZzFpNXN5WmxDOWYzdUFxejFrVkpHblRwZzErZm42Y09YT0dWYXRXRVJvYVN2WHExVm05ZWpWYnRtd3g5Y0pWQmMwOXdBMXdCWFNIUnVZeUtldEdVbElTWjgrZXhkUFRrNmRQbi9MTk45OWsyZnQ0ZTNzemJ0dzRhdGV1elp3NWMxaTRjS0hPUG01dWJqUnIxb3pkdTNjemR1ellOUE1ZQ3FQa3VYdHVaR1FrMjdadDQvejU4MXJidzhMQ2VQandvVmJleXJRQ0ZBa0p4cWZVTGx1MkxIWHIxdFhiZmloWnNtUjJMV0tXbitYYWVwZXl6aXhac2tRckNCRWVIczdJa1NQNTVaZGY5Qzd1OStEQkE5Umt1M2Y5QUFBYVFVbEVRVlJxTlpVclZ6YjYvVHc5UGZuMTExK1pOMitlNXYyWExsM0tpQkVqREU2ZjkvSHhNYnA5NnV2clMxeGNIRStmUHVYYXRXczZ6N2Z4OGZHYVhLNXBpWXVMNCtqUm94dytmQmhQVDA5Q1EwTVpNV0lFMzN6empkWUFqMDJiTm1rZHAyL2hQNkVsMTM0V1V1clVxUk0rUGo1NkYxNi9jZU1HVmF0VzFmeWU4clBSdEdsVG5KMmRzYmUzWjl1MmJXa09taWhYcmh6TGxpM1QycFpXRy9qQ2hRc3NXN2FNdDk5K1c1TVN3bENxbXR6SzJGUkxoZ0xDS2RjbFNFeE16TkF6ZzRGenRnS3VHbjJTZkc3Mzd0MjBiZHRXTStCTlpFeUJDaklEQnIrME0wdGZIc0NrcENTdEc4ZnJMbmgzK1BCaEdqUm9vTFZZbExGU2wyWGh3b1VNR3phTUlrV0trSmlZeUtoUm8vRHo4K1BreVpPVUxWdVd1M2Z2TW1iTUdHN2R1c1hDaFF0MTh0emt4UFVLdlo2VEJ3SVNyK1A3Nzcvbi92MzdlSHA2YWdMTWNYRng5TzNibDA2ZE9obnMrSWlJaU9EV3JWdGFqWnpVMHVzdGxweUt1VUsrcnVPYk5tMmllZlBtbWhGUjV1Ym1lSHQ3R3h5QmJ5Z05VV2FZbTV0VHIxNDk2dFdyeDdCaHc5aThlVE9mZi80NXRXclY0cXV2dnVMNDhlT01IajNhWUxCYlpLbHpyMzV5dmZqNGVQejgvRGg5K2pSZVhsNzQrdnJTdFd0WFJvNGNxZWxvdm5mUCtLd2VLcFZLcHcxMjllcFZmdm5sRnhJU0VuQnpjNk5HalJwczM3NWQ1OWlZbUJqOC9Qenc5UFNrWGJ0MkxGaXdnTXFWSzh0c2s5ZVQ1KzY1UC8vOE02TkdqY0xTMGhKdmIyOGFOMjZNdGJVMTI3ZHZ4OWJXVm11eE5KVkt4WkVqUjNUYUR2NysvaGxxVC8venp6OEdjOW11WHIxYTcyaW8xMDFCa00vbDJucVhzaTJZOHY5cmRIUTB2WHIxb25mdjNvd1lNVUt6YjhyNzJhMWJ0N0N3c01EUjBUSGQ5d2tORGVYa3laT2NPSEdDdzRjUGEwYUNMbHk0RUV0TFM0UHQzV2ZQbm5IMjdGbSsvLzc3ZE4vajNMbHpEQmd3Z00yYk4vUHZ2Ly95M252dk1XUEdEUDczdi85cE9rd3FWNjdNcWxXcjBqMlhTcVhDeGNXRm1KZ1lKa3lZd0JkZmZLRTFHMWhrV3E3OUxLU21MOENzVnF1NWVQR2kxaUNmVHo3NVJETUt2MmJObXF4ZHV4YUF2Ly8rbTZWTGwyYm9QUTIxZ2MrZlA2K1oyZlRwcDUvU3JsMDcyclZyeDZKRmk5Sk4yWktiSkhkMnpwczN6MkI4NnNXTEYwYXRENVNVbEtUVGVaclc5NUNCenFVQ0YyQk82emxydzRZTmpCbzFLZ2RMazc4VXVDRHo2d2dKQ2FGUW9VTHBqdnBLSFhSTkxUUTBsR2ZQbnVIbzZJaTV1VG0zYnQxSzgzeno1OC9uanovK3lGU1pVK2JidW5idEdvY1BIK2JreVpQY3VIR0RMNy84a2hZdFduRHk1RW5OdE1NcFU2WncvLzU5bGkxYnhxRkRoL2pwcDUvbzBhTkhta25Wcy9wNlJjSFVxRkVqVHA4K3JhbUxzYkd4OU92WGp4bzFhbWd0NlBEWFgzOXgrdlJwcWxTcFFyRml4WEIzZDBlbFV2SCsrKzhiUEhkNm81YU0rUUpQVEV5VTFDOGlVeUlqSTFteFlnVi8vdm1uMXZhMFVyeW9WQ3FqRjU3MDh2S2lWS2xTbEMxYmxpZFBuaGhzckVaRVJQREREeit3ZGV0V1BEdzg2Tm16SitmT25XUHk1TW5VcWxXTGdRTUhzbWpSSXIxNXowWEIwNmxUSjQ0ZE8wYXBVcVVZUFhvMGYvenhSNmJyeHJ4NTh6aHg0Z1I3OXV6QndzS0NCdzhlc0dmUEhvb1VLY0tpUllzMEhZdndYNlAvOGVQSDdOdTNqOE9IRDFPNWNtVkdqQmhCbFNwVjhQYjJ4dG5abWZyMTY5T3hZMGY2OWV2SHh4OS9uS21PZUpGM0JBUUVjT25TSmZidjMwOWNYQnkrdnI3MDd0MGJTMHRML3IrOSs0L3l1cTd6QmY2YzRhZEN6aHkxUldFVFBHcHcwanBVNXVGcTk1YVpMQ3BwbHJpMHJLbW5zMXQyVDNYYlRGaHZ1bVN0MnRHTlRBTkZLVFJMRHVWU1VrcXBrWXFTeGdXV0kzWlg0Q29DUzhMQ0FJTEN6RERmKzhlWFlZSDV3ZkNkSDk4WjUvRTRadzdmK1h6ZjMvZm45ZVg3bWMvbjgzMTkzcC9YZTkyNmRVMG1rYXlycTh0NTU1MlhXMis5OWFCKzFxOWYzMktKaTcxNzkyYkZpaFV0SnZrT1ovdjI3ZnZYVGMvVFhGSm15NVl0bVRCaFFpNjQ0SUtEU2t1dFhMa3kzLzN1ZDFOWldabFRUejAxOCtmUHo0Yys5S0hEVGtLMWMrZk92UHJxcTNuWHU5NlZwNTU2YXY5KzZ6ZS8rVTBlZXVpaC9QYTN2OTEvVWFPMnRqWTdkKzdjWHp0MXhvd1pxYXlzYkRKLzBLRVdMVnFVQ1JNbVpOYXNXZm5VcHo2Vnl5NjdMQ05IanN5WHZ2U2wzSHp6elprMGFWSXV1T0NDbkh2dXVRZVZtR25KVVVjZGxibHo1K2JFRTA4OGJHbTZ0cGd6WjA0MmJOaVFyMzN0YSszdWk2NnpZY09HMU5UVVpOU29VZW5idDI5Ky9ldGZaOU9tVFJrOWV2VCtOczF0bTdXMXRRZU44dCswYVZPYnRxUG05cU9QUHZwb0prK2VuSWNmZm5qL3dMY0ZDeGJrNG9zdnp1Yy8vL25NbVRNbmt5ZFB6dGl4WTd2OWQ3Ykc0OURreVpPYjNFM2JhUHIwNlcwYWNMSjM3OTRteDdXNnVybzgrZVNUVFVyaXZQYmFhMitMT1lmV3IxL2Y3ajVhdXBOajdkcTEyYlZyVjhhUEg5L3VkZlJXa3N4dHRHZlBubHg2NmFXcHFxcksvUG56Vzl3WkpNVS85TmFTQXhVVkZaa3paMDVtenB5WnpaczNaOCtlUFMxTzNQVHNzODlteElnUkpVOGtVVjlmbi9yNityejU1cHVaTW1WS1pzK2VuV25UcHVYbGwxL096Smt6OCs1M3Y3dkphMmJNbUpGampqa210OTkrZXk2Ly9QS01IajA2UC83eGoxc2NNZFNSNzVmZXJmRUw0dWJObTNQbGxWZm04c3N2YnpJNXlOaXhZek4wNk5CTW1USmxmK21Cc1dQSHRscWVaYytlUFZtMmJGbXpYeHhicXFtNGRPblN6Smd4SXl0WHJzeWdRWU95Wk1tU1hIYlpaZTE1ZS9SUzExOS9mZTY4ODg0alN0RFYxZFcxdWRibnlTZWZuSnR1dWltelpzMUtraWEzYjY5YXRTby8vT0VQOCtDREQrYXFxNjdLNnRXcjk5ZjNQK3Vzcy9MNDQ0OW4xcXhadWVhYWE3SjI3ZG84OWRSVGJZNlR0Ni9wMDZkbjVzeVptVHAxNmtGSjRBVUxGdVNXVzI3SnFhZWVta0toa0E5KzhJUE43bHQzNzk2ZGozemtJL25PZDc2VFZhdFdKU2ttRnlaTm1wUmh3NGJsaTEvOFlyUHJYYlJvMGY0SnRLNisrdXBNbXpidG9GdHdUempoaEN4WXNDQXpac3pJbENsVHNtREJnaVRKaUJFajhzMXZmclBGU2Jub3VkNTg4ODE4Kzl2ZnprOS8rdFAwNmRNblJ4OTlkTDc4NVMvbmtrc3V5ZWpSbzNQMjJXZG4yclJwQjcybXBmUFN5c3JLRnMrcGEydHI4LzczdjcvazIvdFhyMTZkMmJObmwxVG5sdkk3ZEp2NTR4Ly9tQnR2dkRGVHAwNXRrang3NzN2Zm0xbXpabVhLbENtNS92cnIwNzkvLy96dWQ3ODc3RG9HRHg2Y09YUG1aUGp3NGZzVHpQUG16Y3ZzMmJQejVKTlBwcnE2ZW4vYnVycTZ6Sm8xS3c4KytHRDY5KytmcFV1WDVndGYrRUlHRHg3Y1l2LzMzSE5QN3IzMzNqejY2S01IMVhXZU9IRml4bzhmbjd2dXVpdDMzSEZIdnYvOTd5Y3BKcENIREJtUzZ1cnFISFhVVWVuWHIxOHFLaXB5M0hISFplclVxZnZ2V21sdVV2aUdob1pNbVRJbHExYXR5cEFoUTVxVWxIbnR0ZGV5WThlT2c0NFBqWGNZTkRRMFpPVElrWkk0UFVoRlJVV21UNStlKysrL1A4T0dEY3U2ZGV0eThza250MWhudWRIVFR6K2RUMy82MDBtS0YrTEdqQm1UTysrODg3QWxydzVNTXRmVjFXWHExS25adG0xYkZpMWFkTkFjVmU5NHh6dXlZTUdDZk9Vclg4azk5OXlUaFFzWDVxU1RUc3F0dDk2YXozem1NKzE0eDUycnFxb3F5NVl0YXpXbnRIang0b05xWHJka3dJQUJCNVdMYWx4MjVaVlg1c0lMTHp4bytZWU5Hekp5NU1qU2d1NUdWcTllbldPT09TWVBQUEJBNXN5WjArVDV4dU44U3hlTlgzNzU1UlluN3YzR043NlJHVE5tZEZ5d3ZWQ3ZTREwvNmxlL3loTlBQTkZxbTVZbS9tdjA0b3N2NXJubm5rdFNMSEwvZ3gvOG9NVys2dXJxV3IzcWRQenh4K2VHRzI3SXRkZGVtNGtUSithRkYxN0liYmZkMW16YmRldld0V3RTcHZyNitnd2JOaXkzMzM1N0prK2VuS2VmZmpxVEprMXE5WGF1eXNySzNIYmJiVG4zM0hQejNIUFA1VnZmK2xhclZ3TTc4djNDTTg4OGt3VUxGbVRtekprdGZoRTg0NHd6OHNnamorVGpILzk0Um93WXNmOWt1U1cxdGJXNStPS0xtOTN1SG5ua2tXWnI2SDNnQXgvSXZmZmVtMDJiTnVXem4vMXM5dXpaa3l1dXVLSzBOMFd2OWZEREQrZWFhNjQ1b3R2NkM0VkMrdmJ0MitZNllDZWRkRkx1dSsrK0hIdnNzUmt4WWtUT09lZWMvT2hIUDhxYU5XdXlZY09HREJ3NE1CLzcyTWR5d3cwM3RIaUw2K2MrOTdrTUhUbzAxMTEzWFp2ajVPMXQxS2hSemRaR0hqZHVYTWFORzlkcDY3M29vb3N5ZCs3Yy9PeG5QMnYxNHVFMTExeVRpUk1uNW52ZisxN216Sm1UK2ZQbk4zdmhuSjV2OXV6WnVlT09PL2FQNkd3MGZQandQUC84OHpudHROT2FuS2VPSHo5Ky82UklCN3J2dnZzT3VtaHlvTHE2dXB4NTVwbnRpdldjYzg0NTRzbmY2QjZHRFJ1MnZ5ekE0NDgvbnRXclYrY1h2L2hGaStWU0tpc3JjK3V0dCtib280L09GVmRja1ZOT09hVk42em4vL1BQM1AzN3d3UWN6ZVBEZy9QS1h2MnpTYnRDZ1FmbjYxNytlY2VQRzVienp6c3QxMTEyWG0yNjZxZGsrMTY1ZG0xdHV1U1dubkhKS0ZpOWUzT3lJNnNHREIyZktsQ21aUEhseWxpeFprdWVmZno0clZxekltalZyc203ZHVxeFpzeVp2dlBGR2hnd1prdVhMbHg5MmxITmxaV1Z1dXVtbTlPdlhyOVZFR1c4UFE0Y096ZlRwMDNQSkpaZmtvb3N1U3A4K2ZYTDMzWGVuYjkrK2VlQ0JCN0owNmRKbVg3ZGt5WktNR2pVcXk1Y3Z6NUlsUy9MS0s2L2s2cXV2em9vVksxcmR4dmJ1M1p0M3Z2T2RlZUtKSjdKdzRjSk1tRERob0ZIVEJ4b3dZRUR1dnZ2dVhIamhoYm5ycnJ2eWs1LzhwTnZmM1RSNDhPQVczMCtqdGlTWWsyVGF0R2xOam9IMzMzOS9zL21iUXkvSTlsUVRKMDdNUlJkZFZQSzhNbXZYcnMzcHA1L2VaUG16eno2Yk1XUEc1SDN2ZTE5N1E2U2JHWk5rWTFWVlZlR3h4eDRyZElTMzNucXJzR3pac3NJYmI3elJJZjBkempQUFBGTll2MzU5bTlxKy92cnJuUnJYdW5Yck9xM3ZSdDNwL1M1Y3VMQXdaTWlRUXBLYUpHWnVhOTY0SkRWRGhnd3BMRjY4dU5NK2kxTHQzcjI3elcwYkdocmExRzdMbGkybGhsTW9GQXFGclZ1M0ZqWnUzTml1UGpyS3NtWExDc09IRHk4a2VTdkpKOHU4TFhWWG81TzhNbURBZ01LOGVmUEsrbm0xZFJzOTlEV2JObTFxMTNwMzdkclZydGVYMjJPUFBWYW9xcW9xSk5tWTRua0JUWDAwKzg2WEZpNWNXTzZQckVOdDNyejVpTnFYOG5kMkpNNC8vL3hDa2tLU2YwblMrdjN3dmRPb0pNdVNGQjU2NktGTy9TdzZVMDFOVGJ0ZTM5bmJZYU5odzRZMWJvOWZUZEs5N3dudlhHUFNnY2Y2K3ZyNkR2aDBqa3hidDVuVzJ1M2R1N2N3ZCs3Y0l6cC9ia2xkWFYxaHg0NGQ3ZTZucTV4NTVwbU5md3UzSituTm1lNlBKdGw0d2drbmRNbjV3QjEzM0ZINDA1Lyt0UC8zbXBxYXdzcVZLenYwM0hQbHlwV0ZRcUdZTytndWJyenh4c2J0N1ZkSjJwekZMbmZjYmRHQjIyS1BPQjlvYVovYW5iYTN0dmp3aHovY3VFMytjN3JSUHJCWGpHUWVPSERnWWE4VWRhVFdSdDRjcWlOcVc3V20xREliUjZJN3ZWOTZ2cFpHakRTbnJmVzJEaDM5ZEtTYXU3c0IycUtVbW5BVkZSWHRIb0ZoVWg1NnN1T1BQLzZJMm5mMzJvdjBEQWVXS2lpRjdiQm5LOGRvM0xadU02MjFxNnlzeklRSkV6b2tucjU5KzVZOE1wRGU0OUFKMGFxcnE5dTkvenhVNDBUWmNnZDBocGIycWJhM2p0SDg3RUFBQUFBQUFOQUd2V0lrTXdBQUFBQjBsUXEzdWRETEdNa01BQUFBQUVESkpKa0JBQUFBQUNpWkpETUFBQUFBQUNXVFpBWUFBQUFBb0dTU3pBQUFBQUFBbEV5U0dRQUFBQUNBa2treUF3QUFBQUJRTWtsbUFBQUFBQUJLSnNrTUFBQUFBRURKSkprQkFBQUFBQ2laSkRNQUFBQUFBQ1dUWkFZQUFBQUFvR1NTekFBQUFBQUFsS3h2dVFOb1NYMTlmVmFzV0pHQkF3ZVdPeFI2a09YTGw2ZTJ0cmJjWWZRSXRiVzFXYnAwYVhidjNsM3VVRGdDcTFldjlwbTFVVU5EUTE1ODhjVlVWMWVYT3hTTzBJb1ZLMUpmWDEvdU1IcUUrdnI2TEYrK3ZOeGh2SzNWMU5TVU80UWU0NldYWHNydmYvLzdjb2Z4dHJabno1NXloOUN0T05iM1htKzg4VWJqdzBJNTQrZ3VhbXRyblE5MG9sZGZmYlhjSWZRb3pnYzYzL2J0MjhzZFFyTXF5aDFBTThZa21WZFJVWEZDZFhWMSt2ZnZYKzU0NkVGcWEydXpmZnYyTkRRMGJFdHlhUko3dHFiR0pYbW9zckt5dXJxNk92MzY5U3QzUEJ5Qit2cjYxTlRVcEtHaFlYZVN6eVQ1UmJsajZvWkdKNW1YWkVSMWRYVUdEQmhRN25nNFFyVzF0ZG0yYlZzS2hjS2ZVOXlYLzZIY01YVkRIMDN5a1BPbHpsZFRVOU40QWZ1N1NhWWtxU3R2Uk4zT3FDUVBKUmxkVlZWbGdFZ24yN3g1Y3hvYUdwTGtINUo4TDcwM3dUWW14ZTNPc2I2WDJySmxTK01GNmR0VDNEZnZMVzlFWmZQUkZML2JuVkJWVmVWOG9KUHMzTGt6dTNidFNwSmZKN2s2eWVieVJ0UXRPUi9vUWx1M2JrMWRYVjJTM0p6a3huU1RmV0IzSE1tOEtjbkdRcUV3ME1nUjJ1SDFKQnZMSFVRM3RUN0o2dzBORGRtNmRXdTVZNkYwTzVLc0xYY1EzZFNXSkJ1U1ZHL2J0cTNjc2RBK0cxTThMNkNwalhHKzFKWDJwcmpQbFdCdWFsdVMxNUlNMzc1OWUwVjNIVm56TnJNbnhmL3ozcHBnVG9ySEJzZDY2cEtzU3pkSnJwVEpuNU5zYkdob2NEN1ErUXBKWGsyeXM5eUJkRlBPQjdwZVE1TFYrLzd0RnJyalNPYktGSytBL0VXNUE2RkgrODhrTDZVYi9iRjFJNVZKVGs5eVhMa0RvVjFxa3J5WTNuMVMzWktLSk85T2NtSzVBNkhkWGsveTc3RXZiNDd6cGE1Vm0yUmxFdCtZbXFwSU1pTEpTZW1lM3kzZWpuWW0rVk9TWGVVT3BJd3FrNXlXM251c0g1Yms4aFFIamYxcmtqWGxEYWRzZHFmNHQ5Q2I5ODNPQjdyTzNpU3JVa3pzMDVUemdhNzNWb3I3d0IzbERnUUFBQURvZWNha2VFZExUWXFsOEFDZzdDckxIUUFBQUFBQUFEMlhKRE1BQUFBQUFDV1RaQVlBQUFBQW9HU1N6QUFBQUFBQWxFeVNHUUFBQUFDQWtra3lBd0FBQUFCUU1rbG1BQUFBQUFCS0pza01BQUFBQUVESkpKa0JBQUFBQUNoWm4zSUhBQUFBQUxSWm55U0ZKRXVUUEpYa1A4c2JEZ0FBQUFBQUFBQUFBQUFBQUFBQUFBQUFRSTlTVWU0QUFBQUFnRGJybDZRNnhlL3oyNUxVbGpjY0FBQUFBQUI2a3Zja2VUakovQ1JubFRrV0FFaVM5QzEzQUFBQUFFQ2JIWlBrN0NRRGt4eGI1bGdBSUVsU1dlNEFBQUFBQUFEb3VTU1pBUUFBQUFBb21TUXpBQUFBQUFBbGsyUUdBQUFBQUtCa2tzd0FBQUFBQUpTc290d0JBQUFBQU0wNk84ay9IN0xzbUNSbnBEaG83S1VrV3c5NWZtcVNwem8vTkFBQUFBQUF1cnRCU2Q1TVVtamp6NXRKQnBjbFVnQjZOZVV5QUFBQW9IdmFsZVFuUjlEKzUwbDJkbElzQUFBQUFBRDBRQmVrN1NPWlAxR21HQUVBQUFBQTZLWk9UTEkyaDA4d2IweHlXcGxpQktDWFV5NERBQUFBdXEvdFNaNW9RN3NsU1RaMWNpd0EwQ3hKWmdBQUFPaSsza3F5T01tZVZ0clVwWmhrM3RFbEVRSEFJU1NaQVFBQW9Qc3FKSGtoeWVaVzJ1eEk4dVMrdGdBQUFBQUFjSkNCU1JhbDVYck1LNUlNS2x0MEFQUjZSaklEQUFCQTk3WTd5YnhXbnArYlpGY1h4UUlBQUFBQVFBODBOQzJQWlA3TE1zWUZBQUFBQUVBUDhYeWFKcGlmTFd0RUFCRGxNZ0FBQUtDbnVMZVpaWE83UEFvQUFBQUFBSHFrdjB5eUpmODFpbmw3a3ZlVU5TSUFpSkhNQUFBQTBGUHNTUEwwQWI4dlQ3SzVUTEVBd0g2U3pBQUFBTkF6N0V6eVhKS0dmVC8vbG1ScldTTUNnQ1I5eXgwQUFBQUEwQ1lOU1Y1TDhsYUszK2YvWDVLOVpZMElBQUFBQUlBZTVaZ2sveWZKeTBtT0xYTXNBSkRFU0dZQUFBRG9TWFlrK1VPU1BsRXFBNEJ1b2srNUF3QUFBQUNPU0YyU1ZVbFdsenNRQUFBQUFBQUFBQUFBQUFBQUFBQUFBQUFBQUFBQUFBQUFBQUFBQUFBQUFBQUFBQUFBQUFBQUFBQUFBQUFBQUFBQUFBQUFBQUFBQUFBQUFBQUFvQ2ZybDJSZ3VZTUFnRkwwS1hjQUFBQUFRUG9rbVova1hVa1dsZkQ2Y1VrK2wrVDVKTFVkR0JjQUFBQUFBRDNFNkNTRkpGWE5QUGZKSkVlMTh0clpTVjVPOHA0MnJLZnl5RU1EZ0piMUxYY0FBQUFBMEl2MFMvSnNrcDhuYVdqbStYOVA4bmVITEJ1YTVIOGxXWmhrZkpLM0RubisrQ1NYSjdrb3lVdUhXZjlmSi9scWtndVMxQnhKNEFEUWtvcHlCd0FBQUFDOVRDSEZ4UEhHRkwrWEZ3NTQ3bzRVRTlCTDBqU1ozSkliVTB3dy82d05iWTlPY1NUenNpUy9iR1AvQUFBQUFBQjBJdzFKL21MZjR4OG0rY2NEbnF0SnNiYnlpQ1MvU1hMVllmbzZJY1ZrOWNsdFdPODVNYmtnQUoxQXVRd0FBQURvV2hWSjZsSWNVZnlKSkgremIvbHhTYXFUUEpia1A1SjhKY2tma3d4SWNrOExmWDBueWJWSk5pZjVseVM3a3J6WlRMcytTYTVJOHJzay96TUhqNTRHQUFBQUFLQ0hhQ3lQTVNqSnAxTXNpOUhvM0NTdkg5TCtiNU44TE1uRS9GY3l1dEdsU1c0KzRQZCtyYXkzNzJHZUI0Q1NxY2tNQUFBQVhhZC9rajBwSm56bkpkbWJaTkcrNS81N2twRko3bXZtZFJmdSsvZnZrNnhPY2txS0k1TnZUdkw1RkVjN3QrWi9KQm1XWWlKN1IrbmhBd0FBQUFCUVRvTlNMSldSSkVmbDRPVHcvQ1JmYldNL3B4N3crTFFrSjZXWXVPN2J3cy8vVHZMOWtxTUdnRlpVbGpzQUFBQUE2RVdPVHJKejMrTzNVaHpWbkNSVlNjNUw4c2doN2E5TjhwNW0rbGw5d09OVlNWNUxNWGxkMzhJUEFIUWFFLzhCQUFCQTEzbEhrbTNOTEorVXBDYkpsNUtzMzdlc0lzbE5LVTRJK0kvdFhPK2VKSVBiMlFjQUFBQUFBR1YyVnBMRmh5d2JrR1R0dnVkdU9HRDVKNVA4MzNUTVhjaC9sK1RuSGRBUEFEU2hYQVlBQUFCMG5SRkovdTJRWmYrVTVMZEpYa2h4WXNEM3BYam44YmVUVEVuUzBBSHIvWThrSjNkQVB3QUFBQUFBbE5IVUpGY2M4UHRIa3p5WFpPQyszOStaWXJKNVdwSi83Y0QxRGszeVpvbzFvWlBraENTbmQyRC9BQUFBQUFCMGdTZVNWTzk3ZkhxUzN5Y1pja2liKzFPY3JHOWtCNjk3UlpLLzNmZjRnaVQvcllQN0J3QUFBQUNnRTQxSWN2ZSt4NmNubVpuaVJJQ05xdmN0VzVEaWhIOS9UbkoxaXFVek9zTGZKTm1VWkZTS0pUbysxRUg5QWdBQUFBRFFCZjRweFRJVlp5ZjViSktLZmN1clVxeTlQQy9KSnc1b1B6YkpLMGsySnZseGt1dVRmS0NkTWN4S3NpZko2L3Y2QndBQUFBQ2dCeGllNVB4OWovdnYrL2V2a3Z4RGtzbEp6bWpoZGYyU1hKWGt5UlJITlZlMk00NktGRXRtL0NISmRlM3NDd0FBQUFDQUxsTFJ6TEkrWFI0R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UJaL1grMSs1aHg5RHNYdXdBQUFBQkpSVTVFcmtKZ2dnPT0iLAoJIlRoZW1lIiA6ICIiLAoJIlR5cGUiIDogImZsb3ciLAoJIlVzZXJJZCIgOiAiMzYwMDQ0OTQ4IiwKCSJWZXJzaW9uIiA6ICI2Igp9Cg=="/>
    </extobj>
    <extobj name="ECB019B1-382A-4266-B25C-5B523AA43C14-3">
      <extobjdata type="ECB019B1-382A-4266-B25C-5B523AA43C14" data="ewoJIkZpbGVJZCIgOiAiNDAzODExODExMTIzIiwKCSJHcm91cElkIiA6ICIzNTY1MTI1NTQiLAoJIkltYWdlIiA6ICJpVkJPUncwS0dnb0FBQUFOU1VoRVVnQUFBNUFBQUFFWUNBWUFBQUFxTUJtNEFBQUFBWE5TUjBJQXJzNGM2UUFBSUFCSlJFRlVlSnpzM1hXNEhOWDl4L0gzdlRmdUJDSm8wQUFSbklRQVNhRkJHaHlLVzREeW94U25sS0xGaWtOd0tGSm9LUVFyMmdLRkZDbnVWdHcxUVVNSUVPS1ozeCtmbWU3YzJabjFhOG5uOVR6NzNIdG5abWZQN3QzZE9kOXp2dWNjTUR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TXpNek16czFadGZhQmpNei9tS2NDUTJOOWRnZDdOWEFZek16TXpNek1yMDIzQUY4QnFpZTNyQWUxS3VQOFdRRjJCL1JzbnpsTUh6QVR1QStyRGJSMkI2NERMZ0tWS2VFd3pNek96Z2hVUU16TnJHamNBZlZDZ0YzYzlNQVdZVytDK0N3TzdBMzhDRGtqWjN3R1lERHdIYkFMTUFmb0NYd0k3QW4rUEhkc0FqQWUyQmc0SExpL3plWmlabVptWm1Wa1R1eDY0TTdGdEplQW5jajJFM1RQdWV4b0tEa2RrN044Y0NJQjFZOXZXRHJldGxISjhlK0FSWUI2d1pyR0NtNW1aMllLdHZ2Z2habVpXWS9OaXY3Y0R1cUNBY2xLNHJ5UHdGakEyY2IrZXdMTEFTT0NwakhQdkJid0tQQm5iTmdpWUFieWJjdnhzWUZkZ0t1cXRiRzY5Z2IrZ1h0Zlp3RG1KL1ZzQ2I2S2UyUk1UKytxQUE0RUhnWnVCZTFHQTNhbkE0dzBQajcwbFBQNExGRngvV2MyVHFNSlk0SG5nTWVCcDlMK29sY0dvVi9seTREK280V0h2Sml6UFlKUXF2WFRLdmpyMDNnNHlibGVYOFRobVptWm1adk8xZGlpb2lXN1hBZjlBd2RQVHdDN0FCY0E2NGZGYm9VcjEwU2pOTk5JZDZGemdjUllGWmdHL1Rtdy9Dd1VGaFVTVi9wV0FpMm4rQnNaL0FaOW43UHM5OEt1VTdWY0RENkVKZ1NJbm91Q25mY3J4K3dHZkFxdkd0blVFTGtTdmQxcmcwNVNPUnVuR2c4Sy9sd1ErQVE2cHdibEhBcThEdldMYmhnUGZBeWMwUVhrYWdHZkpmaDE3b2dCMjM0emJxaW4zTVRNek16TmJJQzBMWEFXY0dkNWVCZDZKL1gwc2pRUEZPOGp1WVZ5WDdDRHkzNmdDZnlVS1NLUGIyK0hqWFZEQzdmUHdISCttZWNmSkh4MCtiditVZlRlak1hTnh1NkhlcmlVUzIrdUIxOUNzczNIcm8xN09UVlBPWDRjbUdOcWh2Q0pYWlFqcThUMG9zWDBQMUJPN1hKWG52d2Q0T0dYN0dlSDVreE1uVlZ1ZVk5QnJtQlZBTG9YZVUyWm1abVptVnFhLzBuZ001RkRVSzNrQm1oVjFEdkFBK2NIZG40Q0o0WDI3cFp4M0dPbTlSUk5ScW1kck5nSUZIOGtncmg2WWtITDhlOEN0R2VjNkJ2VzA5WWh0ZXdIMWtHVlpoL3owMmFaMEhScnptdncvZGtYcHhwZFdlZjZIdy9NMEpMWkh2ZHRiMTdBOGc5QmtUSHVSSFVBT3BYbGZYek16TXpPeitVWXlnQVRObmdwd011b3RiSWQ2elJhdDhyR1dRcFg2dGFvOFQxTnJEMHdETGtwc1h3UDEwc1pGa3dJbGU4c2k2NGY3ZHcvL1hpdjgrL2RGeXJCSXFZV3RVanZnTzVSK20rWVo0TE1xSDJNRjhvTkUwSmpHQURVMjFLSThEY0RkYUtiZlFnSGsraWl3TnpPek5zNlQ2SmladFE2elVJL1pRY0R4cUJkeVcrQkRORGxKcFRaQVBVaXZGRGx1REMxN1RaaU5KdjRabGRpK0VmazlrTkVNczI5bm5DdmFQakw4R1MyWGtwVVdIUGttOFhjMzRDVFVLM3dKbXF3bm12U2xtclV6QjZJeGdhOW03SDhIV0p6OHROMXl2QXZjbGJKOURIcDk0bU5pcXluUDc0Qy9BVjhWS1U5UE5CSFNEcWduZURJS1dzZVRuclpzWm1hdFZDa0xWcHVaV2ROb0QyeUJKaXU1R0kyRi9KRGNXbzB6MEd5c3IxZnhHQnVobnIxQzZZUHRnUDNSeEQ2L1JBRlNTM2dVQld3OTBheXdvTlRXQ3hQSExSLysvQ0xqUE4rZzhZNHJobjhQQ1g5K1VHWjU3a0E5b3YrTWJSdU5ldHdHb0FsbUtoR05KNXlZc1QrYUVYWnA0T3NLSHlPcEN3cjIxa1pwclBHWmdDc3R6MHJvdFQycmhNZnZoWUxYTDFEUDZPZkFNaWdOK1Q5b0NabHBKWnpIek14YW1BTklNN1BtMXdtbEVENElqRU5CeXNhb2dqK0dYQUEzTjNHL253T0hBenNDMDB0NG5IYkFac0Q1YUdiUzdtaHlsYVFEVWUvanRSUVBIbGREUGFML0FING9vUXpsZUNRc3gzcG9pWTBPNkRXWW1UaXVaL2p6cDR6ekJPajFXU2o4ZStIdzU5VDB3MU10aW9MRlh5UzJQNGlDM0dwNklLTTFQck1DcHVtSjQ2cjFkOVNRTUJuWUh2VW9WbHVlZXVCczBtZkhUZE01dk1WbkNQNFFMU3Z5Q25wZm4xcml1Y3pNckFVNWdEUXpheDZyb3A2WFhWSFAyR01vSUp5RHhwR2RqSHAzTmc5dm9JbGRGa2NUNklDQ21ybG8yWU9MUzNqTTBTZ3Q5bXJVODNNOW1xbDFWdXlZcnNCeGFDM0d0SlRIdUpHb3Q2ZytMSDh5M2JSYXo2QmUxMUVvZ0Z3WGVDTGx1Q2pJTFRSTGJIM3N1RXBTYzJlaVhycHR5WitzNXhMVW8xZXRyUEpINWExVlQvQU80V090Qjl5QW5rL2FVaDdsbE9jSU5QRk9xVDJrZnlaOUZ0Yi9vbGx6dDhNQnBKbFptK0FBMHN5czZlMkdncmR2Z0QraXdMQUxDaDVCUWVGR3dHSm9kdEhJU2NBMndHRVZQdTUrYUxLZUtOWHpMbFR4UHlOMnpQR29wNi9ZQkRPZ3NYSlJNTEZzaFdVcVpDWUtJcU94aXhzQk42VWM5MTM0czFPQmMzVWsxK1A0WS9pelcrejNZcjVGci8vTmFNemVqU2p3bW9SNjZxcEp0L3crL0prVmhIWk9IRmNMQWZBNG1sam9PWlFXZlhPRjVSbEliV2RWZlJmWXBFYm5Nak96SnVZQTBzeXM2WTFIdllmUlpDTnJrRjlaLzRuR3dXTzFCcUd4Ym12SHR0MkdlZzRmUThIRW1paHRkaXhLYnl6bVJ0UTd1RHhOMTF2MENGb1Rzak93TXVxZFNub3IvTmsvWS85Q3FGZjMzZkR2YUt6aWttU1BtMHh6S2hydmVDQmFWL0pjNEJZVWJFOHE0enhKSDRZL0Y4dlkzeS84V2U2WXpWSzhpRjYvMzVJTElNc3R6L2FvOGVPQ3hIR0R3cDhub0dEelJmU2VMK1piY3JNUW01bVptWmxaUXRveUhtbE9BbDVPMmI0WHVYR0FXVzRFcmt6WnZncGFrbUVvR2d0M1NRbmxhRTZqeWExVG1MWHcvTkR3bU45azdGODkzTDl2K1BlZWliL1RkRVJwbEZtNm92RjdiNkVKWUtxWkdiYzlHai82NzR6OXo1RUw2aXExQW5vZDB0eEw0eDdVV3BXbjBESWVFNEEzTXU1M0UzcE56Y3pNek13c1JUeUE3SVRTV2k5SXVUMk54cGpGdDkySUt1blBrWnNrSm1ra1dqS2hiOGIrUDVKYk5xTjlkVStsNXJxZ01acXZvZFRmTEMrajhYeHA5a2RqS2FOMUhYdUg1N3l0d1BtMm8vRzZpWnVUdm14RkY5UjdXMHJQV2lFM29hQ3RjMko3ZDVUS2UzNFY1KzZBMHFXL1J6MnhTVStTUDROc0xjcVRGVUQyRExmL1FIcm0wMHVrVCs1a1ptWm1abWJrOTBBdUJ5eEJmakIzTXFwY2w2TVRXdWR2MXdMNzcwSVR4SHhFYnJ4aEtmcVQ2MG5hc3N4eWxlTUpWTDZzQUJnME8rcFBwQWQ1VDZJWlF1TXVRRUhrU2luSGQwZi9qM2h3Y3dSS1hVMXpCSEJWZ2JLVlluWDBIUDh2c2YxWEtHQkxCbUU3QWcvVE9Nak4wZ2tGME1uWlZrSEIzRTgwSGdkYlNYblNGT3FCL0FpNE5HWDdzdUhqN2xMQytjM016TXpNRmtpbHByQ2VRbm9LYXlGWEF1ZGw3RnNDcmJYNE9Kb0k1UVkwZ2MvVmxCWWc3SThDaEFCNHFzeHlsZU4wU252ZTBSakYrUGk1dzlGejdKZzR0alB3RUFxcTFvcHRYekU4eDZERThXUFJKRHpERXR2cmdmdUFEVXNvWHpISG9UR3gwWHFWeTZLeGxRZWtIUHN1ZXQzVGdzSTB4NFQzNlJYYjFoTzRIZlZzcDAyWVUwNTUwaHdlbG5ITmxIMmJvUGZNd3JGdFhWRGE3UDBVbmxIWHpNek16R3lCMGdsTlBESWFMYVh3T0pxTXBaalRTSjhrSnN0QndCWGtWOGJyVVUvU0oyaUNtb2JFZlg1RXZYTzNvbGxmczJZM1hSV3RDUmdBWjVaUnJuSnRTbjRQWXBiZDBHdDVJVnJIOGhUeWc4ZElPK0JnNEFYZ2ZUUVQ2UjJrOTBwdWhwN25QQlNRWG9YVzdQd0xXcXV6VnZZRW5rY1RHejBEN0p4eDNNbG8zT0xKWlp6N0Z5aGd2QmFsaUQ2S1p0MHROSHR0cWVXSk94Szk3eWFqMSt3OU5MWTJHWHdQUlV0LzNJWlNadjhEbkZpa1BHWm1abVptQzZTVlVRQXlEMVd5VHl6aFBtZWpkTlJTN0lGNm5lTHEwUnFBajZJWlJCZEozaW0wTktyWXp3M0xOZ040RUZndDVkamxVQ0RzSGlNek16TXpNN01tZGhvS0RFdFppUDRDU3B0Y3BDdXdmdXp2QWNDaEtKVjFWN0o3NUpKV1FqMUhINktBMTh6TXpNek16TnFJM2hYZWIwblNaOThzbFhzWHpjek16TXpNek16TXpNek16TXpNek16TXpNek16TXpNek16TXpNek16TXpNek16TXpNek16TXpNek16TXpNek16TXpNek16TXpNek16TXpNek16TXpNek16TXpNek16TXpNek16TXpNek16TXpNek16TXpNek16TXpNek16TXpNek16TXpNek16TXpNek16TXpNek16TXpNek16TXpNek16TXpNek16TXpNek16TXpNek14YXRWN0FRaTFkQ0RNenM3YW12cVVMWUdabTFnSjJBZlpxNlVLWW1abVptWmxaNi9jUThIeExGOExNek16TXpNeGF0eldBajRHdnc5L056TXlzUkU1aE5UT3pCYzBJb0MvUUkvemR6TXpNU3VRQTBzek1GaVNkVWREWUVXZ2YvdDZqUlV0a1ptYldoamlBTkRPekJVbDNZRzJnTHJ5dGltZGpOVE16TXpNenN4VHJBRE9CSUx6TkJEWnUwUktabVptWm1abFpxM1ExdWVBeHVsM2ZvaVV5TXpNek16T3pWcWNiOEEzNUFlUmtsTnBxWm1abVptWm1Cc0R1NUFlUDBlMVhMVmd1TXpNek16TXphMlh1SlR1QWZLd0Z5MlZtWm1abVptYXR5Q0RnQTdJRHlDL0RZOHpNekt3QUwrTmhabVlMZ2hGQTN3TDd1d05yTmxOWnpNek0yaXdIa0dabU5yOXJoOVo3N0ZyZ21NNW9mY2dPelZJaU16T3pOc29CcEptWnplOTZBTU5MT0c0NDBLZUp5MkptWm1abVptYXQyT3JBZExMSFAwYTM2Y0NvRmlxam1abFptK0FlU0RNem05L3RDSFFxNGJoT3dMWk5YQll6TXpNek16TnJwVG9ERXluZSt4amRKZ0ZkV3FTa1ptWm1abVptMXFJMm8vVGdNYnB0MHlJbE5UTXpNek16czFabkErQnpZRXI0dTVtWm1aWElZeUROek16TXpNeXNKTzFhdWdCbVptYk43QXZnWnFCOStMdVptWm1abVptWm1abVptWm1abVptWm1abVptWm1abVptMVRnMHRYUUF6TTdObTFnN29CblFDNWdMeldyWTRabVptWm1abTFscXRBdHdBM0JyK2JtWm1aaVh5TWg1bVpyYWc2UTFzQ0l3T2Z6Y3pNN01TT1lBME16TXpNek96a2ppQU5ETXpNek16czVJNGdEUXpNek16TTdPU09JQTBNek16TXpPemtqaUFORE16TXpNenM1STRnRFF6TXpNek03T1NPSUEwTXpNek16T3pramlBTkRNek16TXpzNUk0Z0RRek16TXpNN09TMUxWMEFjek16SnBaZitCblFBUHdFUEJGeXhiSHpNek16TXpNek16TXpNek16TXpNek16TXpNek16TXpNTWpTMGRBSE16TXlhV1c5Z0hXQTVZQ293dldXTFkyWm1abVptWnEzVktPQkQ0UFB3ZHpNek15dVJsL0dZdncydjRyNGpnUlVxdU4vaXdHNVZQRzdTNXNDaU5UeWZtVms5MENtOCtUcG9yZFVoUUorV0xrUVZWZ1dPQlJacDRYTDBwUHA2eEFoZ21RcnZ1enpRTVdOZkhiQTMwTG5DYzhmMUFSWk9iQnVZc20zRkdqeFc1Q3hVNzJ0cTFkUm5Cd0FiVlhDL2JzQllvR3NWangyM052cE1tTFdJWlZPMmRVVHBXRW5uQTBkWCtEZzNvTFN1WWgvYXZzQW13TW5BRThBY0lBRDJMSENmY3I1c3JnTytJZjE1bTVsVllnUFUremdsL04yc05kb1UrQmJZc1Vibkc0V3V6WVdXY0ZzRStBZTF1ZWF1amVvRHY2L0J1U3JWQjNneHZLVUZBblhBZVJTdjJCOEd6QWJHVkZDRzRjREhaTDhPYzlGclhxM2h3QS9BUHJGdHV3TGZBYXZGdG4wRGpLdkI0d0ZNQTU1RWpYSGxXZ0xva0xMOVp5bmJ0Z051QmJwVThEajdvZmZob1VXTzZ3YXNpLzdYZHdNL2h2ZTdwc0I5K3BEK0hOTDhDcGdIYkZQaThhMWF1NVl1Z0pYdEQ4Q1N3R3V4YldzQXc5REY1cEhZOXBPQno4TGZ6eXp6Y1VhaEQ4MHppZTAvQjlZRUZrSVhta0VvZVAwRGNDa0tXTDlDWHlwWjFnTHVESTk5c0VnNVpxRVA4Z2ZsRmQvTXpLeE51eis4M1FDOEh0N1M5RUpCUWpFOWdHdFJiOXJNakdNV0FyWUUzcUw2d0c5MitQUDJqUDFkZ2JPQjQyaGMvZ2JnTXRSQS9TVXdJK1ArT3dDVDBWcXVoVHdhL3R3QXVDZXhMd0QrQ1R3UG5JTjZUTlBNQUw0SC9sWGtzZEk4QXh3TzNJYnFWVXVIanhlWmlmN0gxWnFPZ3FESEU5dm1BaS9IdHMxSy9GMk4yZWc1WmYyUENoa05IQVBjRjl2V0Y5Z2wzQjZ2dDk0Ty9CYTlodVVHOFQ4RDNnQXVUR3hmQ2ZnRkdoTy9NT3FsM2hhNE1ueThDMUZENDArb29TRklPWGMzVkkrOUxMemZ2QUxsbUFWOGd1cS9aczN1U3RRS0UvY28rbENsdFlKY0Mwd3M4ekVHb2cvS21yRy9mNU54N001VTlzVnhWdmdZdnl4eTNGWEFYeXM0djVsWkZ2ZEFXbHV4QVpyb0tTc0ZjM3ZVUzdsZUNlZmFHRjEzZXhVNFpxWHdtSlZLT04veXFKS2ZkYnM2UE5mbEdmdWZDdmMvU1dWcGdsK2h5dnVTRmR3MzZZYXdMTU15OXY4ZjZya3JSOS9FMzZlamxQbmpFOXUvUTZtU3ZkRnp1UWNGTXVVYWpKN0RFckZ0VzVGZjdrOVIzUTFnZGVBdUZBaFZZakt3YjhyMlM5SDdyWkJkVThwMkN2QWUwRC9sK0wzUjh5dG5lRlVkcWdNZkVmN2RCZmdqNlVNWCtvZm5UOHZvSzJSTWVMK0xpaHkzRy9CUm1lZHV0ZHdEMmZiTVNmdzlBSDBCREVTdEcwbTNBbCtuYk44RmZZREdwK3piSHZVZ2JobmVka2U1LzVQUUYwMHg5V2pzeHA5UkNrQ2FrOUFYMkNBVS9HWkphL0dwcFU0b3JXRk5WTzdGVUpuUHBIaXJaaW4rUTNvNkJxaFhkYmthUElhWm1iVXRIVkN2eFVLb2x5M3QrZzBhb3ZJWWNGVEcvdlZRcjhhWjZGcjljWUhIbkZ0UlNiTzloM3FQUGtDQlJQTDhnMUE2NVVVVXp5TEtldjVaVmtEMWc1MG9QN0JMY3lxcTcwUU43bnNDTjVMclJTMVVGK21EZXFtU21WZnJvS0R4UE5STGQyeFkzb2ZKRFJPYWpzWS9ib1hxYzlQUkhCUmZvUHBXb1I2dC9WQkcxMC9oM3d1RlAwOGlWL2RhQmdYbkY4VHUxek44ZnV1Z0lVaTl3L0x0VHZyLzRSQ3lVNXE3aE05cFNHemJBSlNtdVNld0lZMTdXK09TOVZsUVVQbGI5UHlUL29rK0M4bjMwdUR3c2RJK0l5TlF2VzRaOUxxc2ozbyt1NUFMS292WkVYZ1ZlRE5qLzc5UVhYdHdrZk0wZFgyMldUbUFiSHVTWDlDN29pL25RU2hnK3dKOWNYUkNIK0ozMEJkUS9NdWpEbjJBQXZTQmVERnh6aDFRK3NCMTRkOFhvSlNTMzZFdmc3aUI2SDBVUC85UWxPcTZGYkFaNlQyVTA0RzkwSWV5SFdyZCt3QzFSUDRRT3k3dEE3Y08rckw2YzhxK2NuUkJYK1NYMG5pTXljSEF2NEV0cUN4ZEphNGVQYmMwbjJWc056T3orZHNzNEFEeUsreGpnSGRSY0pabUV4UThYWlZ5MzJJS0JTTkpwVTR1OVo4QysyYkZmaWJyQVIxUmowK2hnQmVVV2pnNVpmdVd3SkVVRHg1SEFFOVR2UEwrQnVwMW5ZanFTSXVSQ3g0TDZZSFNqRDlGdllieDEvZ2Y2SG5lZ29iaVRFWjFxUDNSbkJHRSt3OUFjMVpFcWFkSG9HQ3AyUC9yR3ZRK2lKN2JJQlJJbllabW1TWXMwMGcwcmkreUEzQTlwYWZOL2gzVmx6NG1QK2piSGJpWnl1cGp5ZnJzQ05TWThoSks4L3dCWlluTVF4UC9URVQxMWVUNHpUVlJFUDhPNnZXTzJ3RzkvbEd2YjFSWDNaWEc5VmJJamE4OGpGd0EyeHM5eDg5UjhQa2g2WTRrTitIVkllai9PNFhHd1c3YWU3QVhDbnovUUhwQTNXbzVnR3g3a2w4b1c0UzNLU2o0aXRZejJ4RDFvRzFMZVd1Y3JZbytNRmVRZjNHNkFsMVVKcUtjL1QraC9QR1p3RTNvWWxBb3Qzc0pHZ2RORDRjL3QwVWZ0dCtpbHJwL3g0NFpRWDZBT2dyMTNQMkg3SXRzS1E1R1h4aC9TMnkvR0FXM1oxQjlBRG1UNmdOZE16T2IvNlFGZ0M4QXo2SHJVOXJFS251aUJzOGYwUkNWY3BTejluZFR6MDU4RGVvOUc0RlNjTE04aCtaMm1Kcll2aEZLWDEyandIM2JBNzlHQVU1eWR2aCtLUGlNQnpGUjcrTW1xRDZWbE96SkE3MU96NGEvcjVOeXY3K2o0T1ZyMUdONGYyTC9hbUVaWGlud1BMSWtBNDZvVGgrZjBiVVQrY09iT3BFOUsyeWF6OHNzVjZtUzlkbmRVU0QxS2NxU2krcXVkZUd4bTFGZW5hd2orcXhzVFA0WTRmR29rK1Y5MUhPOEUrcHhCdFhaaHFOQUhOSW5oVnljeHNQRFBncHZmZEhuZWlnYVEvbVgyREVEVWYwNi9oNWFGdFhoWDBidlU3TW1jejY1TVpDcm8zenhOTCtndE5henBMK1IvMkU1SExWc3hhMlBncU5MeUxVczNvZ3VCbG1PUUsxZXlkejI4OE9mVjZCQU5PNXk4c2RBbmt2K09OQktSQzJDdlZQMlJhMTY1WHpKcHJtditDRm0xc3c4QnRKYXMyTlJKWFJJWW50dmxLNjRYNFhuTFdjTTVHb0Zqa2s2QUFWR1Y2TEtjWFM3TGp6WFh4TGI0N2Z0aTV6N1kvTEhERzVCZnM5ajJqWlFrTFZIeXZZQnFNY3ZiWG1IaThtZnFYYmZqUE9YYWlIVU9KQU00aytoY2FNNXFQY3JPVlBuMkl6emRpZFgxblhRbkJpTHhmWnZqeHI3NDE2aWR1dmZma1A2R01pNG9SbmJ0eWIzbXJZbmU3S2xUdWg5Vk1vNDM3aDl5SjlCZFRTNThaK1JoZEVRclF2SWpZSDhIWEJRZ1hPdmh4bzIxa3BzUHdKMWx1eENmaHJ1enVTUGdjeDYzN1o2N29Gc2UrSmQ0TVBJbnZxNUU5bmpEMWNsdmJWckFHcDVtNEsrVkh1aUZwWU5VY3ZQZGlpbG9COEs5QTRMSDJQLzhQNi9RN09ObllBdUdNbnUrdk5RUVBWeVdQWlAwQWN0U2xtZEVUNW1jNW1LTHNnL0p6OGduWXN1UEpVRTRjbnptSm1abGVwYU5OSEhSalNlY2YzWHFKSDN5c1R4UzZIcmFURlJUOVFaRko2Rk5YNXNLUzRMYjBsRFVLL1NhUlRPRnVxQlpqaE5VNHUwdnJRc3JJOVJBL1cvVWFYL3ZIRDdzcWhDWDh2eGFuVW9pTHVIeG5XQ1Rpakl5WnFrTUc1MTBudWNqMGJ2bFJrb1ZUY1pHTjVLZnYxbTljVGZ1NkNHdEYrWFVJNXkxS0gzeFZoVWowek82aDkvalpjbmw5YWJGQzBSa2xhblhSNEZmejhsdGplZ1h2eFgwZjk1YVpRYVBnSzl0MThMYi9Vb2xmY1I5QjQ0Rk1WRzU2TmdmSGswUzNCeWZPc1RxRDc3RkFyMm85bDlCNk5NdTBvbWwyeFRIRUMyYlg5R0Y1T1QwQWNqYmlIVW9wTmN2cU1iQ3ZqT0pYK055QlBRbDhoYjRiNjlVQXRSWEcvVWMzY3ErbEQrQ24xUW85VFduWUFKNFdOY2pscVVvdFNCYUIyZU45REVNdGVoTDg4N1kvdWIwMEhvaStPQmxIM0QwUmRFT1dOR2tycWk0SGcxTkpCK0RmVDZ2NENDN2VlcU9MZFp0UVpRK2NMWWJkMUtLS1dzSGFYTk5qay8rcGpzOFR6V2ZOWkRQVWEza3JzR1RrVFg5eHRqeDNWRzZ5cnVsTGovOWlnZGIzOGFwOHVsaVRKcWppRjcyWStWVUlXNG5LRXYxZGdJcFhudUYvNU1hc3B4WWRlamh2Q2p5UVdRQjZLNlN5MHNqT3BuVzZQWlZaT1pYRWVnSU9hZkpaeHJNTXJlaXZkcXRVZXB1VDNJYnF4ZUJuVU1YRkhnM0R1RjUzNGVaVitCaGhSdGhMNGpDaldrUjJ0TUpsTjdRUUZrSGFxbmJvN3FQRmwxcWpkUnV1blc1RS9XR0RWcUhFaCt1dk0rcU02NkVZMVR3ZzlBUzhUY2lIb1VuMEoxMnZqclY0OCtNNU5RTCtyUzRmYjI2UFhjRmszYXN6M3FsYjZGeHQrWjU2TFAzWFlvZ0J4RnJzRm52cG93SjQwRHlMWW4vcWFjaTRLKzIxRkthWHp5bVQ2b1JmS2t4UDFYUVIvQ1pNckVFbWp3OFZzRkhudHB0RTdTSWVqRENHb1plZ1Y5NEdhaUM5OW9kQ0VZaU5hS2pGK28za0t0a1JQUWgvZm5aS2ZoTnJVcDVLOEpCYnFncjRaU0M2clJDL1hXbm9FR1dMK0dlbGd2UU9NMzE2V3ljUTltMVZvYWpiZFlxcVVMMG9LaVZMSVRXN1FVTGVkclZQR3BaaHk1VmE4ZnFwaitEVjJUSXROUm9CZHBRR25YNXlUdTN4MVZrdGRIOHg0VW1wVG1EZFFUbEJ4UEdQY1JDbWdMcmVVTXFrZHNpeVlKU2ZiK1JLSmc5MWl5ZXhpN29ZQmhFOVJvT3lteFA2c2kzb1hHOVp1QlJjcWI1VlJ5dzNhNm9pQXYyU0JmcWNtb0Yyd3k2dDJMeitLNUR1cVpXei9sZmpQUTYvRXNDb3BXUlBXRm04aWwzRWRyWlM2T2d1Q3NBSElMVktjNUxHUC9XbWdOOGUzSTFldEFBZlY1c2IvclNRLytka2M5bXFNcHY5Y3QrYjg5UFN6RFJ6U3VHMFdUMDV4Q2Zycm4vcWozTUI0ODFxRkFNYTFCSXRJWjlUSStRaTdOdFRNYWZ4bTlWN3Vnem82L282eTVwMmdjUU01R3ZaT2Zobi8vSHhyRHVVQndBTm4ydlk5YWpmNUk0eStJUHVoQ2t2eEFSMk1ma3IxZm41RTlLMmc5V245bkluQXlXbHg0VDNUaCtncDE0NThjbm50dmRORllJZVd4STlFSGJET3lwM2R1S1IxUXFzbkZwQWVYNWVpS0xtcER5YldhVFVVdHJXUFFUR0pwNHkvTW10clN3TUM2dXJwZVhidDJwYUdobkxrMXJDMmJPM2N1MDZaTkl3aUNYaWc5eXdGa3k0cDZkMDZtK0ZJWDVlcU9zbW1pTEp1M3dsczk2bUc2bUZ6RmV5d0tZcFBYN2NWUmorU2xpZTJYcG15TCt4MXFRRDRUemF5WjdLRmFPTnlYTmhOdFhGYVAxZlRFT1RkRlFWZTU3aVNYQmJVWHlyQmFIczBpZnlHRmg2SFVvMkZFRjVMZktCL1hqOFlUcmd4QjEvOU4wSHdWL1ZHUGMxUlBPQVUxYk8xQmJnSDdMMmpjdzd3ZXVWbjQ1Nks2U3ptejhuWkhhNHV1ajRMWlFvMEtoTWNkZ2ViRVNMNVByNmMyS1p1ejBXdDVMWTNINFBaQi8rOWtIYlVEYXBSUDFtY0RDZ2VQMjRmbk94TzlUNGVoK3RwVWxKVzJRM2o3RGVxNS9UbDZINmE5RjY0UGYvWkd2YjN6elRxUHhUaUFiSHZTV3VQdVF4UE5IRW51WXJRYzZlbEovVkRMWWxwcjRNSGsxaVZjQzgwbWRRRzVaVG5PUWNIamI5RVh6cDJveFNaNnpHTlJTOHdqbFBabDhtdnlVMnhYU1d3Ymp0Nm44VzBqeWJYNDFOcGxLRS8vMEJxYzZ4MTA4VTJhamI3Y0RrUmZmc1crdU0yYVJLOWV2VGoxMUZNWk5DaVpXV1h6cS9mZWU0L2pqeitlTDcvOHNxV0xZaEpkMDZzZGI1K21BUVUyTjlNNGRhODNDazZXUmRjaFVFL2NIalFlY3drYWVqRVM5YUlsSjduTE1nWTRDd1VibDZBNndjWGtLdUFkMGZyUGF3T3ZrNTcrR01ucWdReG9uTjFVcU1lMGxCbGw2OUZyTVFxOVB1TlFZQkYvM2E0bnY2eWpVVDJvVUFBNW5GeHd1QkhxdWQwTVhmdTNRd0hqWStSNkFLK2g4ZVF2VVJBWjl5Z0tlaUk3b3NicDVMSnNhZXRBZ2dMQ0ZWRVBaU2wxa0tWUlVQMHN1ZGxKSTFudjNXNWt6OFVCMmZYWnY2RUFPUm9UdVJ6cGdWbS84R2V5MXhyMEh0dzAvRDJhdVBFVWxEVzNCM3E5TjBaWmZIUFFhekNhM1ByZjY2TGc4Z1pLKzJ5T0piL1RvUnVONjY0cm8zVGMrRGF2Qlc3TlpoejVBNkkzUkIvRUpXUGJQaUI5NnVFanlVNVRYUXlsYjNSQll3SUtwYk1lVE9OV3FJNm94ek82R0sxSy9peG1jUU5RRUJnLzVnS1V5dE1wZHJzS2paV01iNHZQUkZ0TFo2Q0xYYUZ5MThvaDZIK1duTUhMckRsc0FFenAxNjlmOE5SVFR3VzI0SGpwcFplQ0FRTUdCS2dGL2hjdC9ENDA5U0lGNUNyRHRkUXhQSGR5UnM4bHd1M3hoYy9mSlgrMlV5aC85dEV4S0tYMTFOaTJQNkNlUmxDd2RTL3E2UnVUSGNvcEFBQWdBRWxFUVZSUXd2bGVTeWxYdWJPd0pzZU5wb25Hc1JHV0s1cU5zNWhTWmlFZEdaNi9KL216UGg5QTRkZDNaVFFSek0rS1BNWk9wSTlyM1RMai9FZVRHMzVVaWpOUmtKVThQdXY1YjRQUzVJY1hPR2RhMmFKZ09UNXo3bC9JbjAwVjFBQVJrRCt6UCtpOVB4eU5EMTJud0hHZ1RwS0F4a002YmliWGk3azB1WEdZYWVwUWgwRjhQUDAycVBFaFhuZmRBOVdUNDl1MnhiT3dXak9KZ3B0QndOdW9SVzhVR2pzUnBVZ01SSzFPajZUY2Z6RWFwMUxFVFNLOUpTZk42alJ1cWR3R2ZmaWl3ZFQ3b0lIOVdiT0xIWVF1SU1rV3FIazA3cjJjRzk2UzIycnRCTlJhVkdqYTVscUtXaVBMbWVuT3pNem1MejFSa05NVWxjaGlrOEROemZpOVVqdWc2LzdOTkE3NkxrSkxSenlDZW9IK1F1RVV3N2hhTk9nVzY0R3NSK1dOZXVteVpxZ3R4OUpvWG9sb3VhQ29yZ2FxTDNWQXZWeTlVUS9oYmFSblZpMkxlbitQUVhXM3JKVHpjdEpYSTFNb3ZlZDdOZFJybDNiOFR1UXZPYk1JV3FkekxQQmYwaWRsaXY2M3k2SFg2U2R5cjlIcnNXTTJSbU1Oa3haRG41MnZVdmJOSkgvVzF5eXJvK0E0U3BFZGdIcGJIMGJ2aVUzQzhxK2Y4VHcyUS8vZnRFNlhlTjExTnFyekpyZTFTUTRnMjY2VjBadTdFOHBsMzQvY3hlSlhLTDBoYlREOW9tU1BkU3pIdXVSbTZ3SmRNQ2FoTDVqRlVRcG9NdDFsZGRUNnVBenFnZHUyQnVXb2hjTlJpMnl0cDdEK0ErcnhYWTM4TVFQZHdwK1RhL3lZWm1iV2R2UkU2WGxOMFRCYTdKeng0S3lhR2NmYm9UR2NlNFhuZVR1eGZ5b0tJaWVnN0tSeWd1V3NBREtabGxsb1J1bTBBSEpSbE1MNUhacUlaU2lsellaYXFvOVFTbVNXUzlCWXkydFJBUFlZbWhQaThRb2ZMeXZvclVVQTNvRHFmSGRrN0w4WmplR3NWRGVVcnJvMG1rdmplbktwdUw5QW41RzB4MTRVMVR1cmVlK0NudHRqc2ZOOGpBTFpWMUd3OXk1Nmp2SGdjU24wbm10QS84dFNHMFRtRzZYa2hWdnJFbjBaM0liU1JkOUhMU1hSaDdjLzZ2VTdMLyt1Z0lLN1NzWVAvaHlsQW9CNlB3ZVNQOVh5WStIUDFkRUhMZmxGK0NWcXFia1d0YjQ5UnN2YkFhMEx0RC81dmFFSGs3MEFiaW0yUThGOW41UjlLNkpaY3oyQmhablpnbXM1bXU0NlVLeGlIYThERmpxMlVCQXlISGdTVmZ3SGt6M203U0pVWDdtVTJuUmVURU1UQjBhM3F3b2NtMWJYL1JZMWFKK0xHbzlmcHZFc3VFMXBWNVM2T3BiY2JLT1hvTEdGVFpGV1htMFF1UjdxckhnQlRaUllLMUc1WGtFcHlGUFF1TU94c2Ywbm9mcHQycndkbGRablZ5Q1h2dDJBbGc2NU0zSE1jeWg0N0lFK284a3hycE5SQThETktQQjl0SUp5dEdrT0lOdWUrUC9zTmpUQS9lN3c3em8wWTlTL3lBL3VJa3RTZUpydnBKWFJlTU8rNUQ3QWh3SDNrMzNSV3dlMUhpVmJQeWVoTkpFN1VickNEN1Nzb1NodzNKUDhpMmNkbXA3Nmc4VHhFeWg5bXViL29tblRrMmtVRFNqb3Y1R21hWFUyTTdPMllSVnlFM2ZVV3JIcGxSc3lmazlLcXlzT1FrSGI3bWdoK2dQSlhsc1NkSTNkRHZWQVBranBrNGZVWW9yb3RQTFBSSFdselZEZEp0bHIybFIyUWFtdGg2STZYQlJFelFGMlJyMnExMUI0ekYyYXJQcDhQZFVIa0R1akhzQ0xVUDJ1MkpqUFVzWExQQkc5SjhhUnE0LzlGcVhDWnRXNXlxM1A5a2F2Nzc3a2xsVFpDWTNydkRIalBzTlFQZTJseFBacDZQOTRjdmozTzJXVVk3N2dGTmEySi82QlMvYVluWVZhQVRjUC8wN08zTlVCcFdxK1g4TGo5RUd0S2srZ0wvMy9oTnZYUVIrNFFwTy9iSXJTYTdNMFVQaEMweHpxVUpyRVhlZ0NHTmVlM01LLzhabmREa0c1K0J1akw0NWk0MFdQUTRIMktpaVlqSndTUHNhQ3V2NmNtWmxwNHB5aHdDK2I2UHhSZldFUEdrOEkwejM4MlM1eDdDYmtobGRFVmlFL2lGczgzSDRZeGRlTFhDVjgvRHRSZmVKbktGWDB2OENWS0ZoNnRZVG5VSTFDNTVpTFhvZm1HRTV5S0FvNHRpYzNZVTg5dWZKOWpySzk3a096Nk4rSXhvcytXOEs1cytyemRlVCtmMGVpZXVCWHFJNlR0VFpuM0VLb3h6UWFtM2dJV2habVRUUXJmeldTLzVkNGZYVnI5SHB0VEs1WE83a1c1WElVcm10R29peXdaMUdQNXJuaDM3MVF2ZmtRc3RjeTNSUUZqMmxqSHlIMzJyWjBuYmJaT1lCc2U5SmE0eHBReW1wL2NqT2dnYnJlVDBSZjlxK2hHYUptb2xTTllvYWlMOWJOeVUwdHZSUktKZGlDeGd2dExvcSsrRURwb0d1UlB1QTVzaGJwWDlidFVQcHJmRnpERVBUODR0dEdVdnBrUDFrNm9ndmJLZ1dPU2FiWTNvbSsrSjlGNmJqRmZJWXVsc2VqUWRtelVBdll4K2gxK2lMN3JtWm1OcC9iQzYwN1hJdDVDZEpFOVlXYmFEeStiM0dVUWhtZnhLMGQ2Z2xOTHEyMUY1cnBQVzRpMlV0NmRBclB0UU9hbEc0aTZrbUtybmRmb21Ea0xCUWdISVl5ZmY2TEduVC9tamhmT3hSVXhldXJBOUZzOFNjVjJRWUtPZ3JWZFllRjk0c0hDRkdQM1dFVXYwNTNSYys1a0NWUWIyMTdkTzEvTTdhdkhZM3JkWlBRN0tLbm8va1o5a2VCM3V0b2dxS3N0VGM3a1Q2UlRrUHMvQmVoSHRBelVlUEZ3VVhLRFhvOXJ5YlhDRDRUMVFIdlFPTTh1NlBYZmdYZ0U4cWJnQ2lyZDNsWDlOdzNvSEVXMkcvUjYvZFdlTjkxYUR6YmI1Wm9LTkp4YUoxSjBIdi9GclE4M1EyeFkvdWc5T2E1S01EY2cvUVpZQ05SWjByeXRXK0hYcHQ0M1hXcDhMekpzYnNkUzNnT1psVzdrc1pMV1BSSGczZjNLM0NmYmNuTi92UzdFaDhuV2p3NHNoSzZ1S1NOQ2R3VkJWdlBvcGFpVjhqK1ltaVBXcERTZ3RncktHMmRxWFBKTFl4c1p1WHpNaDRMS0MvajBXcDBSN09TZG03Q3graEYrakllaTZNZXNFVmoyeWFoZ0NscEgwcS8zcTRaUHQ1Y05EWnRUSkhqMTBicHJEUFIyTHEwUU94VEZDVDBxdkEyQndWaFdmWU55eHdQbkplaHZHVThzdXBWUGREc3FZK1F5d3hMT3B6c1h0dzFVWDF2THZtWlVrbERVZFpZMHM3a3I4dTlLbzJYeWNneUNnM2JTWnN0dmg0MUxqeVBYcXNBMWUyK1FsbHUvMFYxd2xkUmIrcXphSzNLdUYxcFBLRlNCK0JzdEZSYmw0d3lEVVR2MVlEYzhLMWkydEY0a3NUdUtIMDRiWG1YRWVnMWZ4azFmdnhBNFFtYUhnL0wwaXV4ZlJkSzZ5VFlBcjFIelpyY3hlUUdNUzhQSEl2R0p4YXpQK3E1cThUSThQNkZXa202b2pFRU41RzkxazdrWnRMVERzNm10QysxbzlCRnpjd3E0d0J5QWVVQXN0VTRBMVdHbTFJUDFBdVlURXROazF5R0lWSk9DbWxITk5IS3plUlhxQXRadU1DK0I5SHlDWlg2QjQzWDUwdGFGQVY0UjhlMkRVS0J6Y29sblA4TzBzczNFcVY0RnNweUF0Vm5YaXR5ekZKRjloZXlCOWtUR3hXeUhFcWg3VkhzUU5RZ3NST2FCT2p2YU42SFQ5QjNUSUNDeXJReG5Yc0NsNFcvZDBUcHZjVmVMOUQzMXE1VU5qNTJHUlR3RjF0MzlSWTBNVTZoZFN4QkRRQ1R5VzhJMmdXTjV5eG1FMVN2TjJ0eXRSaFFYcTVTQjJEWFlycG9NMnQ2RGlBWFVBNGdXNFU2Q2djMWJWazVnV05yMVlIbUcrSzFPRTA3b2VXU2FCbU1jbTFKYmVxYkhja09RbDJmYmNNOEJyTHRhWWxaTzVPVDlWUjduSm1aMllJcUlIM1I4Zm5CL0RDWlNOcFl3cVl5c1luUFg4a3lGMUM3TlRGbmtqMHUwdlhaTnN6TGVKaVptWm1abVZsSkhFQ2FtWm1abVpsWlNSeEFtcG1abVptWldVa2NRSnFabVptWm1WbEpIRUNhbVptWm1abFpTUnhBbXBtWm1abVpXVWtjUUZabURObHJIUzBLN0VEdFh0dmxnUlZyZEM0enN6Wm41c3lzV2VDYnp4VlhYTUhMTDcvYzBzVXdheXJEMGVMeFdmNFA2RmFqeCtvRWpLN1J1Y3lzQlRpQXJNeHZnTmRRc0pqVURiZ0YrRnVOSG1zZzhDWndhbzNPWjJiV3BqejAwRVBzczg4K2ZQdnR0MlhmZC9Ma3lleS8vLzc4OE1NUEJZODU4OHd6Q3g0emJ0dzR4b3dadzl0dnYxMTJHY3phZ1BYUTJwUS96OWgvRXZBQzBLVUdqMVVQUEFBOGhOY2pOMnVUL01GVkVMZ3RjRmtaOTVrQlBBMThuckl2YWlxL0lyYXRIL0FWbFMxTU9oT29BKzZvNEw1bVptM2VtREZqbURCaEFrT0hEdVgrKys5bnlKQWhBSng5OXRuY2YvLzlMTG5ra3ZUcWxaNFU4dHByci9IWVk0K3gvdnJycy92dXU2Y2VzL0RDQ3pONzlteVdXMjQ1cnJqaUNyYmRkdHRHKzk5NDR3M2VmZmRkcnIvK2VsWmMwUWtoMXVwMUFQWUZiZ0pLYlhXWkFVeEZRVjJhbWNEMXdFL2gzNTNEeDVsYVFmbWlldEk5d0p3SzdtOW0xcUorQmx5SjBpbktjUU53YThhK2ZpaFFYRC84ZXhuZ1l4UlExbFZReGczQzh3MnA0TDVtWm1rMkFLYjA2OWN2ZU9xcHA0SzJZT3JVcVVIdjNyMkRQZmJZSTVnOGVYTHczWGZmbFhTL3E2NjZLaGc4ZUhEUjQrYk9uUnNNSGp3NDZOS2xTekJuenB4Rys0NDk5dGhneFJWWHpOc2UrZXFycjRLOTk5NDdtREpsU2tsbGFra3Z2ZlJTTUdEQWdBQ1lEdnlpaGQrSFZudExvTUJ4eVRMdnR4L3dUWUg5YndMSGg3OTNBaVlBejVJOW5LZVlBRGlvd3Z1YVdRdGJrSHNnZHdCMkFuWUJaaGM0Ymh2Z0VPQUQ0TWR3Mityb3Ric2c1ZmdvR0QwRTJENzhQZW85SEFZOFUyWTU1NVZ3VEFNd3Q4enpWdXNVNEVDZ04zQVh1dmg4RmU1YkNiZ0VwY0tNQnc0QTRybGhHd08vUXkyWDdjSjl4d09mWmp6V1lzQ3h3RkxvZnpVVVdDSGNOeGg0b3haUHFBTGJBYU9BdzJwODNoSEE2YWgxdHlOcXBmMGp4VnRxU3luUGYxRERTWm9QS0R3R3hscFdWL1IrZjdhbEM5SVNldlRvd1JGSEhNSEFnUU81L2ZiYjJYbm5uWmswYVJKWFhYVVZRWkNkM1BIaWl5K1dkUDc2K25xT08rNDR6ajMzWEJvYUd2NjNmZTdjdVZ4MzNYVU1IVHFVSTQ0NEl2VytuMy8rT2JmY2NndDkrdlRockxQT0t1K0pXV3ZTMWo5amcxRTIxUzdBcEFMSERRVCtCSHlHcnNQend2dDJKYjFlQTlBSDJBeFlKUHc3dXU1dWpxN3o1U3FXa2RVUzlacGRnZU9BUVNoZDl4RGd5WEJmTytEUHdGalVTL3M3NEtYWWZaZEhRNDA2QWJQQ24yY0RqMmM4VmlmZ2NHQWs4RDJxMDZ5S252ZUJsSmNWVnd1TEFlZWk5OFpjNEIzZ0NITDF1bXBNUm5YRkxCZWcxeUxORU9BY05QZElJZVdVL3lUZ3hBTG5Xb3JzK3FndDRJWUJid005Szd6LzlXVDNRQzVDNHg3SVlnYWdDbjlXTUQrU3dqMlEvZEVIcFNWYWtvOUNaVXZMNlJvR1hKZXlmUy8wd1Z3K3RtMlRjTnZTS2NldkRYeUp2dGpqOWtEQjVGN2xGYmxxVzZEZytBWDAzQyt2OGZsL2hsS0pkZ24vN2d6OEM3aU45QjdzY3N2ektFcHRTcnU1TjZKMVd3SlZXR1lCMTZEM1NoL0t6NkNBTnRJRCtjMDMzNlJ1UC9YVVUvLzMrME1QUFJTODlkWmJ3VGZmZkJOTW1USWw3M2JSUlJjRks2Kzhja21QTjJmT25PRHp6ejhQZ2lBSXhvOGZId1JCRU54MTExM0JnQUVEZ2hrelptVGU3Nm1ubmdxQVlOS2tTYVUrdFJiakhzaUNhdmtaYTI2OVVGMWdyUXJ2dnkrRmV5QmZJOWNEV1lwVGdJVUs3SjlMZGc5a1BXcnNQSXJLTXJlcU1SeGRTMytkc2Y5MUZPVEZEVVZCMHBheGJRT0E5NEN0VXM3UkczZ1p1SkRHZGIrMVVWRC8xN0pMWFoyK3dDY29hSTNtUmprUmxiOVE0RmVLUmRIcitRLzAvMDdXT3lhUjMzQzlFbnB0N2dudisxYU55MzgrOEllVXN1d0w3RjN5TTF2QUxZZzlrTDFRZXNjZVZKYTdYMnQxNk0yOEx1a3Rob3VGUDQ5Q1gxQkpDNk9XcTFIQWZVMVJ3QUllQ1grdWpnTHl1TFdCT3hQYmxrVUJ6aDdvZ3gyWkFQd1RUVHcwS3JaOW9YRDdOU2h0T080NmRMRmZtK2I5c3IwN3ZIVWsvZjlSalk3b05iZ2J1REhjTmgxTjJ2UWVldDJTa3pPVlc1NlpxQlhWMnE3MjZDSzNONnJNUEk5YXlaOUJ2UUtGTWlyYWxBY2VlSUE3Nzd5VGl5KyttRVVXVWNmSDk5OS8zNmlIY01NTk55eDRqczZkT3pOM2JucEh4dGRmZjgzMDZkTlphcW1sQUdob2FLQi8vLzVNblRxVjc3Ly9Ib0J6emptSFUwODlsWTRkTzJZK3hwdzVTZzVvMzc1OTZVL09Xck8yK0JuN0M3b1dQdC9TQlFudENXeEVkbTl1SGZCTEdqY214dzFIV1RjWGt4dDMyUnhlUU5sbXE2ZnNHNHg2SCtOZktPM1F4SWszb2ZwSzVHT1VPWFV0Q3BEaVkxRnZCS2Foem9ONFQreHp3STVvYUZWenVoajlQMzVMTHV2dGo4QnVxRmR2bnlyT1BSaTlQanVsN1BzbDZyMStQN0g5TGVEUThQZC9VendkdTl6eTl3VEdvV0RkS3JRZ0JwREhvWmEwSjZvOHo2b1VUbUV0MWF6dzUwV2twenFzajlKdHowTGxUaG9DN0k2Q3JPYjJQUG9TSEltK1BPTTJRTk4reHgySGd2YmJVODUxSGJwQWJ3ZzhIRzQ3SG4zUXo4MTQvQXRvdWNtRlpwSkxhYTZWM1ZIcVJQTEw3aVBnS2RTSWtEVzdiNm5sYWU2VUlHdGFnOFBiOXFnQjRUMlVVbjRyaFZQWTJvU2RkdHFKQng1NGdEWFdXSU1ubm5pQ0paZGNrbnZ1dVlkUm85VE9kTjU1NS9ISko1OFVQTWZycjcvT3JGbXpVdmYxNnRXTDNYYmJqYUZEaDNMS0thZlF0V3RYQU82NDR3NDIybWdqbm56eVNWNSsrZVc4SVBXMTExN2o4Y2NmWi8vOTl3ZGc5bXpGRXc0ZzUwdHQ0VE8yT1dxRTNxWFlnVVVVU21IdFgrYTVaZ0gza2oyRC9FRW9zK2FTalAyN28zcEZjd2FQb0tEMVNWU3ZTZG9JTlhqSDdZSjZ6SFpJT2Y1TzFHQjdLTG1VeVMxUjF0WG1wS2Z4UG9tQ3orNDBIdnJUVkpaSFpUOE5aVDlGNWdFM0E4ZWdRUGlMQ3MrL0xIQmV5dloyS09EYnJNajlKMU00Z0t5ay9EMkJLVVVlMTZ5UmppalhQSzBscEJ5MVRHRk5UcnFUdEQ2RlUxaUhoUHV6V3ZHYTJnVGd2NGx0OVNqdE1xNDk4QjNacjFzNzFOc1c5WTUxUUY4Yzl4WjUvRVdLN0c5S1gxRGJGTlo3MEd2UUlXWGZXUlQvUDVkU25uc3FLNXExQWxGNlhWRGliUUs2c0M2S3B0NlBwNEsxaVJUV0lBaUN6ei8vUE9qY3VYTnc0WVVYQmtFUUJQdnV1Mjh3ZS9ic0lBaUNZT0xFaWNINzc3OWZNTDMwcjMvOWE3RGpqanRtN3A4MGFWTFFxMWV2WUkwMTF2amZlUTgrK09BZ0NJSmd5eTIzRElZTUdSS3N1T0tLd2FHSEh2cS8yOGlSSTRPR2hvYmc0WWNmRG9JZ0NPNi8vLzRBQ0taTm0xYVQ1OXlVbk1KYVVDMC9ZODNwZmpTbXNScTFUbUdOVDdxVFpnNkZKOUg1Sml4VFN6Z1dCU0FMSjdiZmhnSzd1SHVBcnd1YzZ3RWFaMXpkVFc3K2h5eTlhYjVsOW81RTcrVlJLZnZHaFB1YTR2K3dQMG9qTGVZbUNxZXdWbEwrWXZWS0s4R0MxZ081THZyd1A5WFNCWWtwWlpLYzF1d1JsQ3JRbTF5S3hsb29GU051RUdyMXlWcEViUTZheENWcTlWc3pQR2V4LzFYYUJXOGZOQkhOVDhEaXFJV3JNeHI4WHF2MU9adkMybWdNUzFwM3lUdmh6OVZwZkRFcVIxZlVvcmthbXFSbkRiUnU2UXRvUW9Eay82eWxEVUpqRzB6NlVONUMzaHVIdHkrQXgxQUY4SG0wQkZHYjBiOS9mNDQ3N2pqR2pCbkR6Smt6bVQ1OU91M2F0ZVA4ODgvbjhNT3o1bDNJR1R0MkxHUEhqdVdsbDE3aTVKTlBadno0OGYvcmFRUllkTkZGT2VhWVl6anFxS09ZT25VcXMyYk5vbXZYcmp6NDRJTU1HRENBcFpaYWl1KysrNDRMTHNoMXpGeHl5U1g4OU5OUGJMREJCZ0QvNitGc2d6MlFTNkhHQkpOYWZzYktYN1MwTWgxUTVrNGxFOWswcGJaY3Qza0VOUWFNSkRjVXB4MTZyWk85Z2lOUXNKemxiV0EwYW1UNEN2MnZucWJ3cEhocDc1MmZvYlRncWFqaGZEUWE0dlFYcWtzeFhUdjgrV3JLdm5pOW81WTZva2x6MXF2QnVTb3AvMXowR3A2TmVwVjdvMTdmTTBtZnU4TlNMR2dCNUVEMHBkYWFabGVxWkczSTF1UlI5RVc3SHJuOC85SGtwM2xFUFdlRjBpQytRSldaQm5JOXJoK1VXWjdqMEpkQlBIMTJLVFJ1WVVDWjUycE8zVkhsSld2OHlwZmh6N1NKaGtyVkMvVjRuNEZhN1Y1RFFmMEZhTUtDZFlGWHFqaC9yUjJNWmtFMnFhZndwQlJaK3FOZWt1MVEyczVuNk1MYVhDM2NWVHZ1dU9NQXVPZWVleGcyYkJnZmZQQUJsMTU2S1I5Ly9ISEo1N2ozM252NTRJTVBHRGR1SENlY2NFS2pmUWNjY0FDZzlTREhqUnZISnB0c3d2ang0N240NG9zNThzZ2ppNTU3MXF4WjFOWFZ0Y1VBY2l2VVdHZFN5OC9ZZzZoeS8zck5TcGR1R1pUaDgxRVRQMDY1Mm5MZDVqblVReDhQSU5jbWZ4YjloZEg3cFZpOUJqVFpZRGZVVTExdXZXWVVTdEg4T2JrRzVxNm8wYURhZXMxeTZMbW1wWFRXb3Q2UlpsODBWS2xRajNlcEtpbC9KeFFvWG9UcWluVm8wcVJydzMxWDFhQmM4NzBGTFlEc2lIcWxhdkhGVnFzeGtNMVJpVnNNdFpMK0I3V3kxTkl6S085OEpMa0FjaGlhZGprdW12RzIwSGlHbjlEcjBZTmM2a2k1RXgzdGlTYWRpZnNFRGFadXFYU1lVa1JwTWRNeTlrOVBIRmVKcnFnUlpTaTVGczZwYUFtV01XaFErVVpWbkwvV090QTJaajlzTG5WVTkzMVJoMTdUN3FoSHZxWFM3U3AyKysyM2M5QkJCN0hQUHZ1d3lTYWJOT29WTEdUYXRHazg4Y1FUdlBUU1N3d2RPalJ2ZjdkdTNmajk3MzhQd04xMzM4MHV1K3pDNmFlZlR1Zk9uVFBQR1UyY0F6Qmp4b3lDayt5MFl1M3daeXl1bHAreGJqUlBIU3Q2NDJWZE84cFJ5ekdRVFYyMzZZSWFRRDZnOXN1dXpFSzloUEZ4a0duakgwdXQxNEFDeldpTVhybjFtdDFRSTNnOE8ybGF1UDNCTXMrVjFKMm1yWGNrTmFDTXB4MXJkTDVLeWo4UWpiRjlMTGJ0VXRUNWNRNmF0TEVXbjZmNTJvSVdRSDVIN1M2V3I1QyszdDRpWkUvL25DYWFUakMrYm1SY0tiT3dnbG9nMC9SQVl4UVhSbDlheTFEYndjUFJGMjJVZng2dGdaUk16NGlDOWtLVjF1aUNFMUQ1eFdjYXNDMzZzbzE3aGx4clZHdVc5ZnJFWDV0S3ZZTlNlcE5tQTM5SGEwLzFwSFhNVGd3S2FKMU9rdE1IcFI2WE85NzVDelJCMTZzb1hma3BZQlhTSjRsb3RlYk1tY096eno3THQ5OSt5OHN2djh5RkYxNVk5RDVublhVV1BYcjBZUGp3NGR4NjY2ME1HRkM0c2Y3bGwxK21mLy8rTExiWVlnV1BBeHBOelBQRER6L1FxVk9iak1OdVIybGJKclg4akRWWEN1dDM0YzlhdkFHam1VSFRsTnU0MkVEamRTT1Q2aWs4QzJ0WHN1czFvSW1NTmtMWHhJMnBQcEJLZWdTTjRleUdKcWhiQTcwMzRwcXpYck1wK3F6K2xOaStjNFhuakd2S2VrZlM5dUhqMVhMSVRMbmx6N29RakVmMXg5Rm8yUkVyWUVFTElOOUN6N2svbGM4b1ZhbGg2QU9UZkNOSFg1QlpzN0NPcExSWldMdW03QU5kRUtNZ3MyZjRlNjFubjNvRURUcnZndElnSDBzNXBwU0xYRWYwK3Z4QWJrYlJjc2FqQUJ5TkJycEhpeHYvbmR3a1A2MHR4U2Z1Ky9Cbmw0ejluUlBIMWRxNzZFdDRCVnJQTlBCdmtGdXMyalRCUnprei96NkN4dncrZ1JwUHZxY05qMHQ2NElFSFdIWFZWUms5ZWpSZmYvMDFQLzc0STF0dnZUWFRwazJqYjkrKzlPM2JlTGpzM0xseitkT2Yvc1RDQ3kvTVN5KzlWRkpRZVBYVlY3UDU1cHZuYlgvaGhSYzQ3TEJjdmZxVlYxNzUzOHlyQUpNblQ2WkhqeDVWUExzVzh3bktUREZwaTUreHoxQWdVV3lwZzZhd0lucmUzNlhzYTAvaFdWZ1BwdmdzckZuMUd0RE1wNkRyMWpKRlMxcStSOUNDOHlQUS8vY244bWN4TDdWZUEycVlyYlJlY3o2d05UQVJMWWx4SzVxY0o2RDZlczMzNkgyZnBpbnFIZnVpc3RkS0xjdi9idmh6WUZVbFdrQXNhQUhrQ3loNEdvNWFyNXJMVGlpWXVSck5QQlVQSXV0UnE5WkxGWjc3Ty9SRm5GWFJmaDlOWTd4aldJWktKMkFwNUJFMFJmVUkxSEx6bDVSam9sbTBDcVhCOUVIcEtITlJ4UWJLdnloT1FCLyszNkIwMXVQUk9NMmphTjJUaC95SXhnTmsxWEw3aFQvTEhUdFJxcWkxUERrRGJOVDZhcTNiVE5UdzhoR3FYSXhuUGxqaktnZ0M2dXJxbURkdkh1ZWRkeDQ3NzZ6Rzl2YnQyN1BRUWd0eDExMTNNWDM2ZEE0KytHRE9QLzk4NnVweURkRVhYWFFSblRwMTRva25uaWdwZVB6aGh4OFlQMzU4M3ZoSWdEWFhYTE5SdXV3cnI3eEM3OTY1OWFrLyt1aWpraDdEMnJUVytobWJoekp1aHBPL25GWlRHb1RHc1gyTWxxVklCcEgvb0xvTWtyUEpyWWVjWm44VTRMMVE1TGhLUFkzKzU2TlFQZTJSbEdPbW9JbHhpdFZyUU1GSmRDMHR0MTd6S2Vvc0dJc216TmtQMWVYK1NQVVRBMzZJeGtIM0l2OS9XT3Q2UjI4MGp2UGdHcDBQYWx2K3JIcFFaL1JlYUxNTnNFMWhRUXNnNTZJZ2JnOUtDeUQvZ0w2VVA2UHgraktnRk0yMHNRTDE0YmwzSTVlU3VnU2F1cmtmeXRtUFAvWkhhT0tYTE1YR0tYMUdkZ3RlNUV5YU5rM3BhWlMyT2hLbG83eVRjc3piYUtyckZUTE9VWWZTQ3U0Ty8zNHgvTGxxa2NmZWhmeUx4K2ZBQ2VqaXNobEt5WGtVQlpUTmVZRXQxd3ZvWXRXTy9CVGdxRVhzUlNyM0J6UjV6bXJrZjZGR0xhTEpOT21WZ1ZOUUE4QkY2TXZhV284M1VHYkRrMmdjME91MHprWE9LL0xBQXc5dzJXV1g4Zmpqai9QTk45OXcrZVg1cTlSMDd0eVpEVGJZZ0pOT09vbVRUejRaZ0lrVEozTGlpU2R5empubnNQenkyZG1JUC83NEk5OS8vejFkdW5UaG9JTU9ZdGxsbDZWUG56Nlp4MGV1dSs0NnVuZnZ6dUtMTDA1ZFhSMjMzbm9yZSt5eFIrVlAxRnF6dHZBWnV3SXRQbjgwcXVnV01nYjRQV3BjampjT2RrTlpVRmxqSU45QUU1WkUreGNoTjB2NkFlU25kMmFsd2thSzFXM09MckwvSHBwMldhb1o2UDgrRXZVaVhwWngzT01VWHJadGFkUnpHRFUyZkVqeGVzMDJhR21XNmJGdDA5RXlYWmVqYS9qQmFQM3Z0ZEFRcUVxOWdPcXFnOGxmSDcwVzlZNjRuNkU2Y2kzWFR5MjMvQnVoOWNOL2pjWTZ4bVhWZzNxZ0lUWDFhS3hrdGV2SVd4dlZFd1Z0bzZzNFJ3UHdiMkN2eFBaNmxHcXdTUlhuVGhxRmVpenpaMzVvWFI1SFUxa1hXb2Z3QXZSRm1uYmhXQWs5enkxaTIxNUFxY1paRFIxOWFYeVJXWUhzYWFIUEk5ZXJXU3UxWGdjeTZwMU9HNXYySk1WN3FZdVZKMXJmYkhqS3Z2TlJta2REeXI1dUtMQ2ZqVm84MDQ2eHBoZXRVVGNMWGZpMlJKV1RjdE9ob0EydEF4a0VRWERZWVljRkhUcDBDT2JObTVkNXpEYmJiQk5jZlBIRndZd1pNNEpodzRZRjIyKy9mZEh6ZnZ2dHQ4RzRjZU9DSlpkY01nRCt0LzVqM0lFSEhoanN0dHR1amJiTm1qVXJ1UEhHRzRPK2Zmc0dRTkNqUjQvZ25YZmVDYjcvL3Z0ZzFxeFo1VC9CWnVSMUlBdXE1V2VzdWQyRkd2dXFjU29LbEpMWDNJUFJiSlZwYXhSWGFoNjE3WWxxQ3FlaXo4bDlCWTdaQmwxWDA5SWU2MUNEOXJteGJlTW9YcWU3Tm5HT3NSbkhiUldlYTlrQzV5b21xbnVscmNsNE92b3NGRzlWSzAzMDNNdVpYYjNZT3BEbGx2Lzg4UGlqVW83Zk90eTNkc28rVUtkRWdNYU9KOWNJdFFYRVlOUWpWc25VeFBWb3Nmc0FwVzZzbU5qZkErWDlQNHRhK3FxMVFmaFlxMVI0L3dZVVZMeUhldVdheW1tb25Ec1VPS1lmR2dld1JjcSswOUZFTi9IZ012cGkvbFhHK2E2bThRRDhOZEdZeHpScmtzdHZyNVZpQWR0UWxGSmJ5bUs1b0RTSmllU3Y1N1VDdXRqdVVtVjVyaVY5U3ZrRzFCcDlSWUg3ZGtCald3UFUwbTNOcnh1MVdUY0wybGdBZWRkZGR3VTllL1lzZU15VUtWT0NJVU9HQklNR0RRcEdqQmdSVEo4K3ZlVHp2L25tbXdFUVhIVFJSWG43MGdMSXlJUUpFNExkZDk4OWVQdnR0NE1nQ0lMeDQ4Zi83L2ZXeWdGa1FiWDhqRFczN3FqZXNWV0Y5eCtMcmpNL2tEK2hYeDBLcGo1QnZZMjFDQ1FEcXVzNTJ4OWxPOTFNYnF4YnJXMk15bmxwZ1dQcVVFL3N1U243TmtFTnMvMWkyNVpBcjNGV2V1OXZ5TC9XdjBYMmEvNEQ2WlBqbGVNTzFETWFmNHgyS0ZNcFdTL29nWUs2NjhtZXN5SEw3ZWoxekFxSTB4UUxJS0c4OHU4ZGxpRXRLTDQyZkt4Q3ZlTm5oZmQvbGR6NFZsdkFySTE2ZGNxWmJhMExDbENpbnBpc2dkTU42RTBib05USll1a0toV3dZbnFmU2hWeWoxcG5vMWxSVEJXNkNVb1I3RnpsdU14Uzh4d2NNalVBZi9yU0I4R2VnTDhoZHlNMm8xUnQ5b1Nkenh0YjNQL29BQUJyeVNVUkJWQWFnNTVnMkMrNEoxRGFBN29GYXR2NWQ0SmlyeUwzdXBRNlEyaENsemtRWDhDNW9mTXN0TlNqUEVpaUFURFpHbklZcUJzV21hUitJM3Z0ejBYZ0RhN3ZhVkFCNTJXV1hCVjI2ZENsNHpOU3BVNE10dHRnaWFHaG9DRGJkZE5QZ3ZmZmVLL244NzczM1hnQUVOOXh3UTk2K1FnRmswcFZYWGhrOC9mVFRKVDl1UzNBQU9WOWJCSTFMeko4SnFyQ2pVZkI0RzFyd1Bzcys2QnJ3QVZyenNsSjE2THA0ZUJYbitJTGM5WFhUS3M1VFNGZjBmSXYxbUExQW1XMGJ4TGIxUTlmYnRJQitLNVJxZkNxNWlZSTZvT0E4YlVqU2gyaHVpV1Q5YlJUNU04NVhvaitxQTF5QS9qZDFhTmpUTytSZjYzY2o5N3J2V3VialBFTDVBZVRUYUd4am9XQzFuUEszUXczN3lZNkp6ZEJrVkJzV0tVOTcxQmtSVUhsanpYeWh6U3drM1FTZVF4UExuSU1DbUdKV0RlK3pCTEFPNmxWS2pvdU16RVZCektrb0hmRlowdE1HUzlHUStGbXVqOGpOMGhXdDJkZ1Vua1FmOUdKVGw5K0xBci96MFppNnk5RkZhVDNTeDljZGc2YXAzaHRkdE41QUMvdmVUWDRMM3RmaHo4dlJGL2QxS0hYMVN2UUZsRFViWERtMlFDaytUNk12a28zUTlPRVhrWitTY21mNHVCTW9mUW1SaDlGRjZFQ1VaLzhZYW9USStxSXVwenlmb1RFSSs2QVd1NXRSd05rUGZRYUt6VXo4RHJrQisyMXl6UUpybTk1NTV4MSsrdWtuNXMxTG44UGdzY2NlWTYyMTFxSlBuejVNbkRpUkZWZGNrY0dEQjdQenpqdnpyMy85aStuVHA2ZmVML0xzczFwR3JsdTMvRXpGdXJvNmdxQzBXZXcvL2ZSVG5ucnFxZUlIbWpXTmIxQ2p3Qlpvb3BWaUZrYlhxUU5SSSswdlVjcGxsbXRRTUxVWUNqWXJEUUNycmRlQXJwV2dpV3hlcmVJOGhVeEQxOVppUWRySHFGNjRHK284dUFnRk03OGlmVG1JZjZCT2dXWFE3UHB2aFkvVGdmUzAzcS9Sa0trUFVTZkdoZUZqYkU3NjhtL2wrZ0xWVWZ1aWV1NHo2SCs4SHZrVDB6eU9NcGJlcC95eGdQOUc0MjdUTXFIaVZrTFBMNW9jcW1kWXJrdlJNaHZWbEg4T0NoWjdvYlR2VzlELzR6ZG9ncCtIS1d3MnVWUng5MEF1NE9wUmdKSTF6cTRkY0FTcVBPOUIrWXR2bjBIeEZJaENmaEhlZjkwSzd3LzZvR3hGMDZWNTJJS2pHOVc5RjYxMWFGTTlrT1BHalF2cTYrdURHVE5tTk5yK3lpdXZCRHZzc0VPd3pqcnJCQk1tVEdpMDc3bm5uZ3RHang0ZEFFRzdkdTJDTmRaWUk5aHBwNTJDbzQ0Nkt2am1tMjhhSFh2R0dXY0VRSERmZmZmbFBmWnBwNTBXTExIRUVzRnp6ejBYZlBqaGg1bTNWMTk5TlZoNTVaV0RidDI2QlMrKytHTHRYNFFhY1Eva0FtTkRZS2tDKzZOc29GTW9QeFZ4YzFRUkx4WUlaT21FNmpYSFZuaC9VTjFzTTRwbnpwZzFoZEVzMkoxd1ZzUUtxQnQ4YXlwdkthdERQV0FIVkhqL3JkQTZYZFhtdUp1WlJkcFVBQmtFUWZERkYxOEVRUkFFSDN6d1FYRFpaWmNGMjI2N2JiRFBQdnNFRHo3NFlNSDd2ZkxLSzhFaGh4d1NMTGZjY3NIR0cyOGNUSjQ4T2UrWU45NTRJMWhoaFJXQ0o1OThNbS9mbDE5K0dRd2JOaXlvcjYrUER3WEl1N1ZyMXk1WWV1bWxnNU5PT2ltWU8zZHViWjUwRTNBQXVjRHJnb1p6N0kvR1RWWnFIelFPcmhJOTBMd01vNnA0ZkRNeks4Q3BnbVpXYTIwdWdBeUNJUGpvbzQrQ1cyNjVKWGp0dGRlQ09YUG1sSDMvMmJObk4wR3AyaFlIa05ZS05LQWhGMmJXUmkxbzYwQzJSVTAxWnRITXJFMFpNR0FBQXdZTXFQais3ZHI1a21mV0Nzd05iMmJXUmpsLzE4ek16TXpNekVyaUFOTE16TXpNek14SzRnRFN6TXpNek16TVN1SUEwc3pNek16TXpFcmlBTkxNek16TXpNeEs0Z0RTek16TXpNek1TdUlBc25KTEFRc2x0cTBEOUtud2ZFT0J2bFdWcUh6N0Fac0NkYkZ0U3piaDQ2MkUxMzR5TXpOclN6b0RBeFBibGdNR1ZYaStmc0NRcWtwVXZ0SEFyMmk4dG5aVDFuZVdBSG8xNGZuTldwUUR5TXF0RFh3RTdCamJ0azI0YlpVS3pyY0I4REd3ZDJKN1B4UjRGYk1lMEx2QS9uWElEM2gzQUs0S0h5T3lFL0RQOFBocW5BcU1TbXpiQ2hpUDMzZTExcTJsQzJCbVp2T3RMc0Fid0RteGJTc0Fyd0gvVjhINStnTC9CYTVJMmJkQkNmZGZBbGlqd1A1bGdSVVQyOVlKSDI5WWJOc0t3R1BBempSdVNDL1hUc0NCaVcyTEFjOVF1RjVtNVhOOXA1WHdxc3FWbXduMEFCNkpiWnNOZklxK0dDczUzMXpnaHNUMkxZSE5VWENacFE3WUYzZ2R0Ykw5a0hMTUthaVhjeTFnWXJodGNSUXNmaEU3N3R5d0xFOEMxd0MvcHZ3RmYzc0NoNk1lenJWalpYOFVmV0hQSy9OOFZ0Z2F3TStCczREcExWd1dNek9idjh3RUdvRG5ZOXRtbzdySFB5czhYeDN3dDhUMjVWR1Era1NSKzIrT0dzUi9odW85U1RzREp3TmJBUGVIMnhZSDNrYjFrTWhEd0l6d21FT0JiV2xjSHlyVklTZ3cvUlQ0UjdqdEpXQWE4RzBGNTdOc3ZWQjk5bnowZWxzTGNRQlp1ZG5oejVteGJYT3FPTis4OFA3eDgzVUJmb3RhdGg0R3VwTWVIRzZNV3NDaTRDOHArcUk5bVZ6d1dJZlNjRjlOT2Y1aVlGSGdHTlRxZUY1NVQ0WGZoR1hmaXNhQjd6T294N01UK3RLMjJuZ1UrQTY0QnhpTHYxVE56S3gybXFLK0F3cXc0bzRIN2dWT0pMdSsweHZZRXdXYUUxUDJnd0xCaDhrRmp3QURTSy92UElreXllNEdya1QxbG5Lc0E2d0wvSkZjOEFoNnpkNUJqZWpQbFhsT3kvWVpDaUJ2Qk01Ry8yZHJBVTRsckZ6YWwyZFd6MXBuMUpOWFNQeSs5ZUh0Y21CbDROMXcrMjNvQTlPcDhWM1pEUmdPM0FMTVNqbjNyaWhndkNhMmJTbWdLK2xmcUFCL1FBRmZ1YjJQWFlERGdGdUJCeFA3QW5SeCtGV1o1NnpVZHNBRlRmd1luZEgvWjYrTS9YMkJTOUNGNVNaMFFic0RHSkZ4L0gvUTY1UjJlNzlBT2Y2TEdodnVRK2s5Wm1abXRWQk9mUWVVZmRTbHdQN2tmZHNCKzZBRzBLaStjemdLNmhaTE9mY3V3Qm1vNFRScE1NcTB1anl4ZlJEWjlaMS9vWWJ5Y3VzN0FNY0Jud0JucHV5N0Z2aDlCZWVzeEJEMFBKcmFlT0N2R2Z2YW8rZjdMMVRmdVJ1WUFPeVJjZnhKWk5kM0FyTEhxSDZIM2dQbm9BNFVhd0h1Z1N5c04rcUZTNXY0SmEyU1BnOEZETW1nWlUxZ2ZhQS82Z1VFQllnZFlzYzBoRDg3b2E3NTcxRnF4bDZveFdWaE5EWmdDZ3BhNGoxNHZ3ZStLdkE4OWtmQlp6dzFZeEQ2Z0dhbDI4NUZMWEUvb0p6ekM0R2pnRzhLUEE3QTc4TGpqOGpZZndsS1Q3a0ptRnprWEpYWUF2Z0ZDdERXSUgyTVJTMmRqdEp1MGl3S1BJMHVNQWZGdHErRnZsajNvM0dMSmVoOWtUV201TE1pWlhrWlhjVHVSYTJpUHhVNTNzek1ESFR0T1JKZHQwb1JCWUduMFBoYTB3K2xrRzZINmhCUm8zYTg0VHVxVTNWQURlRDdvY3luVTRHYnczM2JvRHBxVDJCUzdMN1hVTGkrOHh0MHJZeGZXN3VnSHNoWEN0enZPR0NSOFBmVGdidFFJM29obzFDZDQ1ZWtYMi92UTBIT1NEVFdzdFpXUXM5M2VXQXpsS0xibExaQ0hSTFhwdXlyUituTUg2S2hWMUdqUTk5dysxRHlnK21ld0FuQTV5bm5tMHZoYktydlVHRDZFQnE2OVVaSno4QnF4Z0ZrWWQraUw2c3BLSENLdDhKdGdMNDA0Z0wweFhaWUNlZnVpTDZrWnFNdjRxSG9DL1lrWUdwNHJtdkpCWDI3b3kvaUE4THl4SFZIWDVBZnBUek84YWhsNmxNYUI3WkRVUkQ2eHhMS3VoNEtlbFlITmd6TGwyWnA5QVZ4Q0dxUlMvTXA4SGYwdW01TDdjZEQzaDNlT3RJMEFXcmNldVFQMUk4N0FVMHljSDFpKy9NbzNmZ3lWTmI0YXpBVCtITVZaYm9PMkJvRi9KVk1ibUJtWmd1ZWVhaDNxVDBLMkpMRFlRNU4vQjJFUDA4Z2Y5emdMaW5uL3czS2ZKcUpBZ2RRNC9aWHdGUGhZOTRhYmw4VjFUZCtBYnlaT004MDFFRDZkTXBqL0J4ZDk5NUcxOWpJUWlnTGEwZGdvNVQ3eFExQXdlditxTDZURlhTMkF5NUMxOXpiTTQ0SlVDZkV0U2hMN09zaWoxMnV0OGo5WC81TjA4NHF1eENxZjJhTkVkMEIxUk8zcFhGZCtTczBET3RaVk85N0s3YXZKekNPNG8zaldkNEVUa04xeXRYSXBWcGJNM0FBV1Z6eXk2dFdwcU1VamNoZUtDQTVPdnk3Si9vQ25JRmFZblpFSDdJL3BKeHJVL1NsdkNQS3VZLzdFK3BKUFpMRzZSbmowWmk1VW9MZFV0UURWNk5XdjJ1S0hIc1NHbUQrRnpUNVQxTjg2R2NDUHpiQmVTT2QwWVh6Q0dCTXhqRWp5TzloakR5R1dpYVhvSEd3WFVrS1RkSWZVTy8xbjRBWGEzQStNek9iLzFWYWtTL0YrYkhmbDBZQjJrVW9jNllPalh2Y0U5VjUxa1hYN3pIa1gxOVhSN09zSGtqKzlmVS9xQ2Z6SE9ETDJQYi9RejEwZTliZ2VVU09SdzMzQnhRNTdwK29wMndDcXFzVjZqMnR4bVNhTm9BY2g0TGhPekwyajBDOWdHa1QrYjBRYmg5R2ZnQ1o3QkFwMStXbzNud1FqZDlqMXNRY1FOWldVUHlRa2sxRlg1Q3pVQ3ZZQVNoZG9nSDFWQlpLeFlpYmpNYkdKWTFBUFdDMWNpWksvOWltaEdOL1FNSHVJK2hDTUJiNG9JWmxhUTZub0ZsUEN3V3BYNkhXemhQSmYyOTBRc0ZpTWlXNEZnSGtteWh3UEFBRjZHWm1aclZVeS9wT2dES3lacUdnNGhOVS83bVYvMi92M29QdEtzODZqbjl6VDZBOXVUUUprb1pMaXBERUFnWXN0RWtGSVZ5MElRMmtncVVoWXkzSTRKU2hJMU1SaThSYUlTMFZxL1lpRlhzYmF2RTJiUldLV0VyQlZ0U3BIWW5PYU91TXhCRm1yUGN4UTZ2UUFzM3hqOTlhczlkWmU2MnoxejVuSnpraDM4L01tWk9zdmZaZSszTDJXdS96dnMvN3ZDa0ErQkRkc3BYMmsyazBkUnNabkk0NmpLMWs1TytINk5aUmZTMFpaZDFEZ3RoSFIvaGNEb2F0Skh2c2J5Ylo1ei9KS09CSytvUGtPV1JrdXo1NnVZaitRa3JEZW9GTWlib2VBOGlEeWdEeTREZ0JXTUhFRXRoZGxITUhmcDZrTmU0bHVlWDNreFBTVkZNZGp3UFcwSndDVXJXUnBJSU1La045WmZHOE50TmNOYTF1QVVsM3VKSlUwdm82bWF2NFd6U1g1SjVwTnBJQThGSFNrOXJtRTJSWmxvK1RZSzdhTTdlanVMMDZiK0pvOHY1dElCZlRNOGw4MHNmSlJYR1lTbTZQa1Rrb1Vxdm5ubnVPUFh2MjhPMXZXeFQ1U0xGMzcxNC9ieDFJQzBoaGt3ZUd2Ri9aM3JtQkJKQ2ZJdGZFQjBuRzFNNXBQS2Z6R0p3WjlYTFNUdnZiQWZ1dEpkazlsOUo5eWJhZkpBSE9oMGx4d2Z2SU5KUEhtRjQxMjROaENXbS9YRHBndjN0Slova0RaSHBYZGY3aUZhUUlZRDF3L2k0WmVQaGwwdG0rakZUdXY0T2tCbmYxR01rR1cwUG1ZT29nTUlBYzdIdkpGNysreUd4WlJLZTZmWnptSWpxWGtWU0hUU1FJSE9RMXBHZnI0eVNJMkVqdjVGbGUrVC9kY0wrdXlxcFZPNEhMSjludkN0SzdkaTRUMDBHcXRwT3FxdWVTZE5obDlPWk9uRXFLLzN5NWRwL2pTSER6cStTMWZvYk1tOXhHZ3VYNldwZ3p5VUtTdW5wRmgzMS9sM3grUDBNK3czZlJlNjNIa2xIWXFpV2tBTUY3U01yeDM1UGUyRjhucVRtYjZEN3kvQVNaYjNJVUZ0TlJpNmVmZnBwZHUzWXhiMTVUblRDOUdMM3d3Z3ZzMnpmZHJERzlTQjFGTHpXelNiMjlBLzFGZEY1RnJuZVgwNTd1V0xXR3RBY2VKY3R5M0VUYUp2c1pUWHRuVGZIekdpYXZ5cjZSRkJmY1FudkJtN1drNC9jeTRCUlNqYlNzQkxzS09KMjBkNnFkeFhOSUczSlBjWXg3U0RCMlBna29mNDZaN1U3Z0ZnWlBOWHFLZEl6ZlM2cmQ3aWFEQW1lVDRHNEwvY0h5UWhJb2ZvQU1pc3dpS3hiY1U5ejJrWTdQc2F6Y3V4NERTTTB3RzBnZ1ZGMzI1RHh5QWwxVzJmWU9KdVozRCtPblNBL2NuNU9VMC9ra1NQMEcrU0tXTmhmSFhWTDhmelZaQitla0lZNTFINWx3L1ZJU3NEVTVsZlFPL1FyOXdYTnBKeW5DMDlZUjhUbWFUOFFYa05ld292ai9BbktDV2RhdzczVDhPLzJsdktmcnZlUXpLSjFJWGt2Yk1oNlE5K2paWXI5bjZGODh1WFFLK2J6cjcwT1ordkhGSVo3bm00cmpIVFBFZlhUa1dFdk9WZnY4T1dKL25pTG5lYW5xWkRJYVYrOVZHbWRpVnN2R1l0djNUT0VZNjRyN1BrNHFzNjhnN1lBdmtDcnRwZG5GZnVYVW1QbWtZTXJyaHpqV2pTVElPNHAwemphMVp4YVFFYk12azZ5ZkptZVFySy9sTGJlL25RUlpDMnJiNTVEWFVPMTBmaE9wemo5S3Y4ZlUyNTl0dHBDYUZWVlAwcjZNQjJTQTRuL3B0WGUrUnZ0NytoU3BVRnYzV2ZLWkhkM3hlUjViSE8rTkhmZlhDRGdDMmMyZ2xJWlNXNkRWNW5qZ0VuSXkrVUh5WlhzOXZVbkZONUFSelpmUjZ6a3JSejdmUTBiNmxwTDVrajlOVG1CTjYwQldMUUV1SnFXenYwVjZlZGJTWC81NU55bkljd3Z0Y3gzMjBGOWh0R285emVzU2pSVy95MTdMNzVBSjJqUGRxMG5PL2pEekYyNGp3ZjF5TXNKNkc1bFEveXlwU2xlZDEvR1A1TUpkOXp5NWFGNVBSaVRicXVCV2xVdkVkRWtwMXBIbkNkS2dlZG1oZmlJNlpQWmg2WHYxZTJMd0xzRHc3WjNGSkxoNEk1bFRCK2wwLzBMeDczSWF6T2ZvSHltOGhuVGFMeUtCN1U3Uy92aEdoK1ArR09tMGZRYjRNOUxaKzRuYVBtOGxRZXhtMnVjMFBzZmtOUVhXa3dDdVhyMjIzdDZCWkNmTmRJdkorN0o5aVB0c0l5T3E2MGo3ZGpmNTNMNUkycnIxeXZnbnREek92Y1Z4TDZDOUVHR1Y3UjBkVnNvUnlHcHYxQzEwN3dFNmlRUVJ6NU9UNVUwMEw0cDdlc3R4bHpUczI4VU41S1JiZGg2c0lpZnNxaDh1am5IZUZJOEJHZmthcC9uazg1Yml0dGtOdDQzU0tFY2dGNUNxdGZXZXRNbEdJSzhucVJ6VkhzbEZwRnJ0T09rRTZPcHR4WDFlMVhILzIya3Z0eTFKMGpER21UamxaUlBkUnlEbmtjNktjZExlMkZyOGUwTnR2M3A3cHp4dWwrSjhUVTRyN3Y5OWxXMlBNTEg5dEpLMHZkNDV4V09Vdms3bU5kYXRLWjdEK2ROOC9FRkdQUUo1Ti8yZkQ3U1BRSjVKT3FYcTYySy9sYlJ6LzRMdW5RNm5rL2VzcVNCU2t3dUwvZGQxM0Y4ajRBams5TTFxK1hmZEt2SmxmTEQ0L3o4QlY1T1J2ejIwcDBCMm5hVGR4WHp5aGJ5RFhpNzZ2NUlleDV0SmV1WVl2WUkyWDVyR3NiYVMrUXVQTk55MmpQVEdqWG9OeUFQcGZCTHczMTdiWHZZdTdpQ2Y3emZKSE1tNTVJSjBNeE43Sko4bHZhbUxTV3JOcjlHdHJIZFp5R2orcEh2MS9BaEpiWllrYVJTNnRuZm1rY3lxY3JyRzh5VHo1bVFTNkxRVm54dGxld2N5UmVlelRCeHBmei9Kbk5wRzJpQy9TWXIyM0RHTjQ1eEVSaUNibGtVcnA2UWN5R1hGUnUwWUV2ZzJ0VXVYa1htTjVTanh1MGtiNWxZeVdsaXY4M0VYR1N6NElIblA3K3R3L0ttMGQvNk4va3c2SFVBR2tKTzdpdlJnTlRtKytGMDlpYzRtYVJCTko2SXJTWjcyRm5wQjFTalRHRGFUSlNFbU93Ry9oWlJNL25CdCs2MmtPTXZma1NVMS9wditSWU9IdFlPY3VML1pjTnN5ZW1tNmg0dlBGejkxSjVMMzlYZVkyQ3QzSXZsYmFLdDArMHVrVXRtWmxjZmRSVWFpTjlDL3JFazU4bGxQQVdteWljeXZlSHVIZlNWSjJzamdTcHYxOWc0a1NLc3Z4YkNKekcwN25sNm42K1BGenlnY1I0S1l6MHl5ejNvU3NOVG4rZDVQMm5hN3liekh6U1N6cDU1Nk9vd2R4V00xMVNrb0E4akRxYzN6SDJTcVU1UExnSy9TSHl5ZnpjUjZIVlYza1E3MWpmUUN5QXRKa2FYcjZDK2NPRXg3WjR5MFd6L0VhSmVXMFFBR2tKUDdQRmxUNzBuNksxbWVTM3JZcW1tWXMwandWWjkwVEdWYjEzWCtyaU1ud0xyNkhFakk1M2dOT1lsZlJQTmFQY3RJRmRBMzAxOEo2eGxTeE9kUFNNRDNBL1NxbjAzRnFXVEVyaTNkY2lYd1g5TjQvTU5CMlhNMnArWDJjaDVqZFJUMkRhU3cwUXI2QThpMUpMOS9VQlhmZWFTaTJiMzBWNytWSktuSlYwbDdaaTlwQjlRYjR6ZlQzOTZCRk5wcnE5TGV0VUYvQVpNWHhpbm5RSll1SmNIcDFhUmlaNVAzRno5TmEwemZRRVlseDBoSGJwZnErRzNtazNvR2Q5S2NWYld5K0gwa3RIbmEyanY3eVFoczlmMjVoQVNLeHpYc3Y3YjR2YWZEY1c4bndmbWQzWjZtZE9pVjFWQlhWYmI5SWxQUFFmOEpKczZCWEU2K1JJdHErNTFmSEhmeGtJLy9TWktXMnVZVzh1WCtQeEpNVHNmRHRGY2FoYVR4L3ZFMGo5SEZvRG1RcDVFSi9MdW1jWXkyT1pDenlOL0NUUzMzMjBIU05LcFZ4dTZoZVIzTU9TVGwrZTRPeitkOUpIQ3MvOTFJa2pRVlpUWFVIWlZ0WlQyR3FWUmhMYStiNVJ5N3VTUWI1NlgwcDhhT00zaGt0TzVxa2xXMXNPWDJpMGxBODEzZ041amU5ZkpXVWdDdlhuMjE5TE1jblBUVlFYTWd4NHA5UGtYN01pMWR0TTJCdkp2MmR0MXE4bDV2cW13cmEyR3NhTmovSHZKYUJzMlozRWFtWVEyekNvRjB5RjFFL3ZoWFY3YmRSdmNLWm5YMUFMSk5mUm1QTHE0aXk0TTBuU1FYa2ZTQ2Z5RnJUOTVJdnVoL0NyeDJpR09VYmlROWUyMWxteUc5ZlpPdHh6UUtZNlJxMnNPVDdQTVI4bDdXT3dLR2NVWngvNlowMFExa2JzVzIydlpYa3IrVE45UzJyeVlCWkwyUXdPN2ljUVpkcU45R0tzU09EZGhQa3FTdTVwSHIzTTdLdG5JNXJxYks0WVBVQThnMjlXVTh1bGhQcnEvMVlpNmxhMGtHMFBXa1EvNS9TSnZrS29ZdjdMZVJaSjAxRmY4cGZaVHVsZnluNHl2MGxpdHBjaFc5OXM2T2xuMEdtVTNlcjNyaFJVaWI5SzlKcW1vMXUzRVo4QkQ5bGZibmtnNzhhMnJidDVDQmpFRkZoemFSdGJMYnBwbEpNOWJyeUJleFdvYjQzUXkzaU9uclNFL1lhMG4rZHBkaUttWGcycllXVWQxWnBCak8wb2JiemlFQnk4ZVlXTTUvTTNrZDR5VHd2STV1NWY2dkJmNktYc29HSksxaEErbFpoS1NMakpQUzJnZkNWaElRbHhYZnhzbWMwdy9RZjZLNWhLUStQRVI3NmtXYjdXUlMrRDhVeDNpYUJLVDFFL09xNHZrOFJPWnJQRWg2QWR2U2U1ZVQ0UG9QZ2Q4bkFmQkhtZndpUFpla2I3eVRBMS9aVnBKMFpGbEVybk52cm15N21QNDIwR1RPSXNIQk9TUm9xRmRIYlZJR3JwY1AySyswbEZUN2JBcE1UeURYM3k4eHNTMndoblNZajVOQThoZG9EejZyemlKRlcxNWQyMzQ2dlZHMVY1Q2c3cTV1VDM5bzYwamI1bEY2N1oydmtWSFZlZ1g4RThqcjIwdjN6NngwR2trSExvK3pIL2dEOGw1VkxTVFpiQStUTnN3RFpNNXBXM3R2THVsOHY2OTR2UHRKY0ZwL1QrdCtIUGh0bXR1MTBveTNqWHlSWGxIWmRpY1pUdS9xV0pLTHY2OTRyQzVWTTdjVSt4N2JZZDh6U05wcXZVZnFiT0NQU0NEenlwYjd2b1FVZWlublF1d25CWHFhRm1wZFNBTGc5elVjYXpaSlA5bEQ1bHFPaytDdUxkMUR3N3VJVkxlVEpHblV4c2kxKytyS3RrdUtiYWQwZkl5WGtLeWJzblAzVzB5ZXFRUnBUNHlUZWhPRExDV3BqL1YweHRVa29IcWtlTTVOWnBIZytFbDZnZGhUdEJlRnVZNFVDVHkrNGJhelNURDBIVkp2NGhsNmMvbzBmZXZJSUlkMDJMcWM1SHRYVTBsdkpLTnd3OW9HZkpybWsxSGRkaklwZk9XZ0hjbDZqcVV4a2liN1h2STh1NDVnTGljOVN2OU1jL0M0bmZTQW5UbmdjUmFRSVBJdjZmWTZKVW5Tb2JlQ2RDQ2ZVZGwyQVdsUEhOMTRqM2JIa015bWN6cnN1NVNNNEYzWVlkOXo2VTNUbVV1SzhyeUxUQzNxdWo3Z2ZCSklmb1YwaXRjems3NmZaQjc5YUlmSEtxY0dUV2M5YlVrdlFzT21QSTdLWXFhV3ByaVM2VTJjYnB2TTNMWDNFYm9IclpJa2FXYVlUZmRGNEVkcEhvTkhLWnNjUmJkTzlzazB2ZDZUVzdZM0dhUDdPb2F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5CUDlQKzVjeTRCWDlkMEZBQUFBQUVsRlRrU3VRbUNDIiwKCSJUaGVtZSIgOiAiIiwKCSJUeXBlIiA6ICJmbG93IiwKCSJVc2VySWQiIDogIjM2MDA0NDk0OCIsCgkiVmVyc2lvbiIgOiAiMzkiCn0K"/>
    </extobj>
    <extobj name="ECB019B1-382A-4266-B25C-5B523AA43C14-4">
      <extobjdata type="ECB019B1-382A-4266-B25C-5B523AA43C14" data="ewoJIkZpbGVJZCIgOiAiNDAwMjIyNTE1MDg4IiwKCSJHcm91cElkIiA6ICIzNTY1MTI1NTQiLAoJIkltYWdlIiA6ICJpVkJPUncwS0dnb0FBQUFOU1VoRVVnQUFCT2tBQUFGNkNBWUFBQUJNYXd3NEFBQUFBWE5TUjBJQXJzNGM2UUFBSUFCSlJFRlVlSnpzM1hlWWxOWForUEh2TEx0TGIxSUVSRkdhaXFJcm1vallvN0VsRXFOR0U3R1hRQ3pSbnhyRmdpVnE0STJTMTViRUdvMkpKdFpvRXBGRWpScEtYa0JJN0ZnaXhJNGxLRjNZM2ZQNzQ4d3NzN3N6VzlpQlozZjVmcTVyTG1iTzArNW5ubWNHNXVZKzU0Q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lrU1pJa1NaSWtTWktrSERvRHFhU0RrQ1JKa3FTTW9xUURrQ1FwU3hmZzBIWFk3a3hnUkNQVzd3SE1CcjY1RHNlU0pFbVNwSUt6aWtDUzFKeDBBYjRBTGdGVzExaldGdmd5ejNabkFIOEZ4amJpV09jQUp3QTcxV2h2QXh3QlBOQ0lmVW1TSkVsU2t4UW5IWUFrU1ZreVNiZ2JnV1UxbHQwQVZBRG41dGp1TU9CUE9kcjNBOFlCczNJczY1ayt4dmsxMnZjQXZnV1VBUmMzS0dwSmtpUkphaUtUZEpLazVxU2lubVVmcmNQK2RnQytrMzZkQWtMNmVSK2dJL0JJZXI4cjB1M1hOZklZa2lSSmt0Umtqa2tuU1dvcHlvSEtyTmNIQUQrbDdxRWJLcW1lK0pzTmZDUDlmRk5pTjlrMndGN0E0OENlaFFwV2tpUkpraHJEU2pwSlVuTlVBbHhMVEtCOWtHN2JCVmlldFU0cHNBVFlzWTc5RkFGcjBzOTNBQVlEYzlLdkJ3TnZBVyttSHoyQlo5THJ2ZHJrTTVBa1NaS2tSakJKSjBscWp0WUFQNnJSMWhQNGxNWjFSMDJ4ZGdLSzA0QTdnSS9UcjNjQS9wbTE3bS9UYlI4REU0SGZZTEpPa2lSSjBnWmlrazZTMU53TklWYTZaZXRIL0R2c25YcTJMU0ZPUnRFWk9CejRQV3NuaWpnQytBL1ZKNDc0R0RpYjJPMTFLK0FrWUdVVFlwY2tTWktrQmpGSkowbHE3djRCL0l3NHlVTmJZbEx0QUdBVFlDUnhyTHA4U29oSnRxWEE5c0RpZEhzYjRzeXR4MUc5bWs2U0pFbVNFbUdTVHBMVTNKVUF0eEc3dW1hMEkvNGRWbGVDRHFBRHNDejlmSEZXKzM3cDl1d0VYVEV3Q2ZneGNhdzdTWklrU2RwZ1ROSkprcHE3MWZXdmtsZG40UE1jN2FlbTkzc0JhMmVNN1ErY0Rqd0gvS2tKeDVRa1NaS2tSak5KSjBscTdrS2U5allOMkxZbjhGR050dUhBS09CYnhQSHVmcDl1dng3NE5TYm9KRW1TSkNYQUpKMGtxYmxyUzZ4d1c1SFZ0anNORzB0dVMrRHZXYS9iQUw4QUxnVG1BdWNDZndaNkVjZW4yNkVBOFVxU0pFbFNvNW1ra3lRMWR5WEV4RnJOTWVtNk4yRGJZY0RFck5lWEFQT0FlOU92ZnczY0FmUUJyZ1RlYjJxd2tpUkpraVJKVWt0WFRPemUyaW1yN1VnZ1ZXTzluWUhOc2w1UEJ3NnRzVTVuNEptczEyT0EzMUs5bTJ3eDhGYjZVYnJPVVV1U0pFbFNFMWxKSjBscVRvclNmLzZRNmhOR25GZlBkcHNSSys2eUhRN2NubjUrSkRDSTJLVTFNOGJkMXNDdHdCUmlKZDBzWXZmWFo1QWtTWklrU1pJMllwMm9YVW5YRU5PQlk3SmVwNENiMG45K0Y5ZzNhOWxBNEViZ0h0YU9RWmNDemdHV0FxOENQeWNtQnZzME1nNUpraVJKa2lTcHhlc0dUS1poTTdkbU81RTQrVVBHZ2NEbTZlZWw2ZjBkQjR3blRrTFJOODkrZWhESHJadEo3RklyU1pJa1NaSWthUjNWSE1NT0dwLzRreVJKa2lSSmtpUkpraVJKa2lSSmtpUkpraVJKa2lSSmtpUkpraVJKa2lSSmtpUkpraVJKa2lSSmtpUkpraVJKa2lSSmtpUkpraVJKa2lSSmtpUkpraVJKa2lSSmtpUkpraVJKa2lSSmtpUkpraVJKa2lSSlVqTlhWbGIybmJLeXNqRkp4eUZKa2lSSmpWR1VkQUNTSkJWU1VWSFJkMUtwMUxGSnh5RkpraVJKaldHU1RwTFVhcFNWbFEwQlJxUlNxYkwwYzBtU0pFbHFFVXpTU1pKYWpWUXFOUkxvRFhSTlA1Y2tTWktrRnNFa25TU3BWUmcyYkZncE1DcUUwQ21FMEE0WTFiOS8vL1pKeHlWSmtpUkpEV0dTVHBMVUtsUldWblpPcFZKZlRhVUJPL1RxMWF0NzBuRkpraVJKVWtPWXBKTWt0UXFscGFVOVF3aERzNXAyQ0NGc2xsaEFraVJKa3RRSUp1a2tTYTFDVVZIUjRhbFVxbE1JZ1JBQ3FWU3FVeXFWT2pUcHVDUkpraVNwSVV6U1NaSmFoVlFxZFhLTzVtTTJlQ0NTSkVtU3RBNU0wa21TV3J5eXNySlJxVlJxY0FpaHFpMWRUVGRvcDUxMjJqdkIwQ1JKa2lTcFFVelNTWkphZ3hQeUxRZ2huTFloQTVFa1NaS2tkV0dTVHBMVW9nMGVQTGhYVVZIUnFIekxVNm5VSG9NSEQrNjFJV09TSkVtU3BNWXlTU2RKYXRFNmRlbzBLb1RRTDlQVk5aVktrVXFsZ0tvdXI1dDA2ZEpsWkpJeFNwSWtTVko5VE5KSmtscXlJcUFzbFVwMXJXT2REc0FPUUpzTkU1SWtTWklrTlo1Sk9rbFNpelZzMkxBT1JVVkZPNU5Pd0dVcTZHbzhid1BzdXMwMjIzVGI0QUZLa2lSSlVnT1pwSk1rdFZpbHBhVTlRd2k3MWJkZUNHRzNrcEtTZmhzaUprbVNKRWxhRnlicEpFa3RWaXFWMml1VlN2WE1qRWVYUzNwY3VwNXQyclRaY3dPR0prbVNKRW1OWXBKT2t0U1NqY3M4eWU3cW1xc3RsVXFkc0dGQ2tpUkprcVRHcS8yTFJwS2tGbUQ0OE9FRFMwcEsvdDNJelliTW16ZnZyZlVTa0NSSmtpUTFRWEhTQVVpU3RJNDZBbGZVYU5zeWhIQmtLcFVxQm40UExNeGVXRkZSMFhsREJTZEpraVJKaldFbG5TU3AxU2dySzl1bnFLam9keUdFZGlHRWIvL3JYLzk2TnVtWUpFbVNKS2toSEpOT2tpUkpraVJKU3BoSk9rbVNKRW1TSkNsaGpra25TV3BOL2hWQ09EeUVVQVM4a25Rd2tpUkpraVJKa2lSSmtpUkpraVJKa2lSSmtpUkpraVJKa2lTMUFLbWtBNUFrcVlDS0J3OGUzQUhncmJmZVdnR1VKeHlQSkVtU0pEV0lzN3RLa2xxTnNyS3lQYnAwNmZKNjU4NmQvMU5XVnJaSDB2RklraVJKVWtPWnBKTWtTWklrU1pJU1pwSk9raVJKa2lSSlNwaEpPa21TSkVtU0pDbGhKdWtrU1pJa1NaS2toSm1ra3lSSmtpUkpraEpta2s2U0pFbVNKRWxLbUVrNlNaSWtTWklrS1dFbTZTUkpraVJKa3FTRW1hU1RKRW1TSkVtU0VsYWNkQURTQnJRWk1DVHBJTlJrL3diZVRUcUlGbTRBc0ZYU1Fhd1BuM3p5U1ZtdlhyMUtnZUpQUHZta0xPbDQxcVAvQUF1U0RrS1NKRWxTNGFTU0RrRGFRUG9BZHdJamtnNUVUVFlmT0E1NEwrbEFXcWpCd0wzQUZra0hzcjRVRlJXbEFDb3JLMFBTc2F4SG53QkhFVDhQa2lSSmtsb0JLK20wc2VnRERBUDZkT2pRZ1pLU2txVGpVU09WbDVlemZQbnl6TXYrbUtSYlY0T0JvYWxVcWx2SGpoMXAwNlpOMHZHb0VTb3FLbGkrZkRraGhHN0FOcGlra3lSSmtsb05rM1RhcUpTVWxIRFJSUmV4eHg1N0pCMktHbW4yN05uOCtNYy96azdVcVFtNmRldkcxVmRmemJCaHc1SU9SWTN3MWx0dmNlbWxsN0pvMGFLa1E1RWtTWkpVWUNicHRGRXBLaXBpKysyM1o1OTk5a2s2RkRYU3FsV3JLQzcySzZ0UVNrdExHVEZpQkNOSGprdzZGRFZDdDI3ZGFOZXVYZEpoU0pJa1NWb1BuTjFWa2lSSmtpUkpTcGhKT2ttU0pFbVNKQ2xoSnVra1NaSWtTWktraEpta2t5UkpraVJKa2hKbWtrNlNKRW1TSkVsS21FazZTWklrU1pJa0tXRW02U1JKa2lSSmtxU0VtYVNUSkVtU0pFbVNFbWFTVHBJa1NaSWtTVXFZU1RwSmtpUkpraVFwWVNicEpFbVNKRW1TcElTWnBKTWtTWklrU1pJU1pwSk9raVJKa2lSSlNwaEpPa21TSkVtU0pDbGhKdWtrU1pJa1NaS2toQlVuSFlBa1NVcE9DQ0VrSFVOOVVxbFVLdWtZSkVtU3BQWE5TanBwSTdCbXpScU9QLzU0UHZ6d3c3enJISGZjY2Z6OTczL2ZnRkZKYXozNTVKTk1uVHFWdXZKRlU2Wk00Yjc3N3F0em5hYjY2S09QZU9LSko5YmIvaVZKa2lRcEg1TjBValAwNVpkZmN1dXR0OWE3M2l1dnZOS2cvVTJkT3BYZi9PWTNISDc0NFpTWGwrZGM1OGtubjJUOCtQRjg4Y1VYallwVktvU1hYbnFKUXc0NWhQdnV1eS92T3IvKzlhOFpNMllNdi8zdGI1dDhyTTgvL3p6bnNrY2ZmWlJERGpta1FaOC9TWklrU1Nva3U3dEtHOWpOTjkvTVcyKzlWZWM2OCtiTlk5cTBhU3hkdXBSMjdkcmxYSC9GaWhYY2VlZWRUSm8waVIvOTZFZDE3dTkzdi9zZHBhV2wzSHZ2dlJRWEYvUHBwNTh5ZGVwVWpqbm1HSXFLWXE2K3RMU1UwYU5IMDdWcjEzVS9PV2tkbFphVzBxVkxGOGFNR1pOemVYbDVPWC81eTEvNDduZS95NWRmZnRtZ2ZUNzk5TlA4NlU5L3F0WCs0SU1QMHFOSEQyYk5ta1g3OXUyckxmdlZyMzdGM252dlRaOCtmUnAvRXExY2VYazV4Y1grczBHU0pFbVMxRFJsd0lLMmJkdUdQL3poRHlGSml4WXRDbSs4OFVaWXNXSkZDQ0dFQXc4OE1QenlsNzhNaXhjdkRrQll2SGh4dGZVLyt1aWo4UHJycjRmbHk1ZFhhMSs2ZEdrQXd2LzkzLy9WZWJ6UFB2c3N0Ry9mUHB4MzNubFZiWC85NjE4REVDNjk5TktxdG9FREI0YUpFeWMyOWZUV215ZWVlQ0owN2RvMUFCOENJNU84bVZxNGc0REZtMjY2YWZqSFAvNlI5R1d0Y3V1dHQ0YXVYYnZtWGY3YjMvNDJsSlNVaEhmZWVTZjg0QWMvQ08rOTkxNjkrMXl6WmsyWU8zZHVXTEprU2Fpc3JLeHE3OU9uVDdqbGxsdHFyVDl0MnJSUVVsSVMzbnJycmZEREgvNHdWRlJVck52SnJFZi8vT2MvdzRBQkF3S3dFamlzRURkRVE0LzkvZTkvUDR3Yk42N3F1NnVoUHY3NDR6QjI3Tml3WU1HQ1dzdk9QUFBNY01zdHQ5VDdYaGZpUENWSmtxVG16dTZ1MGdiV3UzZHZoZ3daVXF1Q0o1OU5OOTJVb1VPSDBxRkRoNXpMTzNic1dPZjJkOTU1SiszYnQrZlNTeSt0YW52cHBaZm8xcTBiRXlaTXFHcHpYUFptclFjeE1kbHF5NWd5RloyNVZGWldjczAxMTNES0thZXcrZWFiYytLSkovTGQ3MzZYVmF0VzFiblA0dUppUm93WXdlVEprL25razArQU9EN2p4eDkvelBiYmIxOXIvU3V1dUlKVFR6MlZRWU1HTVdMRUNMdThadm5nZ3crNDU1NTdlTzIxMTJqWHJsMmp0aTBxS3VLdXUrNnFOWmJncWxXcnVQdnV1L25paXkvcXZQNlNKRW5TeHNKL0ZVc0plT0NCQjNqMzNYZnpMci8vL3Z2NTg1Ly8zT1RqVkZaVzhzdGYvcElKRXliUXJWdTNxdmFaTTJkeTJHR0hVVnBhV3RWVzgwZHlSVVVGdDk1Nks1V1ZsVTJPUTAyMk9mQWc4QTR3aVZnWjJvTldsTFRMdnYvZWV1c3RqanZ1T0ZhdVhBbkFQZmZjdzhxVksvbnBUMzhLd0ZlLytsVys4cFd2TUhyMGFKWXVYVnJuZmpNSnZpdXZ2QktJeWFiS3lrbzIzM3p6YXV0Tm1US0YxMTU3ald1dXVRYUFNV1BHY1B2dHQvUEdHMjhVN0J4YnNvc3Z2cGk5OTk2YkN5KzhrTnR1dTYxUjI1YVdsbEpTVXNKV1cyMVZyZjMrKys5bndJQUJuSGZlZVZWdFM1Y3U1WnBycnZGN1I1SWtTUnVsVnZNRFQycEpubjc2YVM2KytHSysrYzF2OHRwcnIxRlJVY0VMTDd3QXdFVVhYY1JUVHoxRlNVa0pCeHh3UUxWRVdpNFZGUlY1bHozNDRJTXNXTENBUllzV1ZSdFA2dTkvL3p1NzdMSUw0OGVQcjFyM3M4OCtZK3JVcVZVRDZyL3d3Z3RNblRxVmFkT21jYzg5OTFqcDBqejBCUzRFZmdpOENqd0hQQSs4Q0RSc0ZwRm1ZdG15Wlp4MTFsbDA3dHlab3FJaW5uLytlVmF1WE1rNTU1ekRaNTk5eHRLbFM3bmpqanM0K09DRHVlQ0NDL2pESC81QTU4NmRxN2IveVU5K3d0NTc3MDFaV1JtLytNVXZPUERBQTNNZUozUHZuM1hXV1FDOCsrNjd0R25UaG43OStsV0w1ZlRUVCtmT08rK2tlL2Z1UUt6Q3UvVFNTem5ra0VPWU5tMGFmZnYyWFkvdlJ2TTJaY29VL3ZyWHZ6SjM3bHo2OXUzTEQzN3dBLzc0eHo4eWV2VG9CbTJmL2QyUitSNEtJWERqalRmU3QyOWZycjMyMnFybHp6NzdMSys5OWhwSEhua2tXMis5ZGNIUFJaSWtTWktVdkdZekpsMElJWnh4eGhuaFc5LzZWZ2doaEQzMjJDUGNmLy85MWNha08rS0lJNnFOSVpkTFpreTZlZlBtNVZ4ZVdWa1p0dDkrKzFCY1hCejIzSFBQc0d6WnNoQkNDSFBtekFrREJnd0lTNWN1RFN0WHJxeDZEQjA2TkZ4MTFWWFYyaktQN1BHOGtyS1JqMGxYQnJ3TGhCcVBDdUJ6WUFFd0JUZ1dxSzh2WXJNY2srNm9vNDZxTlNiZDh1WEx3NmhSbzhMamp6K2VjNXNsUzVhRWZmYlpKd0JocDUxMkNoTW5UZ3h6NTg2dHRzNC8vdkdQa0VxbHdxcFZxMElJSWZ6dWQ3OEwvZnYzcjdiT21XZWVHUzYrK09LY3h6anV1T1BDbGx0dUdXYlBucjJ1cDFaUUczcE11dGRmZnozMDc5OC96Smd4bzZwdDVjcVZZZmZkZHc5MzMzMTNuYkhlZHR0dFllTEVpZUdxcTY0S3BhV2xZZUxFaWFHc3JDejg4SWMvREhmZGRWZTQ0b29yd3FSSms2ckc0Vnk2ZEdubzM3OS9lT3FwcDJydHF4RG5LVW1TSkRWM2xzWklDV2pUcGszVjh5VkxsdENqUjQrODZ6NzExRk4xem1aWlhsNmVzLzIrKys2alg3OSs3THp6em93YU5hcHE3TG9ISDN5UWl5NjZpRTZkT3RHdVhidXFSeXFWb3JpNHVGcGI5akkxUzBWQVYyQkw0R0RnTjhESHdKM0FIa0F2WXRLdTJWL0FHVE5tVUZsWldYV3ZMMW15aERGanhuRFpaWmR4eUNHSDVOem1QLy81RHc4OTlCQS8rY2xQZVBQTk4xbThlSEd0TVJvWExGakFacHR0UnR1MmJZRllTWmZkMWZXQkJ4NWcyYkpsVmQxY3N5MWV2SmlSSTBmU3ZYdDNkdHR0TjQ0NTVoaW1UNTllcUZOdTlsNTY2U1VPUGZSUWJydnROa2FOR2xYVjNxNWRPeDU3N0RHdXYvNTZqai8rZUQ3NDRJT2MyeDkxMUZGY2VPR0Y3THZ2dnBTVWxEQisvSGorK2M5L2N1bWxsekpyMWl3bVRKakFZWWNkeGtVWFhRVEEyV2VmemY3Nzc4OSsrKzIzUWM1UGtpUkphbTdzN2lvbElOUHROSVRBd29VTEdUNThlTjUxNzc3N2JpNjQ0QUwyMm11dmF1MXIxcXdCWVBYcTFiVzJXYmx5SlpNblQrWlBmL29UUnh4eFJGVjdSVVVGczJmUDVxcXJyaXJFYVNScEVOQ2VtSHpLSktCU09SN05wUjNXL3FmSXVyVDNCenJWL1paVTZReWNEQndIdkFITUJkNEcvZ0xNYStBK05xaTMzMzZiOTk5L24vYnQyL1AxcjMrZDAwNDdqWGZmZlplZi8vem5QUExJSXp6eHhCTzF0Z2toOE90Zi81cGh3NFl4ZGVwVXhvNGR5eWFiYkpKejN3TUhEcXg2L2Q1Nzc3SEZGbHNBY1d6R0dUTm1zTTgrKzNET09lZlUydlp2Zi9zYkw3MzBFamZjY0FNUFBmUVEvZnIxcTdhdlpxQWZzRnY2ZWMzN3JpRnQyWDlXTTJYS0ZNYVBIOC9kZDkvTmJydnRWbXQ1ang0OXVPbW1tN2orK3VzWlBIZ3czLzN1ZHpueHhCTVpOV3BVMWZkYjE2NWRBWmcrZlRvaEJFSUlwRklwSG52c01XNjg4VWFLaW9yWWV1dXRDU0h3bmU5OGh6ZmZmSk1aTTJia085ZGpHbkFlalQzditwNFhrZjgvTXl1QldjRHNmQUZMa2lSSmpXV1NUa3BBcGpMdDMvLytOd01HREtCMzc5NVZZOEhWVkZ4Y3pMQmh3N2orK3V1cnRTOWJ0b3cvL2VsUE9hdndmdnpqSDNQWlpaZXgyV2FiVld0LzlORkh1ZlRTUytzZDU2NEZPQjdZSWYwOE84bFFxT2VGWHErcDJ4UUJiV2ljRW1DNzlLTVNPQTM0RC9CQ2puZ1M5Y2dqandCeGdvSHJyNytlcjM3MXExeHl5U1gwNjllUG80NDZpdVhMbDlPdlg3K3FhcmlNRzI2NGdkV3JWOWQ1UC8vNzMvK3VsbGg3OTkxM0dUUm9FQjk4OEFHZmZ2b3BOOXh3QTB1V0xHSG5uWGRtNE1DQmVXZFJIanQyYkszak53T0hBVCtpZ1BmOTBxVkx1ZUtLSzZpb3FPRFNTeTlseG93Wk9STm5peFl0WXZMa3lVeWNPSkZERGptRTg4OC9uM3Z2dlpjTEw3eVFILy80eDlYV2ZlYVpaNmlzck9URUUwOWszTGh4bkhycXFkV1c3NzMzM2h4enpESGNkOTk5ZGMxV25UM1Y3dnI0ek9kS1dxYW9PMGszRGRnbnozSkpraVNwMFV6U1NRbklES1QrOE1NUGMvYlpad05ydThBKytlU1RMRm15cEdyZDR1TGluRjFhTzNic3lOdHZ2MTFWdFpJeGI5NDhpb3FLT095dzJzTlZEUm8waUxLeXNnYkhHVUxndHR0dTQ1UlRUcWwxbklTVkFMa3lKcm5HcnFyWkZocnd2S0g3YXVoMlRkMS9DZENUZGYvT3JpQjJlKzFDN3ZjdFVRODg4QUNqUm8zaWxWZGVZY1NJRVh6Lys5L25ONy81RFZkZWVTVzllL2V1V20veTVNblZaZ0lGT09pZ2c5aHp6ejM1MFk5K1JLZE8xWXNOUC9qZ0E2Wk9uY3BtbTIxV1ZTazNlL1pzUHZua0UzYmRkVmYyMjI4L1JvOGVUWmN1WGRoKysrMlpNMmNPSTBhTXFOWWRIZUNoaHg2cVZwSGFqTFFsZG5mT3BhSDNZWlhwMDZjemJkbzBUai85ZEFZTkdzUm5uMzNHb2tXTEdEaHdZTTdQLzhTSkUwbWxVclJwMDRiUm8wZno0b3N2OHJXdmZhM2FPbDk4OFFVdnYvd3liZHEwWWNLRUNaU1ZsVEZuemh5MjNYWmJJSGEvdi9ycXE3bm5ubnM0OTl4eitlOS8vOHU0Y2VOcVhRTmdXYjY0RTlDQitGbmFxcjRWSlVtU3BNWm9Wcis2cFkxRktwWGk4ODgvWjg2Y09keC8vLzBBZE83Y21XT1BQWmFMTDc2WUR6LzhrQjEyaUlWaStXWlZ6WXdoVjlQenp6K2Z0enZyOU9uVCtmM3ZmNTl6MlNlZmZGSnRkbGVBVjE1NWhULy8rYzg4L2ZUVDNIZmZmYzBwVVhjbjhCNjFKMUxJSkNDYTBnNnhTcVk1dFc4UDNBOVVMNDJzMnhyV2RuZWRCOHdrVnRGOURUaThFZnRacjE1KytXVSsrZVFUTHJ6d3dxclpoaWRNbU1Dd1ljTll2SGd4blR0M3JycnYvdk9mLy9ETU04K3c3Nzc3Vm0wL2I5NDhOdDk4YzBwS1NtcnR1MSsvZmx4MjJXWHN2Ly8rREI0OEdLQ3FJclZ6NTg2TUhEbVN0OTkrbTlXclY3UE5OdHRRVWxMQzVaZGZ6dFZYWDEyMWovTHljbzQ5OWxoKzlhdGY4ZWMvLzdtNXpYTDhLUEFUNnIrZjYzczlIV0QzM1hkbmp6MzJxTnA1ang0OTZod3ZNMXZQbmoxckplZ0EvdmpIUDNMY2NjZHgwMDAzTVhqd1lFNDQ0UVFXTGx6STBLRkRtVEJoUWxVWDEyN2R1ckhUVGp2eG5lOThoeHR2dkpFVFR6eVJBdzQ0Z09IRGgyY3FKZmRzNEh1eUlad01YSlIwRUpJa1NaTFVValdyMlYwdnVPQ0NzTzIyMjRZbFM1YmtYSDdFRVVlRWM4ODlONFFRd3RpeFk4T1lNV1BXK1ZpNzdycHJ1UERDQzBNSUlienp6anZocFpkZUNvc1hMNjQxZyt1UUlVUHl6dTdhSEdaNGRYYlhuTE83NW5vc0ErNEZEZ0VHRU1leXkrN0MxNnhtZHozKytPUER3dzgvSE82NDQ0NWFzN3UrODg0NzRYLys1MytxWGsrZE9qVnN2ZlhXWWMyYU5TR0VFTjU3NzcwQWhHblRwalhxbUt0V3JRcEFtREZqUmxpNWNtVTQrT0NEcTVZTkh6NDh6Snc1cytyMXYvNzFyd0NFMjIrL2ZWMU9yK0EyNU95dWp6LytlUGowMDAvenhqSi8vdnh3elRYWDFCbnZ3UWNmSE41OTk5M1FzV1BIRUVLY0dYYldyRm5od0FNUEREZmVlR090OVZlc1dCRys5NzN2aGQ2OWU0ZXlzckx3bDcvOEpZVFE3R1ozUFpmNFdYc242VUFrU1pMVXVqU2JzaGhwWTVKS3BSZzZkQ2lkTzNmT3UwN21kMmtoWjFiZGZQUE5xODFzbWEyeXNySnFkbGUxR0psa3pYSmkxZHpkd0crQlZVa0cxVkJ2di8wMnExYXQ0dkRERCtlT08rNm90WHp6elRmbm9ZY2U0dWlqajJiQWdBSHN0ZGRlL1B2Zi8rYmVlKy9saEJOT1lNNmNPWFRwMG9XUkl4dWVzLzNpaXkvNDhNTVBBZWpkdXpmdDJyVmoxYXBWM0gvLy9SeDk5TkY4ODV2ZjVQVFRUMmZldkhta1VpbG16cHpKZ0FFRE9PbWtrd3AyM2kzRm80OCt5czkrOWpNT091aWduTXRuejU3TnpKa3pHVHQyYk02S3U3bHo1N0xQUHZ2UXZYdDNJSTRIK09pamo5S3JWeTl1dU9FRzl0MTMzMW96VjcvMzNuczg4c2dqdlBqaWkvVHQyN2ZPNzBoSmtpU3B0VEZKSnlVZ2hNQkxMNzJVYzBaSmdCZGVlS0VxbVZiSUpGMWRLaW9xTnNoeFZCQXJnVmVCNTREbmdaZUFseE9OYUIxY2Q5MTEvUEtYdndUV0pxVnIrdXBYdjhyRkYxL012ZmZlUy92MjdkbDIyMjE1N0xISE9PR0VFNWcxYXhiZitNWTNjbmJEWHJGaUJhKy8vanB2dlBFR3I3NzZLcSsrK2lwZHUzYWxyS3lzcXV2cnBwdHVDc0F1dSt6Q2hBa1RPT3FvbzlocnI3MllPSEVpMDZkUFo4ODk5K1RaWjUvbGxGTk95VFZHV3F0WFdsckt5SkVqT2YvODgzTXV2K09PTzZpc3JNemJKZmFSUng3aHlpdXZaTldxbURQZWZQUE5PZXVzc3dCWXVIQWhxMWV2cnJYdjZkT25NMmZPSElZT0hWckFNNUVrU1pKYUJwTjBVZ0pDQ0F3ZlByeldqSzBaNzczM0hwV1ZsVG1YMWZUSFAvNlIwYU5ITnptbXlzckt2SWtTTlJ1TGlHUFRQUVFzQUQ0R1ZpY2EwVHBhc0dBQlo1MTFGcHRzc2dsUWQ1THVsRk5PNFJlLytBVmR1M2F0TmxQck04ODh3NFVYWHBoenV5VkxsckRmZnZ2UnZYdDN6ampqREc2KytlYXFwTndqanp4QzU4NmRxNnEwaGc0ZHlwdHZ2c2xycjcxV05hSEIrKysvVHdpQmFkT204ZE9mL3JSZzU5MlNOR1FXNkh6WGJmSGl4WngyMm1rVUZ4Zm5YS2V1N3hyL3cwQ1NKRWtiSzVOMFVnSWFrb0RMckZOZkpkMnp6ejVia0NSZFJVV0ZTYnJtNjMzZ2U4QXM0b1FRTGQ1V1cxV2ZHRFBmWjJMbzBLR1VsNWV6Y09GQ2R0eHhSODQ3N3p5MjJtb3JsaXhad29JRkN6amtrRU55YnRlblR4K2VldW9wZHRoaGgxcVZkbSsrK1dhMWJ0LzkrdldyZXI3RkZsc3dldlJvdnY3MXIvUFNTeTh4Yk5nd0Jnd1lzSzZuMmFJMTVIc3FYMEt0ZS9mdVZkMWN5OHZMRy9YZFlwSk9raVJKR3l1VGRGSUNHdktEdGFFL2F1ZlBuMS9uOHNyS3lnYjk2RzNvZWtyRUorbEhxMVZlWHA3ei9oc3laQWdqUjQ1a20yMjJBV0RQUGVNa253OCsrQ0RISG5zc2JkdTJ6YnZQRVNORzVHeWZPM2R1VlpkWGlOVjZsMXh5Q2NPR0RRUGdzY2NlQStDdXUrN2loQk5PV0xjVGFnWFdyRm5Eekprem1UUnBVczdsYytiTW9ieTh2Tjc5VkZSVXNHYk5tbHB0K2RRY3AwNlNKRW5hV0ppa2t4SlFXVmxaNzVoMHZYcjFBcUM0dUpqbHk1Zm4zZGRycjcxV05laDlMcmwrSU9kYnp5U2RrcEx2UHUzUm93Zi8rTWMvYXJVLzhjUVRYSG5sbFZXdnI3cnFLbzQrK3VoYVk1bXRXcldLZi83em4reTQ0NDUwNk5DQmp6NzZpQ2xUcG5EZWVlZFZyZE96WjArdXZ2cnFXc2VZT1hNbXYvbk5iNEE0NFVTSERoMG9LU2xaNTNOc2FWYXZYczN1dSsvTytQSGpjeTYvNDQ0N3FoS2FkY2wxYmRlc1djUEtsU3U1N3JycnFyVXZYTGl3enU4N1NaSWtxVFV6U1NjbFlNMmFOZldPU1plcFVCa3dZQUMvK3RXdmVQTEpKeGt5WkVpMTlXYk5tc1hDaFF1NSt1cXI4eWJwdnZ6eXk2cUIyK3RTVVZIUm9Lb1lhWDJvcUtoZzllbzR2Tjc4K2ZPNTVaWmI2bHgvenB3NVRKNDhHWWlmbDRjZmZwaGJicm1GNTU1N3JscVZYQ3FWNHJubm51UFFRdytsVTZkT0xGdTJqSlVyVjNMc3NjZld1Zi9seTVmVHUzZHZPbmJzQ01CSko1M0VvRUdEdVBiYWE1dHltaTNLNmFlZlh1Y0VEdC82MXJjYVZHbFlVVkhCOE9IRHFhaW9xSnFBWStYS2xZd2FOYXJXeEJGejU4NmxxS2lvYVlGTGtpUkpMWlJKT2lrQkRVbUdaZFk1OWRSVG1URmpCcWVlZW1xdGJtQ3BWSXBkZDkyVjIyNjdMZTkrT25Ub3dMNzc3bHZ2OGRxM2IxOHR1U0Z0U0JVVkZaU1VsRkJlWHM0MjIyekRDU2Vjd0lBQkEraldyVnVUa2padDI3WmwvUGp4SEhQTU1leTIyMjU4OXRsblhINzU1UXdaTW9TWk0yZnl3QU1NVS93T0FBQWdBRWxFUVZRUDVOenVvNDgrNHZQUFArZWNjODdobzQ4KzRnOS8rQU9wVklvRERqaUFyMy85NitzY1QwdXkwMDQ3MWJrOFUrMWJuNzU5Ky9MaWl5L1cydmVUVHo1WmE5MmRkOTZablhmZXVlRkJTcElrU2EySVNUb3BBVU9HREtremNYYlFRUWV4Kys2N0E5Q2xTeGNlZnZqaGRUN1dzODgrUzRjT0hlcGQ3OVZYWDYyYTdWTGEwTDcxclc5eHlpbW5WRTN5VUYrQ3FMRzIyR0lMYnI3NVpqcDI3TWdCQnh3QXdNaVJJMm5idGkyREJ3K21TNWN1ZFU3Uzh2dmYvNzZnOFd4TWNyMnY5VTJJSTBtU0pHMk1UTkpKQ2NnZUR5dVhVMDg5dFdESGFraUNEakJCcDBUVjFhMnlVTDc5N1c5WGUxMVVWR1RWbGlSSmtxUm13NEZmSkVtU0pFbVNwSVJaU1NkSjBrWXNaZDlUU1pJa3FWbXdrazZTSkVtU0pFbEttRWs2U1pJa1NaSWtLV0VtNlNSSmtpUkprcVNFbWFTVEpFbVNKRW1TRW1hU1RwSWtTWklrU1VxWVNUcEpraVJKa2lRcFlTYnBKRW1TSkVtU3BJU1pwSk1rU1pJa1NaSVNacEpPa2lSSmtpUkpTcGhKT2ttU0pFbVNKQ2xoSnVra1NaSWtTWktraEpta2t5UkpraVJKa2hKbWtrNlNKRW1TSkVsS1dISFNBVWdiVW1WbEpTKy8vRExkdW5WTE9oUTEwb3N2dmtoNWVYblNZYlFhcTFldlp0NjhlYXhhdFNycFVOUUliNzMxbHRkTWtpUkphcVZNMG1tanNtYk5HaVpQbnN6Tk45K2NkQ2hxcE5XclY3Tml4WXFrdzJnMXZ2amlDeVpNbUVCSlNVblNvYWdSeXN2TFdieDRjZEpoU0pJa1NWb1BUTkpwWS9FWjhEN1E3ZlBQUDA4NkZqWE5oOERIU1FmUmdyMEhMS3Fzck9TLy8vMXYwckZvM1MwQi9wTjBFSklrU1pJS3h5U2ROaGJ2QWFjQWZaTU9SRTIyQ0ZpWWRCQXQyS3ZBZDRBZVNRZWlKbGtNdkp4MEVKSWtTWklLeHlTZE5oWUJlRDM5a0RabWxjQkxTUWNoU1pJa1Nhck8yVjBsU1pJa1NaS2toSm1ra3lSSmtpUkpraEpta2s2U0pFbVNKRWxLbUVrNlNaSWtTWklrS1dFbTZTUkpraVJKa3FTRW1hU1RKRW1TSkVtU0VtYVNUcElrU1pJa1NVcVlTVHBKa2lSSmtpUXBZU2JwSkVtU0pFbVNwSVNacEpNa1NaSWtTWklTWnBKT2tpUkpraVJKU3BoSk9rbVNKRW1TSkNsaEp1a2tTWklrU1pLa2hKbWtreVJKa2lSSmtoSm1razZTSkVtU0pFbEttRWs2U1pJa1NaSWtLV0VtNlNSSmtpUkprcVNFbWFTVEpFbVNKRW1TRW1hU1RwSWtTWklrU1VxWVNUcEpraVJKa2lRcFlTYnBKRW1TSkVtU3BJU1pwSk1rU1pJa1NaSVNacEpPa2lSSmtpUkpTcGhKT2ttU0pFbVNKQ2xoSnVra1NaSWtTWktraEpta2t5UkpraVJKa2hKbWtrNlNKRW1TSkVsS21FazZTWklrU1pJa0tXRW02U1JKa2lSSmtxU0VtYVNUSkVtU0pFbVNFbWFTVG1vOU9nT3BwSU5RczlZbDZRQ2FvQ1hIcnZYUDd6OUpraVMxZUNicHBOYWpCekFiK09ZNmJqOGVPSm1XOFVOMzB4eHRnNEMyNjdDdmJzQ3ZnZTJiRkZIVEhBeHMwc2h0K2dGWEFzV04yT1pTNEc2Z1V5T1AxUncwSmZaTmdQdUJMUXNhMGZyUk1mMm9hZHQxM04vWndPbEF5VHBIMURSZGdFUFhZYnN6Z1JHTldMK3AzMytTSkVsUzRsckNqM0ZKRFhjT2NBS3dVNDMyTnNBUndBTjV0a3NCYndNdkVoTjFuOVZ6bkJRUTFqM01CdGtVV0pSK3ZoWHdFYkF5L2ZxM3dCSml6QmxqZ01lQUt4cDVuUGJBQ21BNzROVWN5emZFdWY2TW1KRDRjNDMyTnVrL0szSnNNd1E0Q3RnRGVLV0J4eWtGM2dXK1QzeXZzbjJWZU4zLzNjQjliV2hOaWYxRTRCYmlaK0R4ZW81VEJGU3VlNWdOMG9zWWIrWTR3MWg3N3cwQm5pREdtNzMreWVuMVBtbmtzZjZIK1BrNUtzZXlEWEZ2ZHdHK0FDNEJWdGRZMWhiNE1zOTJad0IvQmNZMjRsanIrdjNYV09jQ2s0bjM0eFlGMnFja1NaTFVxQW9NU2MzRGZzQTRZRmFPWlQyQlpjRDVOZHIzQUw0RmxBRVg1OWp1RzhUdVlxZFFmNEx1SnFBZE1WbXlQbi9nVHdNZUJKWUNSd04vSjFZRkFhd0MvZ1k4bExYK0xzQno2M0NjOHZTZjcrUll0aTh3aVZpZDA5amtTR044Q1R3UFhGZWp2VGZ4ZlRnYStGZU5aZnNETzVNN1FYYy84QnJ4WHFqcEhXSkNjRWhXV3dsd0lmRzkzb2RrRTNYckkvWXppTmV4dmdUZE1PSTlONGJhNzNjaEhVcE1KajFCckFBN0hkZ2FlSStZaUY1RjlYdGhHMkFrNjNZUGxwUDczaTRsdnRkUEFyOVloLzAyVkNZSmR5TzFyK2tOeEFUMHVUbTJPd3o0VTQ3MjlmSDlKMG1TSkRVTEp1bWtscWNDMkFINFR2cDFkalZNSDJKWHVVZUlsV2NyMHUwMWt6ODFuVXVzV2pteG52VlNyRTNpN1FDODBPQ29HNjhOOER2Z1plS1A2MmsxNHNnbFg1ZStYWW1Ka1ArdzlqM0p5SFQ3UDVmYWxUNEFmeUFtU0hJbERBcWxndHl4cndMNjAvajNlVlBnVWVMN1Y3TmFxcHlZN0hrdy9UcHp6aE1iZVl6MXBkQ3g3d1VNSUY3M21zbWJtdHFtOTcwbjhUMWZYMG5vTmNUem1FUk13QjFNVE5CQjQrL3ROc0ExUUFmZ1Eyckh2QnZ4Ny9yeE9iYWRSZXcrdkFudzN3YkczbGk1cWtDemwzMjBEdnNyOVBlZkpFbVMxQ3lZcEpOYW5rcXEvL0NkVGV6aStUZ3h3WEVHc1dwbEwrQXNZaUpnR3ZsOWsxak5jeUF4ZVZDWC9ZQ24xeW5xeHFzcmx2YkV1TFBIR051Uy9GM25acEc3OGdiaTkrQTF4QzZuMlpVKzJ3R3ZzN2JTTGdubHhBUkVKZ25SRHZnNThMLzFiSmQ5ajN3ZjJCczRsWmkwMkp0NG5nOEJkd0Z2QWo4RmxoY3k4Q1lvWk93cDRGcmkrR2IxZFhVY1NIeWZGelFoOW9hcTc5N2VoT29KeFY3RUxxTzVWSkE3QVpmUmlYamZUTXBxS3dhR2tydDc5NFpVVHZXdXhRY1FLMFF2ckdPYlFuLy9TWklrU2MyR1NUcXA1U2xpN1kvOEhZREJ3SnowNjhIQVc4VGt4WnZFN2wvUHBOZkw5WU84bERqNXdOSEVpUmZPQUQ0bGQ3S3JOM0E0OFFmeDNRVTRqL3JrR2hjc1UvRnpIdkE1Y2RLSEQ0a1ZVUDlML1BIZWgzZ091WkpyZXhDcjRySmxLdWwreU5yS3JIYkV4TWNUd0RIVW43d3NsRDJJWFk3ZkpuWjdMQ1pXVUdVU05rWEVKTkxleE91YlQvWTljaUN4KzJpbXFtZ3dzZkxzUzJMeTYvK0lDWnZ2RmVva21xaVFzWjlJSEdmeEFlSjcySVBZTFRiWHZYVUk4Zjc1TnZIZVdwOXlIYjhqOGJ6ZkpTYUl1eEd2ZFdrNnJreGlxajlycSs2eXRTV08zMVphbzMwazhUN0tUdnJ0Ujd6WERtSERKYkJLaUFuVE5zQUg2YlpkcUo1Z0xTV09OYmxqSGZzcDVQZWZKRW1TSkVsTnNpOXJmNVRlUlB6aG0zRWxjWnlwYkQ4bC9saWRTQnh6Szl1MVZKOE5zYTRaSURzME90S21lWVcxTTY3K0hqaVMyQVh5WjhTRXcvM0VaRllYNEU3Z2duVDdIUEpYbW5VaWp2M1Zyb0V4dEYrWHdOZkIxZVR1a3RlTzNHT3pRYXc0ZWo3UHN1ZUk0d3oySlZaZzlVaTNseElUa2RremhXNUg3T3E3TFhHU2dhUVZLdmF0aU4wZU16UCsxamU3NllhOHY3L0QydkVVdHlGMjZSNUdUQ2llbjM0c0psWUFEZ2NlVHJkZFEzeFBOcyt6MzBIa252azRsNForQnBxcW1GaWhtR3RXM2tuazc0SThuZHd6dFJieSsyOWRuVXM4cDF4ai9VbVNKRW5yekVvNnFlVXBJVllTZFNaV3R2MmV0VDkwanlDT3U1Yjl3L2RqNG9RTGV4SVRGeWNScTdSR0UzL3Mvb3Y2eCtvaXZkMU00TFFtbjBIRDVCb1BySnc0ZHQ1VVlpVlZKMkxsVFNseDhQdGx4T3FjbXJOL1poeVNmcnpjZ09OM0pIYTMzQmQ0b3pHQkY4QkFZR0dPOXBIRTZySDZaTzZSWTRpSmhKUFM3ZjJJNyt1aHhFUll0aDhURTJPSEVjZUVTMG9oWW05THJJdzhnVGhoUUgwemNHNldQdDVCd0QrYmZBYjF5M1Z2ZjBtc0dNd2thODhoZHRGZVFheW91NDZZME51ZFdHMlh5ODNFQ1ZZYVV2bDVLUEZjejJsdzFJVXpoTnFWb1AySS95YXBML0ZWcU84L1NaSWtxZGt4U1NlMVBDWEVINWxMaVpWbWk5UHRiWWd6Rng1SHd4SU5yN0IySnN5bmlGM1E2aG84L2dCaTk4OE5KZGNBK3BYRTdtN0Y2VC96VlVmbGE2OGdKanF5Sjhnb0ppWTFPbE85YW0xNzRpeVNHenBCQjdIU2FtOWlWNzIvRUpNT1JjVEtvOE9wUDRtV3VVY21FNnNNTTkwM3p5TW1PSDlhK0pBTHBoQ3g5d1F1SWs2ODhYZGl0ZVU3NUI5ZmNDVHdOZGJ2aks3Wjh0M2JVUDN2NVZ6M2NWMFZnZjJKbi8ycFdXMVhFNnZtYWliaVJ4SzdFaWZoSDhTSzJJN0VoT3I1eE8rWFRkSngxVFVPWktHKy95UkprcVJteHlTZDFQSjBZRzB5YVhGVyszN3A5dXdmcU1YRXhNNlBpUlZuMmY2ZDlid2h5WWw4czA2dUw3bU9WMEljTTJ3WThCWGcvWFI3S2ZEL2lNbTIvdVNlcFJVYVA3WmNYVE5UcmsrcmlWMTVyNjNSL2hNYVZ1V1dmWTlrajY5MkJESHhsZTJROVBvUDBUd1VJdmIzczU1L1JQMHppQVpxenlTN1B1Vzd0L3V5dHJKdEZURVoxUjRZUVJ3anNTZHJaMWZPcGFYYzN5WEFiY1N4SXpQYUViK3Y2cHVvcFZEZmY1SWtTVkt6WTVKT2FuazZrM3RnKzFPSnlaMExXRnVWMHg4NG5Uak8xNSthZU53dnlUMnUxUHBTUkp3UTRFTmk5N2dTNEpmRWNkaFdwcGNIWUM2eGErT005SGFUaUpNSjVOTFltVnJiTkhMOVFzbVhaR3lvWFBmSWRzU3gydzRBdW1lMW53eDhBdnl4QU1jdGhDUmlUK0xlSGtRY2MyNVQ0cjM5T2JHN2JpYkpsQmw3c1IveHZEUDM3aGJFeEYydUxwc2J3LzJkMVBlZkpFbVN0TjZacEpOYW5wN1VyZ3dhRG93aWpyODFoRGhPRThEMXdLOHB6QS9VTDRqZEJ2TnBRK3krVnFpS2xSTGlSQkV2RThmaDZrWk1XT3hhWTczdGlWMFZkMHUvM29rNFcrMkZ4QzZUMmJvUUp5S28yZlh2U21MWDFteDl5Tisxc0J2cmR3YlF1aXE2MmxCL0JkUW13S0lhYlZjQVZ4R3YwYytJaVl3K3dHWEVpclRta0tDRFpHS3Y3OTZHd2w3ekVtSWw2ODNFN3RlSEV5dER0eVZXaEdYc21UNXVwcnF1aURocHdRZkV5c0lGTmZiYmhUalczUFpaYlN2U2o1cjMvRkRnMlJ5eEZmcHpuRXUrKzdzaFNjT2t2djhrU1pLazljNGtuZFR5YkVrY1p5dWpEWEhTaEF1SlZXWG5BbjhHZWhISFo5cWhRTWY5Z0Rqd2VqNlZ4SUg2RHlFbUh4NXY0dkZXc2JaYjJ3K0lDWkp0aWQzOVBpYis4RjVCckNqNkJQZ1ZhNU0xWS9Mc3N3K3hxaWJYVEtvMXRTVW1nWExwbFQ3ZW0rbDlmZEtBL1RWR1c2Q00yb21WRlBVbjZYb0Q3eEhmdjR3RGllL2RNY1FrMEZoaVZlS1Z4UFBJTlVsRkVwS0svUU5pOHJZTCtaTlRoYnptcGVsalFveC9aMkkzemplSkV4L3NRUHlNLzU1NDM4OG5mcWFoN2pINU5pWE9ZdnBlQTJLNGsrcmRSVE1LL1RuT3BTMnh3bTFGVnR2dU5Hd3N1YVMrLzZTTlNnaGhRM1gvYnhaU3FkU0dIdEpEa2lSSnJjU3p3T1pacnk4RGJzaDZmUUR4eC8yenhHNmdoWElNTWNHVnNYK2U5YjVHVExMY1M5MkQzTmVucnU2SDN5Tk9CTEFKTVlreEJMaVYraXR4N2dWT2FVSk0yZG9TRTRXZkFIczFjVjlYVXoxeGVBRXhRVkpUT2JHN0g4VDMvL2tjNit4RDliSGJlaE9yRVFkbnRUMUZuSWpoYmVxdklOdVFrb3o5RGVKTXZobTU3dTlDWGZPNjd1MTJ4REVpZjBTc29MdWVPQW5HeUhyMk9ZVDZaMFp0akVKOWpvdUpsWFBaNTd5Q1dCR1g3VktxVjc1T0I3NlpZMzlKZmY5bE81ZDRUb1Y4djZWbUpXeGtrbjYvSlVtUzFESjFKczc0bVRFRytDM1ZrMVBGd0Z2cFIya0JqOTJUV0trMklQMzZxanJXUFlmNEkvYjdCVHgreHE3RUJFMW0zTG5QaVYwQ1R3TCtCbXlXWjdzUzRIVmlWNzVDNlVTc1ducWZwazJzVVROSk41STQ5bGhOaDJZZFozOWk1VkN1ZlIyVWZ0NFplSkxZRlREYlNjVHJVNmlFWmFFa0dmdU53QjNwNXgySmxWbTVGT3FhNTFJRVBFanMwZ3RyazNUdGlkZTZybk0rRzdpa3dQRVU0bk9jSzBsM0pMWGZ1NTJwL3RtZFRyemZzeVg1L1pmTkpKMWF2YVNUWmh0YTB1KzNKRWtaZG5lVldwYkRnZHZUejQ4a0RqNS9IR3ZIZU5xYVdGRTJoZGkxY3hieEIrVXpOTjJud04zQWI0RFJ4QmtuOC9rRmNiYlZnUVU0YnJhdkU2dUtEaUQrQ005MkY3RnIyNnZBL3hKL3ZHZXY4d05peGMzeUFzYXpqSmhZdXBtWTJGbFc5K3A1RlFHN1VMdDdheTVicC8vTVRLWlJVeGx3T2RDVldKbDBKakU1Q1RHWmNSWXgwWFVPY1pLTnJkTHI1ZXI2dUtFbEdmdjF4S3E5cWNSS3Vjbzg2eFhxbXRmVW50aWRkZzYxdTdTdVpHMGw2M0hFV1grZllXMTMwUTdFV1k5SEZ5aVdqRUo4am92U2YvNlE2bU1IbmxmUGRwdFIrLzVPOHZ0UDBucFdYbDVPY2JFL1RTUkprdFF5cElDYjBuOStsK3BkOHdZU0s0SHVZZTBZVENsaU1tTXBNWEgxYytJUDR6NU5pS0U3c1l2bFI4UVpNZHZXc2U1QUN0Y2RzUmc0ZzlnTnRPWVA5OVZBMzZ6WEZ3SXZFY2ZWeXRpVytPTjlmVWdCT3paeEg5ZlJzSEh5c3UxUDdLS1o3VnZFTWR3R0VKTWltZXFsWW1LUzU0L0VSRmZtdWcwaGRndGNSdXpHZVdWNkgwbG9EckdmU0J6djd4M2dKM1dzVjRocm5tMDQ4ZnJYVEh4ZlRQWDdkaWp4ODNjRGNjS0pqUDhsVnFLdEQwMzlISGVpZGlWZFEwd25YdmVNNXZEOWwyRWxuVnE5UWxTbi9mV3ZmdzBmZlBCQmc5Zi8vdmUvSDhhTkd4ZFdyRmpScU9OOC9QSEhZZXpZc1dIQmdnVzFscDE1NXBuaGxsdHVDUlVWRlhYdUkrbjNXNUtrREFkSmxWcU9BNGsvTnQ4bGR1T3FJUDZJM1l3NDJQMGZnQTl6Yk5lRE9IUHBONGhKamx4ZEpCdWpJN0c2NWdUZ2VPQWZUZHhmUTJ4RnJPUmJXcU85aUhoT3Y2UjZsVTcyNUFwdGlJUFUvNXo4MVZGSit6N3dDakNqRWR0c1N4eXJMVE56WlFvNG1UaW1XeW54L2RpQk9IWmE5L1MrbnlQM3BCUDdBNmNTWjFVZFQ2emMycENhVSt5N0VaTmo1Y1RxdEExaEIrREZITzBIRUt2NnNpZFVxRGx4eUg3RXo4WUw2eTI2cHVrR1RDQW0yT3VibFRqYmljUkpLeklUZERTWDd6K0lTYnJKNlZoeWRVdVhXcnhNNHVxWlo1NWgxcXhaRkJVVlVWUlVsR3M5S2lvcWFsWEFMVisrbkd1dnZaWUJBd2J3OU5OUDA2ZFAzZm54RHo3NGdFR0RCckhycnJ2eXpEUFAwSmg1SEQ3NzdEUDY5ZXZIL1BuejJXcXJ0Zk5iclZxMWlsNjllakZod2dRdXVPQ0NPdmZoeEJHU0pFbHFyRnovZ0t4dm9nUnRYR3JlSXkzcC9takpzV3Y5YTA3ZmYxYlNxZFhMVkpndFc3WXN2UEhHRytITEw3L01XWUYyNXBsbmhyNTkremE2K3EybUUwNDRJUng0NElGaHlwUXA0WlpiYm1uVXRrdVdMQWtkTzNhczFYNzMzWGVIN2JiYkxwU1hsMWRiOStxcnI2NVZXWmYwK3kxSmtpUkpraHJQSkoxYXZZWWt4eFl0V2hUYXQyOGZicnJwcGtZbDFXcDYvUEhIUTkrK2ZhdTZ4bzRiTnk0ODl0aGpEZDUrMmJKbFZVbTZOV3ZXaEJCQ3FLeXNEQ05HakFqNzc3OS9tRGh4WXRYandBTVBERnRzc1VXWVAzOSt0WDBrL1g1TGtpUkprcVRHTTBtblZxOGh5YkdMTHJvbzlPM2JONnhjdWJMQkNiV2FYbi85OWRDL2YvOHdZOGFNcXJhVksxZUczWGZmUGR4OTk5MTFibnZiYmJlRmlSTW5ocXV1dWlxVWxwYUdpUk1uaHJLeXN2RERILzR3M0hYWFhlR0tLNjRJa3laTkNvc1hMdzRoaExCMDZkTFF2My8vOE5SVFQ5WGFWOUx2dHlSSmtpUkphanlUZEdyMTZrdXVMVnEwS0hUdDJqVjA3Tmd4VEo0OHViRzV1UkJDQ0MrKytHSVlPblJvbURKbFNxMWxuMzc2YVNnckt3dkhIWGRjZVAvOTkzTnUvL25ubjRmS3lzb3dmZnIwYXQxZFAvNzQ0ekJ1M0xoUVVWRVI1cytmSDhhTkd4ZENDT0hrazA4T0o1NTRZczU5SmYxK1M1SWtTWktreGpOSlZ6aDlnTDJCbllCMldlMDdwdHUzem1yckJPd0s3QW4wekdyZk5MM3U3algydlYyNmZjc2E3WHVuSDltMlRMZHRsMmZkVGJQYWVxWmorQXJWWnkzZU9yMXU5c3pQN2RMbnRqZlZaeGJ1bWllT3pENEc1WWtqZTBiMS9sbkh5NTYxWWRkMCs0Q3N0bTdFU1hGMlN6L1BHSkJlZDllc3RtSmdlSDBKdGtNUFBUUWNkTkJCWWVEQWdlRysrKzRMRlJVVjRZRUhIZ2lWbFpVTlN0QTkvdmpqWWZqdzRXSG16Smw1MTVrMmJWbzQ0b2dqUXZ2MjdjTkpKNTBVbm52dXVhcnVyTmttVFpvVU9uVG9VSFhzMjIrL1BheGV2YnBxK2RpeFk4T1JSeDRaZHR4eHg3QnMyYktjeDBxZisrN2t2OTY3VXZqclBZUjF1OTZsV2UwN2svOTY3MDREcjNlNnZYOVdlOXM4TVc5RjdjOW1kc3hkczlveW4rK2RnUTVaN1puUFpzM1A5MWZTN2JrKzN6WGoySmFHZjc2M1lPM25PM3Yyay9xdWQvYk01b05vK1BYdW1DZU94bHh2U1pJa1NWSURtS1FybktPSnMvTCtHZGc4cS8zaGRQdjFXVzNiQWJPQkJjQkJXZTFIcGRlZFgyUGZkNlhiejYvUi9pRzFad0krUDkxMlY1NTFqOHBxT3lnZHd6U3FKL1d1VDYvN2NGYmI1dWx6KzVCNHJobTc1WWtqczQ4ZjU0a2pPNGx5V3RieHNwTUpzOVB0NTJXMWpTTE9BUDFDK25uR2VlbDFaMmUxZFFIdXF5dkJkdXV0dDRhK2ZmdUdqei8rT0F3YU5DZzg4Y1FUSVlSWUdUZG16Sml3Y09IQ3ZOc3VXYklrbkh2dXVlSHNzODhPOTk5L2Y3ajIybXR6UHM0Ly8veVFTcVhDcEVtVHdwMTMzaG02ZCs4ZVNrdEx3NFFKRTJydDg4QUREd3p0MnJVTHh4OS9mTTZrMzMzMzNSZUFjTjk5K1U4cmZlN3p5WCs5WjFQNDYvMC9yTnYxN3BYVi9pVDVyL2Q4R25pOTArMm5aYlgzenhQekpkVCtiR2JIdkZ0V1crYnovU1J4TnZxTVgrWFl4M2JFejlTSDVQNTgxNHpqbHpUODgzMG1hei9mMlltdytxNzNpS3oySzJuNDlkNHVUeHlOdWQ2U05tTEY5YThpU1pJa05WbGJZcVZLRytDVDlKL3QwdTNaTS9pV3B0dExzdHFLMHV1MW8vck12cGw5ZkZualdDWHA5cHIvMW0xSGJjVTVqcGU5YnE3amxWSzlLcWNrcXowamxTZm1vanh4MUJkejludVVpYm0wUm52bWVObjd5THgzbWVjMTk1R2R1RWpWT0lkcVhubmxGUzY3N0RJZWUrd3hldlhxVlczWjhPSER1Znp5eXpuNDRJTzU1SkpMR0RObVRMWGwwNmRQWjlxMGFaeCsrdWtNR2pTSXp6NzdqRVdMRmpGdzRFQ0tpMnYvSkprNGNTS3BWSW8yYmRvd2V2Um9Ybnp4UmI3MnRhOVZXK2VMTDc3ZzVaZGZwazJiTmt5WU1JR3lzakxtekpuRHR0dHVDOENERHo3STFWZGZ6VDMzM01PNTU1N0xmLy83WDhhTkcwZWJOamtuaDI1SC92dXJMUzN2ZXJlajRkZTc1ajVTZVdLdTc3T1NmYnpHZnI0ejdibmUvNXB5eFV5ZWRldUtlWDFjNzN6dlhXT3V0eVJKa2lTcEFheWtXM2NqaVZVcUs0a1ZLMzJBZllnVks5ay9hc3ZTN2R0a3RYVktiNzhYMWJ2RFpmYXhSNDFqYlo5dXI5a2RicC8wSTl1VzZiYnQ4NnliM1pXdFp6cUdyMUs5KytNMjZYWExzdHJhcGMrdDVqNjY1WWtqczQvQk5kb3o2MmEvUi8yempwZjlvMzhrdGMrN0c3R2lhaFRWdXo5bXpudGtWbHN4c0VPdWFyTzMzMzQ3REJ3NHNOckVDOW1WZEJtdnYvNTY2Tm16WnpqdHROT3FkVHR0YUZmWXhyam5ubnZDK1BIanE4YWtPLzMwMDhPVUtWTkNlWGw1dU9paWk4S1JSeDVaTlhIRVN5KzlGTGJaWnBzd2RPalE4Sk9mL0NROC8veno0Y3N2dnd3aFZGWFM3WkhqV21XdTkwZ0tmNzJIc203WE96dFJ0QXY1ci9jZU5QQjZwOXV6SzduYTVZbDVJTFUvbTlreFp4OHY4OW5jaGVyZFhUT2Z6WnFmNzYrbTIzTjl2bXZHTVl5R2Y3NjNZTzNuT3p2eFZ0LzF6cTVRSFV6RHIzZW5QSEUwNW5wTGtpUzFTdTJvL1k4aHFUWG9CblJQT29pTmxFbTZkVmN6U2FkbXFtWXk3SU1QUGdpNzdMSkxyWmxSY3lYcFFnaGh4b3dab2JpNE9KeCsrdWw1RTJ5UFAvNTQrUFRUVC9NdW56OS9mcmptbW12cVROSWRmUERCNGQxMzM2MUswcTFjdVRMTW1qVXJISGpnZ2VIR0cyK3N0ZjZLRlN2Qzk3NzN2ZEM3ZCs5UVZsWVcvdktYdjRRUW5EaEN6Y0xqd0QrQnNVa0hJaWxaZG5lVjFKcjFCMDRGTHFkMlZ5aXBKZnNlTVFuOXYwa0hJalhDL3hFSG5sY0xNbi8rZk00Nzd6enV2ZmRlaGc0ZDJxQnRSbzBheFFVWFhNRHR0OS9PejMvKzg1enJQUHJvby96c1p6L2pvSU55NTJ0bno1N056Smt6R1R0MkxEMTY5S2kxZk83Y3VleXp6ejUwN3g3L3YrTGRkOS9sMFVjZnBWZXZYdHh3d3czc3UrKytmUGxsOWIvNjMzdnZQUjU1NUJGZWZQRkYrdmJ0UytmT25SdDBQdElHTUl4WUdkaW52aFVsU1pKYXFyT0JPY1R1R1ZKcjhqZmcrYVNEMkVoWlNhZFdMMU41OXRSVFQ0WExMcnNzNzZ5bytTcnBRZ2hoK2ZMbDRjNDc3OHhiQlhmR0dXZUVTeTY1Sk8veTIyKy9QUnh4eEJGNWwxOTg4Y1ZoelpvMVllblNwVldWZEJrTEZpd0lQWHIwcUxYTnRHblR3cWhSbzJxMUovMStTOFIvczE1TzdWbGhKVzFrcktTVDFKcWRTQndEWkJEd2RzS3hTSVV5bk5pTnV3T3dPekFqMlhBa3RWYWJiYllaVjE1NVpkN2xsWldWZVpkMTZOQ0JrMDgrT2UveTB0Szg4MU5VeVpjL1c3eDRNYWVkZGhyRnhjVTUxNmtyNzFaUlVWSHZjYVVFM0pCMEFKS2FoNkw2VjVHa0Zta2I0Z0MvSFlCdkpCeUxWRWc3QWIyQXpzQ2VDY2NpTmNZQVlBTHdVMm9QUEs5bWFKdHQ2cjVNZFNYcDZ0T1FiZk1sMUxwMzc4NldXOFk1QThyTHkrdE15alYwbjVJa05RZFcwa2xxclk3SmVuNDBjRTVTZ1VnRjFJRTQ4MXhtRnJoUlFGZmdpOFFpa2hxdUwzQXljY3lsdndIemt3MUhUVlZlWGs1NWVmazZiYnRtelJwbXpwekpwRW1UY2k2Zk0yZE9nL1pkVVZIQm1qVnJhclhsVTNPY09xbVoySlg0ZC90QzREOEp4eUlwUVNicEpMVkduWUNEczE3M1NiOStJcGx3cElMcFJKd2hNMk5yNGt5dkp1blVFaXdDN2lVbWxoM1RyeFZZdlhyMU9pZTlWcTllemU2Nzc4NzQ4ZU56THIvampqdDQ3TEhINnQxUHJpVGRtalZyV0xseUpkZGRkMTIxOW9VTEY3SjgrZkoxaWxkYXoyNENOZ2V1QXlZbkhJc2tTVkpCN1FkOFJCemNQZlA0UzZJUlNZV3hPM0dtNHN4OXZScklQVFdpMWhjbmpsQ3JsM2UyaGhvbVQ1NGNQdjMwMDRhdVhzMjhlZlB5VGtnUlFnZ2ZmL3h4V0wxNmRiMzdlZi85OThQdzRjTkRlWGw1VmR2Y3VYUEQvdnZ2WDJ2ZDU1OS9QcHgxMWxtMTJwTit2eVhnQldBeGNHSFNnVWlTSkJYYWVLQ2M2a202TDRDZVNRWWxGY0NkVkwrdkEvRGJSQ1BhK0ppa1U2dlh3RHhiczFCWldkbWd0cm9rL1g1THhDcjVmWUF0a3c1RVVyS2NPRUpTYTlPVE9HWlhteHJ0YmJIaVNDMWJGK0RiT2RvUElYWWZsS1NOVGlxVmFsQ2IxTXo5SC9Bc2NVdzZTUnN4azNTU1dwdWV3RmR5dEpjQ1gwdi9LYlZFbzRIdU9kcTdBMGR1NEZpa2RURVNXQUNzeFA4MGtTUkpxc1VrbmFUV1ptOXlkMnROQWNPQkxUWnNPRkpCcElCajYxaCtjbm9kU1pMVThwd05YRTc4ZDZ3a1NWS3I4VFMxeCt6S1BKWVNxNUdrbG1ZdzhEYjU3KzFGd0k2SlJiZHhjVXk2ZGRjQjJCYllBZWljY0N5UzFKd3NJUDdkY25uU2dVaEtscFYwa2xxVEFjVFpML1BwUkJ5VVYycHB2Z0pzV3NmeUxzQWVHeWdXYVYydEFGNERYaVQrcDRra0tYcVBPQjdkNTBrSElpbFp4VWtISUVrRmRBcHhnb2k2SEE2Y0QxU3UvM0NrZ2lnR3RpTldJZVhURHRpRk9PYmk2ZzBSbENSSktwZzlrdzVBVXZOZ0paMmsxcUlqY0ZnRDFoc0FqRnJQc1VpRjFKVTQ2VWw5ZGdaNnIrZFlwS2JvRFJ4RC9BK1Z6Uk9PUlpJa3Fka3hTU2VwdFJnSjlHL2d1aWV1ejBDa0F0c1NHTkdBOWJZR2hxem5XS1NtR0FoY0E5eE1yQTZWSkVXZGlmOHBWMStQRUVtdG5FazZTYTFCaWpnYlZrTUhJajhGNkw3K3dwRUs2bnMwN0IvdHBmei85dTQ3T3FwcTdlUDROejMwZXVrQ0VZR0l3RVVzRkdtSzBoVzRncUFvUlY0RnJncUlDaWlDSUNnMm1pSzlKUFRlcElyMEVxUWtOT2s5SUQwaFFIb3k4LzR4Wm02R21VbFBacEw4UG10bHVUSnp6cG5uNE02ZWZaN2Q0UFZNamtVa1BaNkIvTzRBQUNBQVNVUkJWTzREKzRDZFFJaURZeEVSY1NiVGdGVkFaMGNISWlJaUlwSmV4WUhmc0wvenBhMmZ0eHdTcVVqcTVBT3VrL0p5ZlJQVEJpbVNlYlM3YTlwNUFQL0N0QW1LcDROakVSRnhKdHJkVlVRQWphUVRrWnloSEZBcmxlZTBSWnZuaVBOckNwUkt4ZkVsZ0JhWkZJdEllc1VDdHpFbGs3WEJpWWpJLzR3RVBnWTJPVG9RRVJFUmtZem1BUlRrZjZPTEdqczJISkVNVlJmVDZMcFFsSkJ6Qkkya0V4RVJFWkZNb1pGMElwTFQ1QUhlQjVZNU9oQVJFYkZRQTFpSGFWMDY3Ykl0SWlJaThnaE45UktSbktZQTBCN1RORUV3VGFtS2QxdzRJaUs1VWw1TTY4OGxWZ21vK2MvclR3RFhIbmsvQkhpUSthR0ppRGlkc3BpZXplOEJZUTZPUlVSRVJDVERsQUsyWVpxT3RoSlR3aTZ2UXlNU3lWaWE3dXBZbXU2YU1zK1R1czE4alB5dmMwVkVKTGZSeGhFaUFtaTZxNGprYkRzd0plb2lIQjJJaUVndUV3aGNTTVh4d2NET1RJcEZSRVJFSkZ2UWRGY1JFUkVSeVdoeHdBemcyeFFldndUVDdxOGlJcm1SajZNREVCSG5vQ1NkaU9RMFljQTRZREd3eDhHeGlHU0dDOEFnd0EzNHk4R3hpQ1JsTlRBWTAyN2JTUWtITm1WK09DSWlJaUlpSWlJaWtsTm9UYnFVS3d4c0pQbTE2UFlCRlIwVW80aUlpSWpUMEpwMElpSWlJcElaSG1BYTBXeE00aGdqY0JqVFppZ2lJcm5WVUV3elFabzdPaEFSY1N4TmR4VVJFUkdSekJBUEhNTzBFM0ZSTzhmRUFRZUE2S3dLU2tURUNiMkxhVVR4UFRUOVh5UlhVNUpPUkhJYVQrRGZtQjRJVHdHWEhSdU9TSVlyQk5UR05CcitDSERIc2VHSUpPa2dwcW5COXBKMDBXaFhWeEdSK1VBeFRIV21pSWlJU0k1UkF2Z04wOGlOUGc2T1JTUXpQSXNwQVgwSmFPcmdXSElqclVtWGVuNGt2UjZkaUlpSWlLQTE2VVFrNTNFRjhtTmFzTnpMd2JHSVpBWjNUS1BwQ2dFZURvNUZKQ1VXSmZIZXoxa1doWWlJaUlpVFU1Sk9SRVJFUkRMVFZ1Q21qZGZ2QWl1eU9CWVJFUkVScDZVa25ZaUlpSWhrcGhoZ3FZM1gxd05SV1J5TGlJZ3p1b2hwQ1lDdkhCMklpRGlXa25RaUlpSWlrdGxtQTVHSmZvL0dkdUpPUkVSRUpOZlM3cTRpSWlJaWt0bUNnVE9ZZHQ4R09QL1A3eUlpQXEwQVQrQ0dvd01SRWNkU2trNUVSRVJFTXRzRFlDOVE4NS9mVHdHM0hCZU9pSWhUT2Vub0FFVEVPV2k2cTRpSWlJaGt0aWhnSjZaa1hUeXdHd2gxYUVRaUlpSWlUa1lqNlVSRVJFUWtLeHdCL2diS1kwclNpWWlJeVZ0QUFlQWdjTWpCc1lpSUEya2tuWWlJaUloa2haUEFYOEFWNElDRFl4RVJjU2JmQUZPQU5vNE9SRVFjeTFsSDBqMEdWSEowRUpLdFhRUXVPem9JSjFZQjhIRjBFSm1rRUtaZEE2OEFKWUFtamcwbjAxekdWTTdGdHJKQVpVY0hrVWtxQWJjeGZZZFh4alNOTUtjNmoybkRBYkV0TzdhWFRtSmFHRDI3MWMwUm1FWUNSanM2RUNkVkF2QkZBd0N5eWwxTTZ6ckdPam9RSjFVZWVOelJRYVRTQmVBZTRFMzJxUjlqZ0dPWWxqR1FqS1A2Tkd1RkFTZHdvdTkzRjBjSFlFTTVZQzZtZ2ltU1ZsZUFMc0E1UndmaWhKNEE1bU5xd09SVXJwanFOd05nZEhBc21lVTI4QWFtUnJwWUtnWE1CR283T3BCTTVQYlBmM055R1FkVCtYNEh1T3JvUUJJWkFJekJsRHgwWkQyYVhkdExDVzNQN0ZadVk0QVJ3Q3hIQitLRWlnTmpnWmR4em1lTG5PZ2gwQTlZNytoQW5GQkZ3QStvNnVoQVVpa2hJV01rKzlTUEJrei8xaU13MVpHU2ZxcFBzMTQwTUFoWTdPaEFFampqU0xweW1CcWNwZkxseTRlN3V6T0dLTTRxUGo2ZThQQndqRWFqTjZaa2xKSjAxcDRBcXJpNHVCVE9seThmYm01dXlaNGd6aU5SR1MrTXFhNVVrczVhS2FBYVVDcHYzcng0ZUhnNE9oNUpwYmk0T01MRHd4TitMWWR6SmVtY2hkcExXU1E4UEp5NHVEaUFwd0FQTkhycFVjV0JHa0JwMWJtWjcvNzkreGlOUmpBbG9UYVFmUkk2V2FVaVVOWEZ4YVZVM3J4NVZUZG1rcWlvS0tLam93SCtqV2tXeTIzSFJwUmpxRDdOUWc4ZlBpUStQaDVNTzg4dnc3U3hsY001YmEyVkwxOCtoZzBieHZQUFArL29VQ1FiT1hIaUJGOSsrU1dob2Rvd0xqbUZDeGRtMUtoUlZLdFd6ZEdoU0NxY08zZU9MNy84a3BzM2J6bzZGS2ZuNGVIQjU1OS9Ub01HRFJ3ZGlxVFMvdjM3K2ZycnJ4TW42c1FPdFpjeTMyZWZmY2JCZ3djZEhVYTI4TWtubi9EU1N5ODVPb3djcldQSGp0eTVjOGZSWVRpOUlrV0tNSFRvVUdyVnF1WG9VSEtrMmJObk0yZk9IRWVIa2FPcFBzMThmZnYyNWRpeFk0NE93NHJUSnVuYzNkMnBXYk1tVFpwa2x5bjU0Z3k4dmIzeDlQUjBkQmpaZ3Flbko3VnIxNlp1M2JxT0RrVlNvWERod25oN2V6czZqR3pCMWRXVjZ0V3I2M3NrRzRxS2l0TG9oeFJTZXluekZTbFN4TkVoWkJ2VnFsVlRXY3hrWGw1ZWpnNGhXL0QwOUtSV3JWb3FqNWxrMjdadGpnNGh4MU45bXZrS0ZTcms2QkJzMG1LRUlpSWlJaUlpSWlJaURxWWtuWWlJaUlpSWlJaUlpSU1wU1NjaUlpSWlJaUlpSXVKZ1N0S0ppSWlJaUlpSWlJZzRtSkowSWlJaUlpSWlJaUlpRHFZa25ZaUlpSWlJaUlpSWlJTXBTU2NpSWlJaUlpSWlJdUpnU3RLSmlJaUlpSWlJaUlnNG1KSjBJaUlpSWlJaUlpSWlEcVlrbllpSWlJaUlpSWlJaUlNcFNTY2lJaUlpSWlJaUl1SmdTdEtKaUlpSWlJaUlpSWc0bUpKMElpSWlJaUlpSWlJaURxWWtuWWlJaUlpSWlJaUlpSU1wU1NjaUlpSWlJaUlpSXVKZzdvNE9RRVJFUkVSRVJFUnlKNlBSYUhSMERNbHhjWEZ4Y1hRTWtqdG9KRjBxTEYyNmxPam82R1NQVzcxNk5jZVBIMC94ZGVmTm01ZXE0MVBEMzkrZnExZXZwdnE4NE9CZ3dzUERVM1NzTTkydlpGOFBIejdNOU04NGMrWU1QLy84TTNGeGNhaytOeUlpSWhNaWt0em16ei8vek5UcmQrclVpZFdyVjl0OWY5ZXVYZmo3KzVNTjJzTGlaTTZkTzVmcG4zSDkrblhXckZsajkvMFRKMDZrcWY2V25PWFdyVnVjUFhzMnc2OTc2ZEtsZEY5ank1WXRxbC9GU2tCQUFLZE9uVXJ6K2ZQbXpiUFpEcDB5WlFxSER4OU9UMmdpTmtWRVJHQXdHQndkUnE2dFQ1V2tTK1N6eno1aitmTGxkdDhmTm13WXJWdTNUcmF3N055NWs1bzFhekpqeG93VWZlN2F0V3VwVmFzV3YvLytlNnJpVFhENThtV09IVHRtODczVnExZnoxRk5QY2VIQ2hSUmQ2OUtsUzN6MDBVYzg4Y1FUdlB2dXV5azZKNnZ2VjNLbTZkT24wN2h4WS9idDI1ZHBuMUdsU2hYMjdkdEhnd1lOVXB5RVR0QzNiMS9hdG0zTDNidDNNeWs2eVEzZWZ2dHRXclJvd2YzNzk4MnZSVVpHc25MbHlpVFBXNzU4T1h2MjdFbjIraWRPbk1EUHo0L1kyRmliN3pkczJKQVZLMWJRcWxVcklpTWpVeGU4NUZyeDhmSFVxVk9IVHo3NXhPTDFTNWN1SmRtQk1YUG1US0tpb2xMOE9kSFIwYlJ0MjVaKy9mclpmSC9DaEFuNCtQaHc4dVRKRkY5VGNwN3IxNi9qNit2TGdBRURNdlM2ZmZyMG9WT25UdlR2M3o5TlA5MjdkK2ZsbDEvbTdiZmZ6dEM0Skh2WXZYdTMzYVRHaEFrVHFGMjdOa0ZCUVdtNjlyQmh3NmhkdTdaVmgvWTMzM3pEQ3krOHdKWXRXOUowWFJGN0RodzRRTFZxMVZpNGNHRzZyblBreUpFMG43dG16Um9hTjI1czBXYk9MWExOZE5lMWE5Y3lmLzU4U3BZc3lmSGp4OG1iTnkrUFAvNDRBSWNQSHlaZnZueUVoNGR6K1BCaG5ucnFLWHg5ZmJsMTZ4WWxTcFF3WDhQTHk0dDI3ZHFSM0VoWFQwOVBDaFVxUk0rZVBWTVVtNGVIQjc2K3ZqUnIxaXhOOS9idHQ5L2FiUkI0ZW5yeTRvc3ZtdTgxd2NXTEYvSHg4Y0ZvTkhMa3lCRTJidHpJbWpWckNBd014TmZYbDQ0ZE8xS3BVaVd1WGJ0RzJiSmxrL3o4ckw1Znlabnk1TW5EL3YzN3FWQ2hRcXJQTlJnTXpKa3poMjdkdWxuOWZScU5Sa0pDUWloV3JCZ0FQLzMwRTVVcVZlTG16WnRXZnhmMzc5K25ZTUdDTmovRHc4T0Q2T2hvODNWRTBzTER3NE55NWNwWmxET2owY2gvL3ZNZk9uWHFSS2xTcFd5ZTUrL3ZUOW15WlFrS0NzTER3OFB1OVQwOVBXbmN1SEdTeC96NDQ0ODgrZVNUYk51MmpWYXRXcGxmdjNQbkRzV0xGMC9EWFVsT3QzMzdka0pDUW5qMjJXY3RYdCsvZno5ZmZQRUZiZHEwc1RvbkxDd01QejgvMXExYng0b1ZLMnhlMTgvUGo2ZWVlb3Jubm5zT01KVmZnQTgvL05EbThkN2UzdFN1WFpzbm4zd3lQYmNqMlp5WGx4Y0dnNEZPblRwbCtIVmRYRndZUDM2OHpmZDM3TmhCblRwMThQYjJ0dm4rdVhQbjhQZjNUM0VudDJSUFU2ZE90ZW9vaUkyTlpkcTBhWFRyMXMxcTBFSklTQWlyVjYrbVNaTW1kci9qaytQdTdrNmZQbjNJbnorLytiVXJWNjV3OWVwVkJnNGNTTk9tVGROMDNld29MaTRPZC9kY2s4SndHQzh2TDA2ZlBwM3VmK3N1WGJwUXJWbzF5cFFwazZyelltSmltRGx6SmpFeE1UUnIxb3pmZi8vZDdqTmFUcFJyU25pYk5tM01qY2gyN2RyaDYrdkxkOTk5QjBDVEprMW8yTEFoZ3djUHRqaW5lZlBtVkt4WWtXWExsdUhtNXBiaVF1cnA2WW1ibTF1eXlid0U2U244Zi8vOU54Y3VYS0JodzRhcHVuYTFhdFhvMXEwYmJtNXVGQzFhbEdyVnFqRjE2bFNxVnExcWJpU25WRmJlcitSYzd1N3VlSGw1VWJwMGFmTnJ4NDRkNDlkZmZ3Vk01Y3pWMVpXWW1CaGNYRndza2hEWHJsMWoyYkpsYk51MkRYOS9mNHZySGpwMGlHSERobEdsU2hYemE0MGJOK2JubjMrMk9PN1NwVXZzMjdlUHhZc1gwN2h4WXd3R0E2NnUveHRzN09ucGFkRTRFa2tMRHc4UHEwUllRbG51M2JzM1RabzBzWG5lOXUzYjZkMjdkNUxKTndBM056ZUwzKy9kdTJkektrem56cDN4OXZabSsvYnRBTnk0Y1lOZXZYb3hmdng0ZXZUb2tlTDdrZHpCejgrUFZxMWE4ZWFiYjFxODd1WGx4WjA3ZDJ3bU5ZNGZQNDZmbng5RGh3NjFlOTNXclZ2ejNIUFBVYjE2ZGViT25XdXVjKzIxSjl6YzNHeitEZHk0Y1NQTkQ3K1MvU1RVYzE1ZVhobDYzZVRhcCtQSGorZklrU1BzMmJQSG9xM3lxSklsUzJab1hPSmNYbi85ZGU3ZXZVdjU4dVhKa3ljUEFLZFBuMmJTcEVsODl0bG5Wc2RQbWpTSjh1WExzM0RoUXI3Ly9udEdqeDZkNnM5MGMzT3orbjdmdFdzWHJxNnU5TzdkTzIwM2tnMWR1WEtGcGsyYk1uMzZkTHZ0Slh2R2pSdEh5WklsNmR5NXMwWDcvc1NKRTN6NTVaZjg4TU1QUFBIRUV4a2RzdE03ZGVvVXZyNitWcThuZEVZOC9mVFRWdTlkdkhpUkd6ZHVVSzlldldTdjcrYm1SdG15WlJrM2JseXFZNXMwYVZLcXo4a3BsQzFKUXA0OGVhaFRwNDVWcFppYzFLNHBtWjZrMVU4Ly9jU25uMzVxOS8zRWxWRGlub2Y0K0hocTFhcVZJUlY3VnQ1dkxsWUFxQUNjQUJ5L1FFQW1zUFYzVnFOR0RmcjI3WXVQajQrNUllVHI2MHZ0MnJWWnNHQ0IrYmdEQnc2d2JOa3ltNzNYVTZaTTRlT1BQK2FWVjE0eHZ6Wmh3Z1NxVmF0bThWcURCZzM0L1BQUCtmZS8vdzNBZ0FFREtGMjZOUDM2OWNQYjI5dmliMGt5Ulk0djQ0QkZKOGlSSTBlb1ZLbFNoaVovRTlmSHExYXQ0cFZYWHVIZ3dZTkVSMGZqNCtORDNyeDVBZWpZc1NQMzc5L241TW1UZUhwNlVxbFNKZno5L1hGemMxTXZkZVlxakttY0h5T2JsUE03ZCs2d2F0VXFEaHc0QUpqYUQrSGg0UlFzV0RCRjdhTUNCUXJZZmU5Zi8vb1g4K2JObzJIRGhzeWNPWk91WGJzbWVTMWI3WTB4WThZd2F0UW90bTdkYXZOaFF1ekt0blZ1U3NyZHVYUG5iRDV3Mzd0M0R6YzNONXZsTXJsNno5dmJtMWRlZVNYSkJKMmtXYllwajhXTEZ5Y2lJb0twVTZmeTMvLytGMDlQVDY1ZXZZcUhoNGRGaHpDWVptaU1HemVPeVpNblU3aHdZZTdjdWNPeFk4ZW9VYU9HM2V0ZnZIaVJraVZMbXIrdndYYVpYNzkrUGMyYk44Zkh4OGZ1dFI0K2ZKaWpPcGgvK3VrbmJ0MjZ4YjE3OTFKOTdvVUxGemg1OGlSdnZmV1d4ZXNyVnF3Z0tDZ295ZStxRkhvY3lBOGNUZStGc3RKTEw3MUV3NFlObVQxN3RrV1pTNm8rdkgzN052WHIxMmZvMEtGOC9mWFhTVjdmM2QwOTE2NHJseDVxaFQ5aTZ0U3B0Ry9mbmhJbFNxVDVJU1h4dzN4a1pDUzlldlZpNk5DaFZLNWMyZWJ4aVQ5bjRzU0puRDE3bGdrVEppVDdPWGZ1M09IUW9VT01IVHZXL0ZwRVJJVEZ2TzNvNkdpaW82TzVldlVxM2JwMW8xbXpaZ3dhTkNoREg4Q3k2bjV6dVdMQWRPQXhZQjB3RnpnTjNBZVMzODBrRzdEMThCVWRIVTJsU3BVc2VzdkR3c0lvVXFTSTFYRUFoUXNYdG5oOXhZb1ZMRnk0a0I5Ly9OSGk5VU9IRGpGNzlteDI3dHhKd1lJRk9YTGtDUDM3OTZkRGh3N21ZNktpb3ZEMzkrZS8vLzB2M3Q3ZXFVN1dTNnJsK0RJT2xrbTY5OTU3aitqb2FQYnMyWU83dXpzVEowNWsxYXBWTnMrN2R1MmF6ZGNEQXdPWk0yZU8rZmNyVjY2d2N1VktqaDQ5aXArZkh5KysrQ0pyMTY0bExDeU1UcDA2NGVmblo5R2czN2R2SDFPblRtWHo1czFXVXhrbFU3d00rR042Q04wT3pBVDJBM2R4MG5JK2FkSWtldmJzYWU1cDM3UnBFeDk4OEFGTGx5N05rTTZMQmcwYTBMTm5UNW8zYjI3K0hyaDc5eTU5Ky9hbFlNR0NGQzllM054dTJMVnJGL2Z2MzZkLy8vNFcxK2pXclJzYk5temczLy8rdHpwVVVpN2IxTGx4Y1hFV0c0WWtyTGtaRXhOalh2UHd4SWtUakJ3NUVqOC9QL01TTEJVclZyUktZS3haczRZOGVmS3daY3NXdTlOVzdYRjNkN2RxcTRTR2h1TG41OGZISDMrY2xsdVQvOGsyNVJGTTY0Ri8vUEhIbEMxYmxvNGRPM0wxNmxYS2xTdG5WVDVHalJwRm5UcDFlT09OTndBWU5HZ1FuVHQzWnRldVhlYk81MGV0WDcrZTRjT0hNMjNhTk5xM2J3OWdWYS9GeDhlelljTUdacytlYlRmR2dJQUEyclp0YXg0Sm5kMmRPWE9HNmRPbjgvdnZ2ek56NWt4ZWV1bWxWRTEvOVBUMHRGcFN4MkF3NE9mbngzZmZmV2N4QW5iUm9rVlVybHlaWjU1NUpqVWhOZ1Q4Z01QQUZHQUxjQk1JeDRrVHo5N2UzbFN0V3RVaVFaZWNoT2V5ZDk1NUo5bGoxZW1iTnJuaVgyM1hybDJzVzdmTy9QdUpFeWU0ZWZPbWVYcnJoUXNYMkxoeEkwZVBIbVhod29XTUh6OCt4UXR3L3YzMzMzenl5U2NXZjlqNzl1MGpQRHljL3YzN2MvdjJiYzZmUDgvZ3dZT1pPSEVpWDM3NUpmbnk1Yk9vYkpjc1dZS0xpd3Y5Ky9mbjh1WExHSTFHTm16WVFNdVdMWlA4N1BIangxczFWS09pb3ZqeHh4LzUxNy8rQmNEdnYvOU9tVEpsbURkdm5ublUwSTBiTjVKTk9JU0ZoUkVTRW1MVnVISGsvUW9BWllIM2dSN0FHU0FBMkFzY0FITGNscmtEQmd6Z3dJRURyRml4Z25MbHlnR21Yc2xIazNFSlNicEhwMnJYcUZHRC9mdjNXeVgxUEQwOXFWV3Jsdm5MUFUrZVBEeDQ4TURpR0E4UEQ2cFZxNVlSUFd1U09qbXlqQWNGQmZIMDAwK2JwK3B0MkxDQjA2ZFBzMlBIRHZMbno0K3JxeXNmZnZoaGt0TmRiUzFJWGJ0MmJZb1dMVXFGQ2hWd2NYRmgzNzU5dEcvZm52Nzkrek5yMWl6emNYbnk1T0hsbDErbWZ2MzZCQVlHbWtlQ0xGdTJqQ0ZEaGloQmw3VTgvdmxwQTdRR1FqQ05yTnNNck1HSnl2bjkrL2RadEdnUkFRRUI1dGRtejU1TmFHZ294WW9WNDg2ZE94bnlPVE5tekNBMk5wYXBVNmNDVUt4WU1kYXZYMjkxM0tlZmZzcWxTNWZzcmhrbWFlTDBkZTdWcTFjWk1tUUlaY3VXeGRYVmxiQ3dNTURVc1o3UTNqMTA2QkM3ZCs5bTU4NmR2UHJxcTNoNGVGQzBhRkdyZG5KUVVCQ0ZDeGRPTWtGMzZkSWxKa3lZWURYNjQ5Q2hRN2k3dTF0Y2M4dVdMUncvZnB5Ly92cUxnUU1IWnRRdDUyWk9YeDdCVkNaTGxpeEp4NDRkQVFnT0RxWjgrZklXeHdRR0J1THY3Mit4NU1RVFR6eEIvZnIxZWZQTk4xbTZkS25ONmZ0ZVhsNjR1N3ZUdW5WcjgydVBKdjkyN2RyRmd3Y1BXTEZpQmR1MmJiTjQ3K2JObXl4YXRJaTMzbnFMdDk1Nmk1MDdkOUt3WWNOczNaNk5qNCtuZS9mdURCbzBpSVlORzFLaVJBbmVldXN0bGk1ZGFqZlorU2hiczh0V3IxNU5hR2dvUVVGQlhMeDQwZnplcUZHajZOKy9mMnFUZEFscVlVclNoV0lxdXdlQlhaaSs1MitsNVlLWnlkUFRNOVZydlNYa0VWSXltODVvTkdxZ1F4cmtpaVJkdlhyMWNIVjFwWExseWhRb1VJQ2RPM2ZTdkhsekJnMGFCTURldlh0NStlV1grZlRUVDgwUE5SNGVIc1RFeENSNzdUSmx5bGp0ZXZMcXE2K1NMMTgrbTQzSW1UTm5XdnkrZmZ0MkpreVl3Rk5QUFpXcVJ1ZjkrL2ZadG0wYkkwZU90SGk5YU5HaWpCa3pCakFsMm9ZTUdVTGp4bzJ0MXR0emQzZG43ZHExM0xoeHcrYjExNjVkeTgyYk45bStmVHVWS2xWeStQMktGUS9nS2FBYTBCbTRnMmw0OVpwL2ZtNDdMclMwaVk2T0ppWW1oaDkrK0lFYk4yNWdOQnFKaUlqZzlkZGY1OHFWSzVRclY0NlltQmdpSWlLczFudEoyS1h5MFNSZDVjcVZtVHQzTHQ5Ly96MUZpeFkxdjc1Ly8zN2k0dUxNRGUwVEowNXcrL1p0SG52c01WNSsrV1VnWmROcEpGUGxtREp1TUJpWU1XTUd2Lzc2SzE1ZVhrUkZSZkhKSjUrd2ZQbHlhdFdxQlpnYW9NbXhkMHpGaWhWVEZFZVBIajBZUG53NHUzZnZwbVBIanV6WnM0Y2lSWXBZakFCSkdBMGdXY1lGMHdpU0prQmo0RXZnRkRBYldJU0R5L25Rb1VQNS9QUFBLVlNvRUdDYVFyaHk1VXBtekppQmo0OFBwMCtmVHZkblJFZEg0K2ZueCtyVnEzbnZ2ZmZTZlQxSk02ZXRjeXRXck1qOCtmUE52NTgrZlpvcFU2YncrZWVmbTZlMGpoa3pob2NQSC9McXE2OENwdTl3THk4dnEwNDlEdzhQYzJJdnFjL3IwYU1INWNxVm8zRGh3dWFIKys3ZHUrUHQ3VzIzL1hydTNMazAzNk5ZY2RyeUNLYVJkSWszSDd0NjlTcVBQZmFZK2ZlNHVEaDY5KzdON05tenJhWkhmL3Z0dHp6Ly9QTzBhdFdLdVhQbldxMm42ZW5waVplWGwwV2I5dEZraUwrL1AvMzc5NmRSbzBibU1wOWd5WklsTEZxMGlFbVRKcG5yN3V5dWYvLytsQ3BWaXErKytncUFxbFdyMHIxN2Q1bzNiODd5NWN2dC9rMmZPSEdDTld2V0FLYWxjZkxseThlMWE5ZFl1WElsUzVjdTVlZWZmMmJQbmoyc1dyWEsvS3c4ZHV4WTZ0U3BrNmExQXg5UkJGTkhYSE5NbytWRE1DWHRadjN6MzF6QmFEUnFORjBhNUlwL01YZDNkMTU0NFFYejc2ZFBuNlp2Mzc3bVhqUlhWMWZjM2QydGV0VVNodE9uUm1Sa0pGdTNic1hGeGNYdWVoaUpmZlBOTjZuK0RJQmZmLzJWUG4zNkpKbkJEZ2dJd0dBdzJKd0g3dWJtUnJObXpRZ0pDYUZYcjE0V3ZSRHg4ZkdNR1RPR0prMmFKTHZUWDFiZHI5amxnbW45Zy94QVJlQzFmMTVmaG1sSzFVRk1Vd1VpSEJKZEVrSkRReGs0Y0tCNVU1WXJWNjdnN3U3T08rKzhZM2U5bDh1WEx3Tlk5VlltVEhleDFUUCt6anZ2V0EzSDd0MjdOMUZSVVVrbWlqVmx5bWxrMnpLZVlOT21UZVpSY0Y1ZVhzeWZQNTlaczJhWkU4SmdTdVFsbnJyMUtLUFJhREhkS3kzS2xTdkh1SEhqYU5ldUhXQ2F6akZuemh4elFuck9uRG4wNzkrZlBYdjJhUGRNeDNBQjhnQlAvL1B6TTdBYjAvU1o3Y0Ixc3JDY1Q1MDZsY1dMRi9QRUUwOHdaTWdRSWlNajJidDNMNis4OGdyZHUzYzNIeGNaR1drMVdnbE1VMWFURWh3Y3pPelpzNWt5WlFxZE8zZG0xYXBWaElTRXBDckdxS2dvSmsrZXpFY2ZmYVNIZ0l6ajlIVnVRaWQ2dm56NUxGNUwzQVpJYjNtb1diTm11czZYRE9PVTVmSGl4WXNXZ3hpQ2c0UE5heHFES2FuVXUzZHZtOU5NejU0OXkwY2ZmY1FYWDN4QjFhcFY2ZFdyRjcxNzl6WW4vV3h0NEpmNGVTODhQSnpBd0VDMmJkdkcrUEhqclpKMHg0NGR3OGZISjBjazZBd0dBNTk5OWhsbnpweGh6Wm8xRnY4T0hUcDBJRFEwbE5xMWF6Tm16Qmc2ZHV4bzlWenM2K3RMdVhMbEtGaXdJRnUyYk9IRkYxL2swMDgvWmR5NGNZd2RPNWFSSTBmaTYrdkw1Y3VYT1hQbURIRnhjWXdlUFpwZHUzYWxlczMxSkxnREpmLzVlUkxvQ1Z6RTFCbTNCTlBvdXZ0QThyMjEyVlJHYi9LVEcrUzZGczJKRXllNGQrOGVqUm8xU3ZiWW1KaVlWSC9KYjkyNmxZaUlDSW9XTGNxSUVTTW9WcXdZSTBlT3REbkUrTUNCQS96eHh4L0pKc0llRlJFUndlclZxOW16WjArU3h5WHMyaGNZR01oNzc3MW5NWnJJMWRXVklrV0tVTHAwYVU2ZVBNbExMNzFrUG0vLy92MDhmUGlRUVlNR0pWdkJaOFg5cG9NUHB0RUpPVUVwSURWamtUdjg4M01lMHhTQnc4QTI0R1JTSjJXbElrV0tNSEhpUkhQRjdlZm54ODZkTzVOY2tObGVraTVoSkYxcTE1ZEpNSFhxVkRwMDZFQ3hZc1hNcjJYZ2wzTm1xb0RLdU5PV2NUQXQyanh3NEVEenBpYng4ZkYwN2RyVm9sRWRFeE9EMFdqRXo4K1ByVnUzMnJ6T2pSczNVdDF4dEd2WExpWlBua3lKRWlVc1B1dlpaNS9seFJkZnhNM056VHk5TUVIWHJsM1p0R21Uc3lYcEtnRnArK1BPSEFsUFpsNmsvdS92S1V3UG5TblY0SitmaDVqV1ovb1RtRWNXVFBzcVdiSWtZV0ZoSERseWhPN2R1MU9nUUFIOC9mMEpDZ3F5T0M1UG5qeDJkM2VkTjIrZTNlc1BHemFNeFlzWHMyalJJbDU3emZUY25iaFQ4ZDY5ZTN6NzdiY1dzeG9lWFpOdTkrN2Q1bW1PaXhZdFNuYjM0d3hRSEdoRXpuaVl5cloxYmtTRUtSK1RlSXBXVkZTVVJSc2dvNzdETDErK2JMV09WZUwzQ2hRb1lERlNQNHVWeGpRQ055ZklWdVh4d29VTDFLOWYzL3o3MWF0WHpkL3J2L3p5Q3pWcTFPRDY5ZXMyT3pEbXpKbUR3V0JnMHFSSkRCczJqQ2VmZkRMWjBaMkp5L09DQlF2bzE2OGZSWXNXNWRTcFUxYkhIamx5SkszVE5OUEtCYWdPWk9qdUFPSGg0WFRwMG9WeTVjcXhkdTFhbS9WNysvYnRNUnFOOU83ZG0xR2pSdEdyVnkvKzg1Ly9tSjhsWEYxZEtWaXdJUEh4OGV6YnQ4Kzg5Tk94WThkNDdybm5hTkNnQVFBREJ3N2t6VGZmSkRRMGxMRmp4OXJjN2ZRZlNYM24yejNKQmgvZ2EyQWdjQVRUdE83VHdJNVVYQ05EMkZwS0phVVNsaHRLN3ZvcG5aSXMvNVBya25UVHBrMmpaY3VXbENsVHh2eWF2UjFIL1AzOXpWT1JVaXBoT0w2TGl3c3paODZrVWFORzFLcFZpeDA3ZGxoTklSbzRjQ0IxNnRTaGR1M2E3Tnk1TThXZk1YMzZkTjU5OTkxa3ArT3RYcjJhL1Buejg4d3p6MUN5WkVscTFLakJwazJicUY2OU9nOGZQaVJ2M3J4VXIxNmRHVE5tV0NUcE5tellRSmt5WlN4R0h6cnlmdFBoRFZKWFlUb3pOeUF0WFdLVi92bDVIZFBpcFRjeFRhVnlpbUZpcWUxWnVYVHBFbUE5dlM4aFNXZnJTeUFzTEl6MzMzK2Zva1dMbWo5djc5Njk1dW11OGZIeG5EMTdsdlBuei9QZGQ5K1pSOUJsa3lUZDY4RGdaSS9LSGpLeWpCL0VTYjdmL1B6OGlJNk9wa3VYTG9DcFFmUG85S3U0dURqZWVlY2RmdmpoQjZ0cEx3azZkdXlZNHAwclkyTmpXYng0TVpjdVhXTHk1TWtXblMzTGx5OW44dVRKZE8vZVBUc3RkTjRWY0taaExRbkRkMHBnV2tjdU5Wd3dsZlhVeWc4ODg4L1AvMkhxZWQrVnhtdWxTTHQyN2JoNDhTS2xTcFhDWUREd3dnc3ZNR2JNR0t0T2tyU2FNbVVLWGJwMHNSaFJtamdSL2ZEaFErN2R1OGRISDMzRWswOCs2U3dqNVo0SG1qazZpQXlTa1hYdVBzQjYrRThtdVhQbkR0N2UzaFlqNmFLaW9peCt6NmpSOFBYcTFhTjkrL1o0ZUhpd2YvOStpelhwMXE1ZGk4RmdZTisrZlJhZElWbW9LWkQ4eXUzWlEwYVd4K05rWXQwSWNQNzhlZDUrKzIzejc4SEJ3VHoyMkdPY09IR0NXclZxMGJCaFE2NWN1WUxCWUtCMDZkSVc3ZDNFblJxdnYvNTZxdHJDQm9PQnZYdjNtcGNUTWhnTWhJU0VtQlBGUnFPUnZYdjNNbUxFaVBUZVltcDRBQU9BREZ2Y2R1dldyWXdkTzVhZVBYdHk0Y0lGdXhzTXpwczNqL0R3Y0RaczJNRFhYMy9OaHg5K3lQVHAwNWsvZno1UFBmV1UrYmdEQnc3dzhPRkQxcTFieDkyN2R4a3hZb1JGVXI5VXFWSkVSVVhoNmVsSjU4NmRrd3B0S1pmSE53QUFJQUJKUkVGVVlSTHZwU1VUbFI5NEFhaVBhVFRvRFV5SjVpd1pCbm53NEVFdVhyekltalZydUhyMXFzVjdDYVBodi9ubUc2dEJPd252SlRkaUhreDFjM1plRDlGUm5LTEZrMVd1WHIzS2dnVUxyRGFGZUhUWHFBUTFhOWEwK0pJUENRbEo4a3MvSkNTRUZTdFc4UFRUVDNQbHloVThQVDM1OWRkZmVmNzU1L24yMjIrWk5HbVMrZGlaTTJlYWU0Q25UWnVXNG51SWlZbGh3WUlGeVNhNXpwNDl5L1hyMTJuUm9nV3hzYkdNR0RIQ3ZFRDRpaFVyaUl5TXBIang0bFN0V3BYZHUzZGJuTHQwNlZLNmRldVdiSklpSys0M25keHhydEVYNmVGSytoSnJycGkrUEFxUWpmOU5qaHc1UXBreVpheDZyU01qSTNGeGNiR1pwQ3RVcUJDTEZ5KzJlTTNlZE5mRXZVa3BXU1BNQ2FpTVc1NmZVTWFkcHN2dWd3OCs0SU1QUGpEWHAxRlJVVlk3YU9YTm05ZGloMVpiaWhZdFNzdVdMWms5ZTdaRkoxTmlSNDhlNWRhdFc4eWNPWk14WThhWTExMU5iTWFNR2Z6NzMvK21YNzkrYWJ3amgvREF1Y3A1NG9jL1I3U2pQREJObTZsSEpqK0lKaVNOeDQ4ZlQvbnk1UzJtdWFhWGw1ZVhSWUlPVEcwY1QwOVA4dVRKUTlteVpYbjY2YWVwVjY4ZTgrYk5NMC9UdGlVeU1qS3JldXJkY0s2eW1CNFpXZWVtZkZ2QURIRDc5bTJya1VlUmtaRVdTYnFNNm1pTGpvNm1ZY09HTmgvY3IxNjlTckZpeFJ5Vm9BTzFBUjQ5UDB2YUFKczNiK2JLbFN1c1dyV0tvS0FnakVhamVaZmZ0V3ZYOHZQUFA5T3dZVU56aDhhK2ZmdW9XN2V1eFRYdTNyM0xrU05ITEFaSkpDV2hQSzlkdTVaUFAvM1UvRHhhcjE0OTFxeFpZNjZiVDUwNnhkMjdkMU44M1F6a1NRYVV4Y2pJU0taT25VcUpFaVZZdFdvVjd1N3VIRHQyakpJbFM5b2NzWnFRTUhkemMyUGR1bldzWDcrZVJvMGFrVDkvZm92alZxNWNTZkhpeFhuMTFWZjU2NisvZU8rOTk1ZzdkeTVnNnN4djE2NGRyVnUzNXZMbHk3enl5aXRNbno2ZHlwVXIyd294cVh0TTcxQnVkMHlkZ1BsSjNZajdOSHYyMldmTlM1dzhta2hMR0EwL1pNZ1FxK1dzVHAwNlJWaFlHR1hMbGszMk15SWpJNjA2cHlWNXVTWkpaelFhNmRHakI5OTg4dzAxYXRTd2VDOHlNdEk4RWlleHJWdTNNbTNhTkk0Y09ZTFJhT1RpeFl0V3U1MG01dS92eitPUFAwN2J0bTM1NVpkZkFIam1tV2ZvM0xtenhXS2l0MjdkNHJQUFB1UDc3NzlQOVpvWGMrYk1vWFBuenNuMnVzeWRPNWNlUFhvUUVoSkNXRmdZYm01dURCOCtuRTJiTnBsM3NVeG80RHorK09OczJiS0ZwazJiY3VEQUFVNmNPTUZ2di8yV2JDeFpjYi9wdEFBbm0vcVdEcVdBb1pnVzBFMk44NWhHRlFWaFd0TW9DSGdKVSs5cnRoTVFFRUNkT25Xc1hvK0lpQ0Jmdm56cGFwUmZ2MzZkbGkxYk1tN2NPRjU4OGNWMERmL09Rb3N4RFpQUENUS3lqRmZETkNYTjRSNHRrNkdob1JZTm9ZaUlDSHIyN0VsOGZEd2xTcFF3anhhYVBIa3lqUnMzcGxxMS8vMXpQUG5ray96MjIyLzA2dFhML05xNWMrZFl0V29WQ3hjdTVPKy8vOFpnTU5DM2IxK0xYZUVTbkRsemhrMmJOckY1ODJhYkhVNEdnNEhQUC8rYzk5OS8zMkt0SFNjd0U3am02Q0FTS1lXcGZLWGxRYkRpUCtlbTVXRTBGTk51aHh1QjVaZ2VScGVuNFRxcGN1ellNV2JObXBYc0Voc1pvVkNoUWdRRkJaa2IvbjM2OU1IUHo0L2x5NWZiVGRKTm1qU0o3Nzc3anExYnR5YTdMbTRHQ0FEbWtIT211MlpVbmZzNFNZOHd5VkJuejU2bGF0V3FGcTlGUkVSa3ltaU41S1pRTzNpRXlDYkFlaHZrN0NrankyTjlNckVOMEtSSkU0WU5HOFpubjMxbTdoeVlNR0VDaHc0ZFl0bXlaVFJzMkpBdFc3YlFvRUVEdkx5ODJMOS9QL2Z2MzZkWnMvOE53ajE1OGlRdnYvd3lvMGFONG9zdnZranhaN2RvMGNKaXpicFhYMzJWcmwyN21wTjA2OWV2NS9ISEg4L3FKU3RpZ1o5SS8zVFhiZDdlM2xaVGhCOTliaytLclRVQUFmNzQ0dy96VHJ4ZmYvMjFlUlRrc1dQSGVQLzk5eGs0Y0NEdDI3ZkhZRER3MVZkZlViTm1UZHEyYlV1blRwMm9XN2R1NHFWNDJpZng4YzFKL2V5V2gxaFBkM1VqaStyVE8zZnU4UHp6ejZmNlBGOWZYMWF0V3BXaUVjdDM3OTUxWkVkR3RwVXJrblFKRHkwZE8zYTB1WFBZcDU5K1N1blNwV25idGkzOSt2VXo5ejQwYTlhTVpzMmFjZXpZTVZxMGFFSHYzcjFwMGFLRnpjK0lpb3BpN05peHpKZ3hnei8vL05QaXZTbFRwcGlucHNiRnhmSDIyMi9UcmwwN0Jnd1lrS3I3aUkrUForYk1tZnp4eHg5SkhoY1hGOGY4K2ZQWnRXdVh4YTZ1SFRwMG9FNmRPbHk0Y0FFWEZ4ZHpEMC9IamgyWk1HRUNUWnMyNWVlZmY2WjkrL1pKSmlPejZuNHp3RVZNWDlnNVFVVk1pNHFtMUcrWUt2Z0RtSGJBdWs4R3J4V1JWWll1WFVxREJnMXdkWFVsTURDUTNyMTdXeDBUSGg1dWMvdndIVHQyOE5WWFgxRzZkR2xLbENoaFRwanMzcjJiK1BoNHE0WkFreVpOK09PUFA2aGJ0NjdkYWZCTzVqSXE0OW1takJ1TlJpNWN1R0F4QWlSdjNyeFdPMmFEYVpyc1cyKzlsZXpJcGJsejUvTDExMS9UcTFjdmZ2amhCL05EUUdCZ29OWDAyZDI3ZDFPeVpFbCsrKzAzYzBkTVZGUVVwMDZkd3NmSEI0UEJ3SkVqUnpoMTZoVHo1OCszNm9sMm9QT1lwdE01azBWcFBLOERwcWt0S1UzU1JXSGFCUzVoZ2ZTTFFFS3ZZbDE3SjJXVUsxZXU4TVliYjdCZ3dRSUtGQ2pBK2ZQbk9YejRNTEd4c2NsTkNVcld6Smt6V2JwMEtZODk5cGpGQ0tnRWtaR1JuRDU5bXR1M2IxT3FWQ21iYXp0RlJVWHg1NTkvVXJSb1VRWU1HTUQ4K2ZNek8ybHlCOWlKNmFFMHU4dTJkZTZSSTBlb1hidTJ4V3NQSHo2MGVCRE1xSkYwdGhieFQ4ekJiWVhybUI3cW5mcTdMNFd5VFhuMDhQQmcyTEJoVnEvZnVYTUhUMDlQZkgxOXVYWHJGcU5IajJiNDhPRjA2dFNKWjU5OWxtUEhqcGxIRkIwNmRBZzNOemZhdDA4cTUyTVNHQmpJblR0M0FPdnlXS1ZLRmVMajR3a0lDS0Jldlhxc1hMbVNUcDA2WmNCZHBvb1IweFRqZE8rNCsramZiVWhJQ0FFQkFUWTdIaE9NR0RHQ3JsMjcybjEyM2J4NU02MWF0VEt2bi9iWVk0K3hjdVZLUm8wYXhaWXRXMWk5ZXJXNTduQjFkV1hreUpIVXJGbVRDUk1tMExGalJ6NzU1Qk8rL1BMTGhPK1dwTnJjdGhldnRPMEtwc0VrSzRDcm1MNWJFcjVYc215cHByNTkrNW8zakh4MG1hcmtyRisvbmlWTGxqQjY5R2k3SStxaW9xSzRmLzkraWtiY2lhVmNrYVR6OS9lbmUvZnVQUHVzN2FueWI3MzFGb2NQSDJiTm1qVzBidDNhYW9od2xTcFZPSGJzV0pJTHcvNzY2NjgwYXRTSTVzMmI4K2VmZjFwOGFTZHVNUGJyMXc5UFQwK21USm1TNnZ0WXZIZ3hiZHEwc2RtWVRXelZxbFc4K2VhYlZsT2kzTjNkOGZIeFlkKytmVHorK09QbUI3Q1dMVnZ5L3Z2dk0zdjJiQll2WHN5QkF3ZVNqU1VyN2xkU3hBaEVBdytBRTVnV0ZGK05nN2VtendpM2J0MWk4T0RCZE9yVWlkS2xTek5tekJpOHZMeHNObWdlUEhoZ2M1T1R4bzBiczMzN2RxS2pveTFHbjNidjNwMUtsU294ZE9oUUFJdjFQQkxFeE1Ta2V6ZE55UkE1cG93SEJ3Y1RGUlhGMHFWTEtWKytmSm9XZHA0L2Z6NGRPM1kwTjlTLyt1b3JHalZxUk5PbWxvTmphOWV1emFKRi84c2pCUWNITTNQbVREWnUzR2l4M3VpWU1XT1lQMzgreTVZdHk4cE5mY1ErSXhBREhBTW1ZQ3J2RG5IdzRFRmF0V3FGbDVjWC8vZC8vMGRrWkNRdFc3YWtRNGNPRmxPMzBycTdhNDhlUGVqV3Jadk50ZVp1M3J6SmE2KzlScjU4K2Zqamp6LzQ0WWNmckpZbmlJMk5wWG56NWt5YU5JbDY5ZXFsOFM3RkJxZXVjdzBHQXdjUEh1U0REejZ3ZUQwc0xJd2lSWXFZZjgrbzVGbHlvK3F6eWFqNzdNeXB5Mk9DYTlldWNldldMWE1uWE4yNmRXblhyaDNkdTNlbllzV0tQUGJZWXd3ZlB0eGNqKzNkdTVkT25UclpIUEVXR3h0TFJFUUVRNFlNWWZQbXpiejk5dHRKVGhmczJiTW5Bd1lNWU1hTUdlemR1emRIUFhORlJVWFJwazBidnYvK2U3dWp0c2FORzRlM3Q3Zk5KVDdBMU5uLzQ0OC9NbXJVS01EMG5IeisvSG5lZlBOTlRwOCt6Y0NCQTZsZXZickZPYk5temFKaHc0YXNXYk1tSXphR2ljYzBZaTRNVTRmakpCeXdRWVF0M3Q3ZUhEaHdJRTN0djd4NTh6SjM3bHhlZXVrbHV4M0tGeTVjd05YVk5kbkJQMkl0VnlUcGV2VG9rZXd4Q2NQWkg5MzFOVEl5a3JadDIxS3VYRGxtekpoaHM0SzRjK2NPeTVZdFk5T21UWURwQzl0VzQyRGN1SEhjdTNmUFBNYytOWXhHSTVNbVRXTGR1blhKSHJkbzBTTHpQSHVEd1dEVmdEaDkrclRGQXVSZVhsNzA2ZE9IbmoxNzBxZFBINHN0eEczSml2dVZaTVZpbXZZVWdHbVV4VUZNRDNVNVFzSVhxcCtmSDlXcVZTTStQdDY4eUhqaUhWZ1QzTHQzejZKeC9xZytmZm9RRnhkblRseVhLRkdDOFBCd0JnOGV6TjI3ZDFtMGFKRlY4aUltSm9idzhQQ012emxKcVJ4WHhrK2VQRW41OHVYNTVwdHZxRisvUHA5ODhnbmUzdDZjTzNmTzZ0akl5RWdXTEZqQTRjT0h6YThGQndlellzVUtGaTllekxKbHkvRDA5TVRWMWRVcVFXZkx4eDkvekp0dnZtbFJ4cU9qb3hrN2RpejkrdlZUZ3M2eGpKZzJnZ2pDTkgxdEJhWmVkb2VxWHIwNlJZb1VvVWFOR3ZUcjE0OEdEUnJZSEoyVTF0MWRYVjFkYmJhcEFnTUQrYzkvL2tQanhvMlpNV01HSGg0ZVBQLzg4M3oxMVZjV2k2SDM2ZE9IM2J0M00yM2FOSjU3N2ptMU05SXZXOVM1dTNmdnhtQXdtSGRwVEhEMzdsMkxlaXlqa25ReE1URXNYTGpRb2k1T2NQejQ4U1IzcEpkMGNjcnllUGZ1WFU2ZlBzM3AwNmM1ZnZ3NEZ5OWVwRXlaTXRTdlg1K3JWNjlTc21SSndEVGk3WWtubm1EVXFGSE1tREdEUm8wYThjc3Z2L0Q5OTkvajVlWEZ6cDA3V2JKa2ljM1BDQXdNNVBidDJ4dzhlSkExYTlaUXFsUXAvUHo4N01iVW8wY1BSbzBhUmR1MmJYbnh4UmV0RWs3WldVS0g1SUFCQSt6VzhlUEhqN2M3MGk0Z0lJQ1dMVnRTcUZBaGM1MlFlT2tFTnpjM25uMzJXVDc4OEVPTDh6WnUzRWlIRGgzU202QUx4VlIrRHdDNy8vbHZXSG91bU5FOFBEd29XN2FzeFNZYXFUa1hvRTJiTm5hUE9YSGlCSlVyVjdaYWkxbVNsNnRhTkVhamtROCsrSUJ6NTg1UnNXSkZpd0lUR2hvS3dPalJveTBlOXUvZnY0K3JxeXQvLy8wM0N4Y3VOTy9RbDlqbm4zL090R25Uek5QdGpFYWpWZU5neElnUnhNZkhNMi9ldkRRTndWKzllaldOR2pXeU9Wb29zUjA3ZGpCa3lCRHpHZ20yWXRtNWM2ZlZ0Ti9RMEZDTVJtT0twb2xreGYyS1hUZUFWWmlHK2YrRmFYaDBqc2drUFh6NGtMaTRPRHAzN3N5Wk0yZllzR0dEdWJFelo4NGNybDI3eGxkZmZXWHozQnMzYmlTNzNrRlVWQlREaHcrM2VuM3AwcVdzVzdmT2FsSGZybDI3NXFpR1RqYVNZOHY0NXMyYmFkMjZOVDQrUG93ZVBacDMzMzJYOWV2WDA3eDVjOHFWSzJleDhQM3MyYlBwMHFVTDNicDFTL2ZuYnQyNmxWV3JWckZwMHliaTR1TE1EZDNodzRkak5CcnQ5ajVMcGd2RmxKQmJCcHdGZ2pHTm9uTUszdDdlSER4NDBHNjdJS09uK1JrTUJyNy8vbnUrK3VvcmloVXJocisvdi9tOWQ5OTlsOWRlZTQxZmZ2bUZEei84a1A3OSsvUGd3UVBPblR1WFlidk41bUxacXM1ZHVuUXBiNzMxbHRVRCs3VnIxeXltOTJkVStZeU5qYVZEaHc3bTlhd1NPM1BtRERFeFR2TW5tMU00ZFhrOGNPQUFMVnUycEVHREJ2VHAwNGVSSTBlYW55Zjc5dTFyTWEydlNwVXFyRm16QmpDdEtSc1JFVUZvYUNnaElTSGt6NStmaGcwYjJ2eU13WU1IRXhzYnk0UUpFOHpMQnlVMVl0UEx5NHR1M2JyeDdiZmZXaXh6bEJNa045MDhnYjIvOThRemNHd2RrMVE5a1k0TjVJNERzNEZ0bUw3WFEzSFNkVXpUODR5ZWtuUDM3ZHRudFVHVXBFeXVTdEs1dUxnd2NlSkVtejIzcDA2ZFlzNmNPWHorK2VmNCtxWjhLbmhBUUFCZHVuU3hXTlRTYURSYVZLWmp4NDZsYWRPbU5HalFJTTJ4ang4L25xVkxseVo3WEpNbVRTeCtmM1FrM2ExYnR3Z01ET1RWVjE4MXZ6WnExQ2cyYmRyRW5EbHo2TkdqaDkyMVh5RHI3bGVzaEFCOWdLTkFqcHhic1gzN2RzTER3d2tPRG1iNzl1M21KUERObXpjWk9IQWczMzc3cmNXR0pJbGR2SGpSWWtIZVIzbDVlUkVSRVdHenA4akR3d05QVDA5elF5akJvMzlMa3VseWRCbVBpNHRqK2ZMbDV0SFFYYnQyWmVUSWtaUXVYZHJlRG1JWjlwRFpwRWtUZ29LQzJMdDNMOU9uVCtmMjdkdFVybHlaR1RObXNHalJJa2N2Zko3YlhBSDhNRTEzc1I2YTQyUVNsNDM0K0hqKy9QTlBObXpZd0owN2Qvam9vNDh5N0hNQ0FnTDQ1Sk5QZVBMSkovbnV1KzhZTzNhczFURitmbjdVcTFlUFZhdFdNV0RBZ0NUWEtKSVV5WFoxYmxoWUdFdVdMT0hnd1lNV3I5KzllNWUvLy83YllrcFZVa21OMk5pVUx5bFlva1FKbm5ycUtadnRoeUpGaXFScDJRS3hLVnVVeHhZdFdyQnYzejZibTVpZFBYdVd4eDkvM1B4NzRtV0g2dGF0Uy9mdTNTbFZxaFJMbGl4SnNnT3VaTW1TVEp3NDBlSzFwTm9EaHc0ZFl1TEVpVlN2WHQwOGRmUFJqdWZzS3FYVHllMGwxQkt2WFJrWEY1ZXFkbFVha25UYmdabzR3WWhQWjdGeTVjb2tSOVNMZmJrcVNRZWthQmVTMUxDMURrcDhmTHhGcFpMZURSTTJiOTVNclZxMXJMYWJUNGxIWXhrN2RpeTlldlVpZi83OHhNWEYwYmR2WDRLQ2d0aTFheGNsU3BUZzh1WExmUHp4eDV3L2Y1NnhZOGRhN1dxVkZmY3JOdDBuR3p6UXBjY1hYM3hCY0hBd0d6WnNNQ2Zvb3FPajZkU3BFeTFhdExDYk9BNE5EZVg4K2ZNV0RhTkhKZGNUcHpWbG5FS09MdU1MRml5Z2Z2MzY1dDFhWFYxZENRZ0lzRHNDMU40eUFtbmg2dXBLalJvMXFGR2pCcjE2OVdMaHdvVzg4ODQ3K1ByNjh2Nzc3N045KzNiNjlldG5OMWtvR1dyL1B6OU9MeVltaHFDZ0lQYnMyY09PSFRzNGNPQUFyNzc2S2g5KytLRzVvKzdLbFpUUHlqVVlERlp0c0pNblQvTFRUejhSR3h1TG41OGZWYXBVWWRteVpWYm5Sa1pHRWhRVXhJWU5HMmphdENsanhveWhRb1VLR3UyY1B0bXV6aDA5ZWpSOSsvYkYzZDJkZ0lBQW5ubm1HVHc5UFZtMmJCbmUzdDRXdS9zYURBYTJiTmxpMVhZNGN1UklxdHJUUjQ4ZXRWalROckVaTTJiWUhFMlNqaEU0dVZtMktZKzJFblJHbzVIQXdFQ0xEdU0yYmRxWWx4ZXFXclVxczJmUEJrdzdqZjd5eXkrcCtreDc3WUdEQncrYVJ4bS84Y1liTkczYWxLWk5tekp1M0RqZWYvLzlWSDJHTTBwSXFQL3d3dzkybitFZlBIaVFvaldrNCtQanJSTDBTZjJ0Sm13MGtRcVhVM3RDVG1DdmJPN2R1NWVpUll0cXpkZzB5blZKdXZTNGRlc1dlZkxrU1hiVXdhTkpxMGZkdm4yYmUvZnVVYkZpUlZ4ZFhUbC8vbnlTMS92eHh4K1pOV3RXbW1LT2o0ODNWMENuVHAxaTgrYk43TnExaTdObnovTGVlKy9Sb0VFRGR1M2FaWjQyOE9XWFh4SWNITXpFaVJQWnRHa1QzM3p6RGUzYXRVdHlDL3FNdmwvSm5XclhyczJlUFh2TVpURXFLb3JPblR0VHBVb1ZpMFZ3Zi8vOWQvYnMyWU9Qanc4RkN4YkUzOThmZzhHUTVCYml5ZldhcCtUTFBTNHVUbE8zSlUzQ3dzS1lNbVdLZVVmVkJFbE4wVFlZRENuZXVHVEhqaDBVTFZxVUVpVktjUFBtVGJzTjJkRFFVSVlPSGNyaXhZdFp1blFwN2R1M1ovLysvUXdaTWdSZlgxKzZkT25DdUhIamJLNzdLTGxQaXhZdDJMWnRHMFdMRnFWZnYzN01talVyeldYamh4OStZT2ZPbmF4ZXZSbzNOemV1WGJ2RzZ0V3J5WjgvUCtQR2piUFluVHVod1gvanhnM1dybDNMNXMyYnFWQ2hBbjM2OU1ISHg0ZUFnQUM2ZCs5T3pabzFhZDY4T1owN2Q2WlZxMVpwNnNpVTdPUFlzV01jUG55WWRldldFUjBkellFREIzajk5ZGR4ZDNjbk9EallhaE9TMk5oWW1qWnR5bmZmZldkeG5hdFhyOXFkb2hvZkg4L1JvMGZ0ZGdvbUp5d3N6UHpaa3JOZHUzYU4wTkJRZkgxOWNYZDNaOTI2ZGR5NmRZdGF0V3FaajNsMG5YTXdkWDRZalVZcVZEQnRCSHJyMXExa2wyc0IyMlZxL2ZyMURCbzBpT1hMbDVzVElSczNidVMxMTE2alY2OWVMRnEwaUVHREJ0R3NXYk5zMjM1TitGc2ROR2lRMVl5WEJKTW1UVXBScDJaOGZMelYzMzVzYkN4YnRtd2hLaXJLNHZVclY2N2tpbldwcjEyN2x1NXIyRXRtenBvMWk2Ky8vanJkMTgrdGxLUkxvZWpvYU5xM2IwK2hRb1g0N2JmZjdGWVVZS29Fa25xNGNuRnhZZEdpUlV5Yk5vM2J0MjhUSFIxdGQrSHZQWHYyVUxGaXhWUnZpNXdnTGk2T3VMZzRJaUlpR0R4NE1INStmb3diTjQ0elo4NHdiZG8wcWxTcFluWE81TW1US1Zpd0lELzk5Qk52dlBFR3RXclZZdTdjdVhaN3JEUHlmaVYzUzJoZzM3NTltMjdkdXZIR0cyOVk3UmpVckZrenlwUXB3K0RCZzgxVEI1czFhNWJrOU9ybzZHaUNnb0pzTnJ6dHJTa1RHQmpJNU1tVCtldXZ2OGlYTHg4SER4NmtRNGNPNmJrOXlhVysrT0lMZnZubGwxUWxPR0pqWTFPODFwR1BqdzlmZi8wMU0yZk9CTENhZm5YMjdGbG16WnJGdkhuejZONjlPK2ZPblRPdmIvcjg4OCt6ZWZObVpzNmNTWjgrZmJoOCtUSTdkampGcG1QaVlKTW1UV0xhdEdrTUh6N2NJb20yY2VOR1JvOGV6Uk5QUElIUmFPU1paNTZ4V2JkR1JVWFJ1SEZqdnYvK2U4NmVQUXZBb2tXTDZOS2xDMlhMbHVXLy8vMnZ6Yy9kdlhzMzE2OWZwMXk1Y3ZUbzBZTng0OFpaVEJzclZhb1VHemR1WlBMa3lRd2VQSmlOR3pjQ1VMRmlSVWFNR0VIWHJsMHo4cDlCbkVCRVJBU2pSbzFpd1lJRnVMbTVrVGR2WHZyMjdVdmJ0bTJwVmFzVzlldlhaOXk0Y1JibjJHdVh1cnE2Mm0xVHg4VEU4UFRUVDl2Y0NDVWx6cDA3aDUrZm45VUR2K1E4TGk0dVRKbzBDWDkvZjhxV0xVdHdjREErUGo1MjE1bExzSFBuVGw1Ly9YWEFsTlN0VzdjdXYvenlTN0xUOXhNbjZXSmpZeGsrZkRqMzd0MWo5KzdkRnV1VkZ5aFFnSTBiTjlLdlh6K21UcDNLdG0zYktGKytQTjk5OXgxdnZ2bG1PdTdZTVFvVktrUlFVRkNTejkwQkFRRVdhd0hhNCtYbFpiWExhTUo2ZnExYXRiSjQvZHExYTFTdFdqVnRRV2NURHg0OElDd3NqTmpZV0xzZEUvMzY5Yk9hZXAzZzc3Ly9CbXduNmY3NjZ5L3pqdkNTTnJraVNiZDI3VnIrK09PUEpJK3h0M0ZFZ3VQSGo3TjM3MTdBdEREb3I3LythdmRhc2JHeFNXYjBpeGN2enRDaFEvbjAwMC9wM0xreisvZnY1OGNmZjdSNWJIQndjTG9XOVk2TGk2TnMyYkw4OU5OUERCbzBpSjA3ZDlLbFN4Y3FWcXhvOXh4WFYxZCsvUEZIWG56eFJmYnUzY3ZJa1NPVDdJSEp5UHNWMmJWckZ4czNibVRhdEdsMkc5TFZxMWRuelpvMXZQenl5MVNzV0pHZmYvNDV5V3ZHeE1UdzJtdXYyU3gzYTlhc01mZG9KbGE3ZG0ybVQ1L09yVnUzNk5xMUs5SFIwYnp6emp0cHV5bkp0Wll2WDA2ZlBuMVNOUzNQYURUaTd1NXUzamdsT2VYTGwyZkdqQmtVTFZxVWloVXI4c0lMTHpCNzltek9uei9QdFd2WDhQYjI1cVdYWG1MbzBLRjJkOWpxMmJNblpjcVVZZURBZ1NtT1UzSTJYMTlmbTJ2RHRXalJnaFl0V21UYTU3WnUzWm9sUzVhd2RPblNKRHRmK3ZUcFErZk9uUmsvZmp5TEZpM2l0OTkrczlueEtObWZuNThmRXlaTXNOcHBzVUtGQ3Z6NTU1OVVybHpacXAzYXBrMGI4NEx4aWMyWU1jTWk2WnhZYkd3c3p6NzdiTHBpZmVHRkYreXVueXM1UjVreVpaZzBhUkp0MjdhbGRldld1TG01TVdYS0ZOemQzWmt6Wnc2QmdZRTJ6enQ0OENDK3ZyNGNQbnlZZ3djUGN2SGlSWHIwNk1IUm8wY3ROajU1Vkh4OFBQLzYxNy80NDQ4LzJMWnRHeDA3ZHJRWXRaZVlsNWNYVTZaTW9WV3JWa3ljT0pINTgrZG4yNUhHK2ZQbnQzdWZDVktTb0FNWU4yNmNWVDNoNys5djh4bjMwYVIvVGxTZ1FBRzJidDFLYkd5c3hjWmxLYlZueng1T25UcGxzMTA1YWRJa3U4azl5YjdxQXRjTEZTcGszTEJoZ3pFalJFWkdHb09DZ293UEhqeklrT3NsWjlldVhjYXJWNittNk5pYk4yOW1hbHpCd2NHWmR1MEV6blMvQVFFQnhwSWxTeG94N2FTVGVVOFIyVnNMSUxSa3laTEdnSUNBVFB0L2tWWlJVVkVwUHRaZ01LVG91THQzNzZZMUhLUFJhRFNHaElRWXIxKy9ucTVyWkpTZ29DQmpoUW9WakVBazBDNlovOWU1VlMzZ29wZVhsM0hseXBVTy9mK1Ywakw2NkRtM2J0MUsxK2VHaDRlbjYzeEgyN0JoZzdGUW9VSkc0RHFtZG9GWXkvRDJrck80ZmZ0MnFvNVB5OTlaYXJ6eXlpdEd3QWlNQWV5di81RjcrUUpCZ0hIaHdvV1ordjhpTTRXR2hxYnIvTXd1aHduS2xpMmJVQjQvQnJMblBNYk0xUVM0WHFwVUtlTzJiZHN5L2YvSGhBa1RqQ2RQbmpUL0hob2Fhdnpycjc4eTlIdjRyNy8rTWhxTnB1Y29aekZzMkxDRWNyZ1dTSGNXME5IM2t4THB2Y2NVeWhiMWFWTDFuVE9WMCtRMGFOQWdvUngvQTlnZnNwbkZjc1ZJT205djcyU3o4QmtwTmJ1YXBtUWRndlJJNnpUWjFIQ20rNVhzejk0Q3piYWtkSTJOUjN2ZlU4dlc2RnFSbEVqTE9qQXVMaTdwN3ZXMk4ySk9KRHNvWHJ4NHFvN1BydXN0aVhNcFhMaHd1czVYT2N5ZCt2YnRhL0Y3NGNLRjAxMldIcFd3NlpTZW84UlpKRlhmcVp5bVg4WnVkU29pSWlJaUlpSWlJaUtwbGl0RzBvbUlpSWlJaUlpSTgzSFJVRlFSTTQya0V4RVJFUkVSRVJFUmNUQWw2VVJFUkVSRVJFUkVSQnhNU1RvUkVSRVJFUkVSRVJFSFU1Sk9SRVJFUkVSRVJFVEV3WlNrRXhFUkVSRVJFUkVSY1RBbDZVUkVSRVJFUkVSRVJCeE1TVG9SRVJFUkVSRVJFUkVIVTVKT1JFUkVSRVJFUkVURXdaU2tFeEVSRVJFUkVSRVJjVEFsNlVSRVJFUkVSRVJFUkJ4TVNUb1JFUkVSRVJFUkVSRUhVNUpPUkVSRVJFUkVSRVRFd1pTa0V4RVJFUkVSRVJFUmNUQjNSd2RnVDF4Y0hFZVBIc1hiMjl2Um9VZzJjdUxFQ1dKaVlod2RScllRRXhORFlHQWdVVkZSamc1RlV1SGN1WFA2ZjVaQ0JvT0I0OGVQVTdod1lVZUhJcWwwOU9oUjR1TGlIQjFHdHFEMlV1WUxEUTExZEFqWnhva1RKOWkrZmJ1anc4alJvcU9qSFIxQ3RoQVRFOFBodzRjZEhVYU9kZW5TSlVlSGtPT3BQczE4WVdGaGpnN0JKaGRIQjJCRFhXQ2xpNHRMcWNLRkMrUHA2ZW5vZUNRYmlZMk41ZDY5ZXhnTWhudkFtOEJHUjhma2hGb0FDMTFkWFFzWExsd1lEdzhQUjhjanFSQVhGMGRvYUNnR2d5RUtVeGxmNWVpWW5GQXRZQ1ZRc1hEaHduaDVlVGs2SGttbG1KZ1k3dDI3aDlGb3ZBRzBCL1k1T2lZbnBQWlNGZ2tORFUzb0FCd0xEQVppSFJ1UjAvRUZGZ0sxQ2hVcXBJUnhKcnQ5K3pZR2d3RmdBREFlTURvMklxZlRCRk03dDFTaFFvVlVOMmFTaHc4ZkVoNGVEckFPNkFIY2RteEVPWWJxMHl3VUVoSkNiR3dzd0xmQU1DRGVzUkdaT09OSXVsdkFkYVBSNksyZVMwbUhtOEJWUndmaHBLNENOdzBHQXlFaElZNk9SZEx1UG5EWjBVRTRxYnZBTmFEd3ZYdjNIQjJMcE05MVRPMENzYWIyVXRhS3gxVG5La0ZuN1I1d0JhZ1FGaGJtNHF3akUzS1lhRXovNWtyUVdic0JYRGNZREtvYk01OFJ1QVE4ZEhRZ09ZanEwNnhuQU03OTgxK240SXdqNlZ3eFpaQkxPRG9ReWRidUFDZHdvajgySitJS1BBVVVjM1Fna2k2aHdIR2NwTWZIeWJnQVZZRFNqZzVFMHUwbWNCclY1YmFvdlpTMVlvQy9BRDB4V1hNQktnTGxjYzVuaTV6b0lYQVNDSGQwSUU1SWRXUFdpUWZPWWtxTVNzWlFmWnIxSWpIVnAvY2RIWWlJaUlpSWlJaUlpSWlJaUlpSWlJaUlpSWlJaUlpSWlJaUlpSWlJaUlpSWlJaUlpSWlJaUlpSWlJaUlpSWlJaUlpSWlJaUlpSWlJaUlpSWlJaUlpSWlJaUlpSWlJaUlpSWlJaUlpSWlJaUlpSWlJaUlpSWlJaUlpSWlJaUlpSWlJaUlpSWlJaUlpSWlJZzBhTWNkQUFBQTgwbEVRVl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U0FiNGZ6L25jMVV4and0NkFBQUFBRWxGVGtTdVFtQ0MiLAoJIlRoZW1lIiA6ICIiLAoJIlR5cGUiIDogImZsb3ciLAoJIlVzZXJJZCIgOiAiMzYwMDQ0OTQ4IiwKCSJWZXJzaW9uIiA6ICI0N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96</Pages>
  <Words>18851</Words>
  <Characters>20063</Characters>
  <Lines>13</Lines>
  <Paragraphs>3</Paragraphs>
  <TotalTime>12</TotalTime>
  <ScaleCrop>false</ScaleCrop>
  <LinksUpToDate>false</LinksUpToDate>
  <CharactersWithSpaces>20251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君陌</cp:lastModifiedBy>
  <cp:lastPrinted>2025-05-20T00:02:00Z</cp:lastPrinted>
  <dcterms:modified xsi:type="dcterms:W3CDTF">2025-07-21T06:52:52Z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6ED835C4721242AD977A50D3AEF5E82F_13</vt:lpwstr>
  </property>
  <property fmtid="{D5CDD505-2E9C-101B-9397-08002B2CF9AE}" pid="4" name="KSOTemplateDocerSaveRecord">
    <vt:lpwstr>eyJoZGlkIjoiZGJkOWYxNTNjZTAxYWI4MTdjZWQ5NThiNDQ5ZThiMzQiLCJ1c2VySWQiOiIzNjAwNDQ5NDgifQ==</vt:lpwstr>
  </property>
</Properties>
</file>